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A105C5" w:rsidRDefault="00A105C5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297E" w:rsidRDefault="00A1297E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TENNESSEE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1E79F8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0.98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1.08</w:t>
              </w:r>
            </w:ins>
            <w:del w:id="7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9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1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3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5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7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1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3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25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7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29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1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1.31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3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5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7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39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1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F93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1.62</w:t>
            </w:r>
            <w:del w:id="42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A1297E" w:rsidRDefault="00A1297E" w:rsidP="00A1297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TENNESSEE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4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4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4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5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6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6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6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7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7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7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7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8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8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8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8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8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9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9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9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9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0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0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0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1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2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2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3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3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3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3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3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4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4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4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4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4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5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5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5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5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5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6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6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6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6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7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7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7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A1297E" w:rsidRDefault="00A1297E" w:rsidP="00A1297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TENNESSEE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7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7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7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8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8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8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8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8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9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9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9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9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0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0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0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0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0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1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1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1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1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2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2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2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2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2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3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3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3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3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3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4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4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4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5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5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5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5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6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6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6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6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6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7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7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7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7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8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8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8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8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9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9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9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0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0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2.79</w:t>
              </w:r>
            </w:ins>
            <w:del w:id="30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2.39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2.80</w:t>
              </w:r>
            </w:ins>
            <w:del w:id="30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2.40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A1297E" w:rsidRDefault="00A1297E" w:rsidP="00A1297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TENNESSEE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30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10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31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1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31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18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20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2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2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2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28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30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3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3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5D59CA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3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522203" w:rsidRDefault="00522203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8-07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38" w:author="Author" w:date="2018-07-30T16:06:00Z">
              <w:r w:rsidR="0048314A" w:rsidRPr="00522203" w:rsidDel="00522203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40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4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44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4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4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50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5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54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35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5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60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522203" w:rsidRDefault="00522203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18-07-3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362" w:author="Author" w:date="2018-07-30T16:07:00Z">
              <w:r w:rsidR="00EB78D7" w:rsidRPr="00522203" w:rsidDel="00522203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64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6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  Products/Completed Operations (Subline Code 336) Table A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A1297E" w:rsidRDefault="00A1297E" w:rsidP="00A1297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TENNESSEE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6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7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37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7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7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7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8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8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8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8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9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9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9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0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0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0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1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1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1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1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2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2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2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2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3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3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3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3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4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4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4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A121FD" w:rsidRDefault="00A121FD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18-07-30T16:09:00Z">
              <w:r>
                <w:rPr>
                  <w:rFonts w:ascii="Arial" w:hAnsi="Arial" w:cs="Arial"/>
                  <w:sz w:val="18"/>
                  <w:szCs w:val="18"/>
                </w:rPr>
                <w:t>1.72</w:t>
              </w:r>
            </w:ins>
            <w:bookmarkStart w:id="446" w:name="_GoBack"/>
            <w:bookmarkEnd w:id="446"/>
            <w:del w:id="447" w:author="Author" w:date="2018-07-30T16:09:00Z">
              <w:r w:rsidDel="00A121FD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49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51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53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455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57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59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61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463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465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67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69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71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73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475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477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479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481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83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85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487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489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491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493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495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497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2.47</w:delText>
              </w:r>
            </w:del>
          </w:p>
        </w:tc>
      </w:tr>
      <w:tr w:rsidR="001E79F8" w:rsidTr="001E79F8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24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999" w:type="dxa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  Products/Completed Operations (Subline Code 336) Table B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A1297E" w:rsidRDefault="00A1297E" w:rsidP="00A1297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TENNESSEE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spacing w:after="100"/>
        <w:jc w:val="center"/>
      </w:pPr>
      <w:r w:rsidRPr="00C32A12">
        <w:t>REVISED INCREASED LIMIT FACTORS</w:t>
      </w: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9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499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01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0.93</w:t>
              </w:r>
            </w:ins>
            <w:del w:id="503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05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07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509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11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13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1.01</w:t>
              </w:r>
            </w:ins>
            <w:del w:id="515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7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19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1.03</w:t>
              </w:r>
            </w:ins>
            <w:del w:id="521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23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25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27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529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531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3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5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537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39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41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43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45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47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49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51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53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55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57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559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61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63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65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567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569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571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73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5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77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79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81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583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85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587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589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91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93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595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597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599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01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603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605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07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09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11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613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15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2.68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617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619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21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623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625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27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629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31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3.08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pStyle w:val="isonormal"/>
        <w:rPr>
          <w:b/>
        </w:rPr>
      </w:pPr>
      <w:r>
        <w:rPr>
          <w:b/>
          <w:color w:val="000000"/>
        </w:rPr>
        <w:t>Table 56.B.6  Products/Completed Operations (Subline Code 336) Table C - $100/200 Basic Limit</w:t>
      </w:r>
    </w:p>
    <w:p w:rsidR="009448A7" w:rsidRDefault="009448A7" w:rsidP="0048314A">
      <w:pPr>
        <w:pStyle w:val="Header"/>
        <w:tabs>
          <w:tab w:val="clear" w:pos="4320"/>
          <w:tab w:val="clear" w:pos="8640"/>
        </w:tabs>
      </w:pPr>
    </w:p>
    <w:p w:rsidR="008702E2" w:rsidRDefault="008702E2" w:rsidP="0048314A">
      <w:pPr>
        <w:pStyle w:val="Header"/>
        <w:tabs>
          <w:tab w:val="clear" w:pos="4320"/>
          <w:tab w:val="clear" w:pos="8640"/>
        </w:tabs>
      </w:pPr>
    </w:p>
    <w:p w:rsidR="008702E2" w:rsidRDefault="008702E2" w:rsidP="0048314A">
      <w:pPr>
        <w:pStyle w:val="Header"/>
        <w:tabs>
          <w:tab w:val="clear" w:pos="4320"/>
          <w:tab w:val="clear" w:pos="8640"/>
        </w:tabs>
      </w:pPr>
    </w:p>
    <w:p w:rsidR="008702E2" w:rsidRPr="00E83671" w:rsidRDefault="008702E2" w:rsidP="008702E2">
      <w:pPr>
        <w:pStyle w:val="Header"/>
        <w:tabs>
          <w:tab w:val="clear" w:pos="4320"/>
          <w:tab w:val="clear" w:pos="8640"/>
        </w:tabs>
      </w:pPr>
      <w:r w:rsidRPr="00E83671">
        <w:t>INSURANCE SERVICES OFFICE, INC.</w:t>
      </w:r>
    </w:p>
    <w:p w:rsidR="008702E2" w:rsidRPr="00E83671" w:rsidRDefault="008702E2" w:rsidP="008702E2">
      <w:pPr>
        <w:pStyle w:val="Header"/>
        <w:tabs>
          <w:tab w:val="clear" w:pos="4320"/>
          <w:tab w:val="clear" w:pos="8640"/>
        </w:tabs>
      </w:pPr>
    </w:p>
    <w:p w:rsidR="008702E2" w:rsidRPr="00E83671" w:rsidRDefault="008702E2" w:rsidP="008702E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83671">
        <w:t>TENNESSEE</w:t>
      </w:r>
    </w:p>
    <w:p w:rsidR="008702E2" w:rsidRPr="00E83671" w:rsidRDefault="008702E2" w:rsidP="008702E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83671">
        <w:rPr>
          <w:rStyle w:val="PageNumber"/>
          <w:szCs w:val="22"/>
        </w:rPr>
        <w:t>GENERAL LIABILITY INCREASED LIMIT FACTORS</w:t>
      </w:r>
    </w:p>
    <w:p w:rsidR="008702E2" w:rsidRPr="00E83671" w:rsidRDefault="008702E2" w:rsidP="008702E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8702E2" w:rsidRPr="00E83671" w:rsidRDefault="008702E2" w:rsidP="008702E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E83671">
        <w:rPr>
          <w:rStyle w:val="PageNumber"/>
          <w:szCs w:val="22"/>
          <w:u w:val="single"/>
        </w:rPr>
        <w:t>MANUAL PAGES</w:t>
      </w:r>
    </w:p>
    <w:p w:rsidR="008702E2" w:rsidRPr="00E83671" w:rsidRDefault="008702E2" w:rsidP="0048314A">
      <w:pPr>
        <w:pStyle w:val="Header"/>
        <w:tabs>
          <w:tab w:val="clear" w:pos="4320"/>
          <w:tab w:val="clear" w:pos="8640"/>
        </w:tabs>
      </w:pPr>
    </w:p>
    <w:p w:rsidR="008702E2" w:rsidRPr="00E83671" w:rsidRDefault="008702E2" w:rsidP="008702E2">
      <w:pPr>
        <w:spacing w:after="100"/>
        <w:jc w:val="center"/>
      </w:pPr>
      <w:r w:rsidRPr="00E83671">
        <w:t>REVISED INCREASED LIMIT FACTORS</w:t>
      </w:r>
    </w:p>
    <w:p w:rsidR="008702E2" w:rsidRPr="00E83671" w:rsidRDefault="008702E2" w:rsidP="0048314A">
      <w:pPr>
        <w:pStyle w:val="Header"/>
        <w:tabs>
          <w:tab w:val="clear" w:pos="4320"/>
          <w:tab w:val="clear" w:pos="8640"/>
        </w:tabs>
      </w:pPr>
    </w:p>
    <w:p w:rsidR="008702E2" w:rsidRPr="00E83671" w:rsidRDefault="008702E2" w:rsidP="008702E2">
      <w:pPr>
        <w:pStyle w:val="boxrule"/>
      </w:pPr>
      <w:r w:rsidRPr="00E83671">
        <w:t>56.  INCREASED LIMITS TABLES</w:t>
      </w:r>
    </w:p>
    <w:p w:rsidR="008702E2" w:rsidRPr="00E83671" w:rsidRDefault="008702E2" w:rsidP="008702E2">
      <w:pPr>
        <w:pStyle w:val="outlinehd3"/>
      </w:pPr>
      <w:r w:rsidRPr="00E83671">
        <w:tab/>
      </w:r>
    </w:p>
    <w:p w:rsidR="008702E2" w:rsidRPr="00E83671" w:rsidRDefault="008702E2" w:rsidP="008702E2">
      <w:pPr>
        <w:pStyle w:val="outlinehd3"/>
      </w:pPr>
      <w:r w:rsidRPr="00E83671">
        <w:tab/>
        <w:t>8.</w:t>
      </w:r>
      <w:r w:rsidRPr="00E83671">
        <w:tab/>
        <w:t>Governmental Units Premises/Operations (Subline Code 334) – $100/200 Basic Limit</w:t>
      </w:r>
    </w:p>
    <w:p w:rsidR="008702E2" w:rsidRPr="00E83671" w:rsidRDefault="008702E2" w:rsidP="008702E2">
      <w:pPr>
        <w:pStyle w:val="blocktext4"/>
      </w:pPr>
      <w:r w:rsidRPr="00E83671">
        <w:t>The following increased limits factors are provided for policies covering governmental units or political subdivisions in compliance with the Tennessee Code Annotated, Section 29-20-403:</w:t>
      </w:r>
    </w:p>
    <w:p w:rsidR="008702E2" w:rsidRPr="00E83671" w:rsidRDefault="008702E2" w:rsidP="008702E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8702E2" w:rsidRPr="00E83671" w:rsidTr="008D5A05">
        <w:trPr>
          <w:cantSplit/>
          <w:trHeight w:val="190"/>
        </w:trPr>
        <w:tc>
          <w:tcPr>
            <w:tcW w:w="200" w:type="dxa"/>
          </w:tcPr>
          <w:p w:rsidR="008702E2" w:rsidRPr="00E83671" w:rsidRDefault="008702E2" w:rsidP="008D5A05">
            <w:pPr>
              <w:pStyle w:val="tablehead"/>
            </w:pPr>
            <w:r w:rsidRPr="00E83671">
              <w:br/>
            </w:r>
            <w:r w:rsidRPr="00E83671">
              <w:br/>
            </w:r>
            <w:r w:rsidRPr="00E83671">
              <w:br/>
            </w:r>
            <w:r w:rsidRPr="00E83671">
              <w:br/>
            </w:r>
            <w:r w:rsidRPr="00E83671">
              <w:br/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2E2" w:rsidRPr="00E83671" w:rsidRDefault="008702E2" w:rsidP="008D5A05">
            <w:pPr>
              <w:pStyle w:val="tablehead"/>
            </w:pPr>
            <w:r w:rsidRPr="00E83671">
              <w:t xml:space="preserve">BI Limit Per </w:t>
            </w:r>
            <w:r w:rsidRPr="00E83671">
              <w:br/>
              <w:t>Person/BI Limit</w:t>
            </w:r>
            <w:r w:rsidRPr="00E83671">
              <w:br/>
              <w:t>Per Occurrence/</w:t>
            </w:r>
            <w:r w:rsidRPr="00E83671">
              <w:br/>
              <w:t>PD Limit Per</w:t>
            </w:r>
            <w:r w:rsidRPr="00E83671">
              <w:br/>
              <w:t>Occurrence/</w:t>
            </w:r>
            <w:r w:rsidRPr="00E83671">
              <w:br/>
              <w:t>Aggregate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702E2" w:rsidRPr="00E83671" w:rsidRDefault="008702E2" w:rsidP="008D5A05">
            <w:pPr>
              <w:pStyle w:val="tablehead"/>
            </w:pPr>
            <w:r w:rsidRPr="00E83671">
              <w:t>Factors</w:t>
            </w:r>
          </w:p>
        </w:tc>
      </w:tr>
      <w:tr w:rsidR="008702E2" w:rsidRPr="00E83671" w:rsidTr="008D5A05">
        <w:trPr>
          <w:cantSplit/>
          <w:trHeight w:val="190"/>
        </w:trPr>
        <w:tc>
          <w:tcPr>
            <w:tcW w:w="200" w:type="dxa"/>
          </w:tcPr>
          <w:p w:rsidR="008702E2" w:rsidRPr="00E83671" w:rsidRDefault="008702E2" w:rsidP="008D5A05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2E2" w:rsidRPr="00E83671" w:rsidRDefault="008702E2" w:rsidP="008D5A05">
            <w:pPr>
              <w:pStyle w:val="tabletext11"/>
              <w:jc w:val="center"/>
            </w:pPr>
            <w:r w:rsidRPr="00E83671">
              <w:t>$300/700/100/1,000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702E2" w:rsidRPr="00E83671" w:rsidRDefault="008702E2" w:rsidP="008D5A05">
            <w:pPr>
              <w:pStyle w:val="tabletext11"/>
              <w:tabs>
                <w:tab w:val="decimal" w:pos="1040"/>
              </w:tabs>
            </w:pPr>
            <w:del w:id="632" w:author="Author" w:date="2018-07-27T09:49:00Z">
              <w:r w:rsidRPr="00E83671" w:rsidDel="00E83671">
                <w:delText>1.23</w:delText>
              </w:r>
            </w:del>
            <w:ins w:id="633" w:author="Author" w:date="2018-07-27T09:49:00Z">
              <w:r w:rsidR="00E83671">
                <w:t>1.16</w:t>
              </w:r>
            </w:ins>
          </w:p>
        </w:tc>
      </w:tr>
      <w:tr w:rsidR="008702E2" w:rsidRPr="00E83671" w:rsidTr="008D5A05">
        <w:trPr>
          <w:cantSplit/>
          <w:trHeight w:val="190"/>
        </w:trPr>
        <w:tc>
          <w:tcPr>
            <w:tcW w:w="200" w:type="dxa"/>
          </w:tcPr>
          <w:p w:rsidR="008702E2" w:rsidRPr="00E83671" w:rsidRDefault="008702E2" w:rsidP="008D5A05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2E2" w:rsidRPr="00E83671" w:rsidRDefault="008702E2" w:rsidP="008D5A05">
            <w:pPr>
              <w:pStyle w:val="tabletext11"/>
              <w:jc w:val="center"/>
            </w:pPr>
            <w:r w:rsidRPr="00E83671">
              <w:t>$300/700/100/1,500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702E2" w:rsidRPr="00E83671" w:rsidRDefault="008702E2" w:rsidP="008D5A05">
            <w:pPr>
              <w:pStyle w:val="tabletext11"/>
              <w:tabs>
                <w:tab w:val="decimal" w:pos="1040"/>
              </w:tabs>
            </w:pPr>
            <w:del w:id="634" w:author="Author" w:date="2018-07-27T09:49:00Z">
              <w:r w:rsidRPr="00E83671" w:rsidDel="00E83671">
                <w:delText>1.24</w:delText>
              </w:r>
            </w:del>
            <w:ins w:id="635" w:author="Author" w:date="2018-07-27T09:49:00Z">
              <w:r w:rsidR="00E83671">
                <w:t>1.17</w:t>
              </w:r>
            </w:ins>
          </w:p>
        </w:tc>
      </w:tr>
    </w:tbl>
    <w:p w:rsidR="008702E2" w:rsidRDefault="008702E2" w:rsidP="008702E2">
      <w:pPr>
        <w:pStyle w:val="tablecaption"/>
      </w:pPr>
      <w:r w:rsidRPr="00E83671">
        <w:t>Table 56.B.8. Governmental Units Premises/Operations (Subline Code 334) – $100/200 Basic Limit</w:t>
      </w:r>
    </w:p>
    <w:p w:rsidR="008702E2" w:rsidRDefault="008702E2" w:rsidP="0048314A">
      <w:pPr>
        <w:pStyle w:val="Header"/>
        <w:tabs>
          <w:tab w:val="clear" w:pos="4320"/>
          <w:tab w:val="clear" w:pos="8640"/>
        </w:tabs>
      </w:pPr>
    </w:p>
    <w:sectPr w:rsidR="008702E2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1AB" w:rsidRDefault="005831AB">
      <w:r>
        <w:separator/>
      </w:r>
    </w:p>
  </w:endnote>
  <w:endnote w:type="continuationSeparator" w:id="0">
    <w:p w:rsidR="005831AB" w:rsidRDefault="00583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0"/>
      <w:gridCol w:w="2821"/>
      <w:gridCol w:w="1680"/>
      <w:gridCol w:w="1959"/>
    </w:tblGrid>
    <w:tr w:rsidR="00A1297E" w:rsidTr="009554DD">
      <w:tc>
        <w:tcPr>
          <w:tcW w:w="3708" w:type="dxa"/>
        </w:tcPr>
        <w:p w:rsidR="005831AB" w:rsidRPr="009554DD" w:rsidRDefault="005831AB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 xml:space="preserve">© Insurance Service Office, Inc., 2018  </w:t>
          </w:r>
        </w:p>
        <w:p w:rsidR="005831AB" w:rsidRDefault="005831AB">
          <w:pPr>
            <w:pStyle w:val="Footer"/>
          </w:pPr>
        </w:p>
      </w:tc>
      <w:tc>
        <w:tcPr>
          <w:tcW w:w="2880" w:type="dxa"/>
        </w:tcPr>
        <w:p w:rsidR="005831AB" w:rsidRPr="009554DD" w:rsidRDefault="00A1297E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Tennessee</w:t>
          </w:r>
        </w:p>
      </w:tc>
      <w:tc>
        <w:tcPr>
          <w:tcW w:w="1710" w:type="dxa"/>
        </w:tcPr>
        <w:p w:rsidR="005831AB" w:rsidRPr="009554DD" w:rsidRDefault="005831AB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GL-2018-IAL</w:t>
          </w:r>
          <w:r w:rsidRPr="009554DD">
            <w:rPr>
              <w:sz w:val="20"/>
            </w:rPr>
            <w:t>L1</w:t>
          </w:r>
        </w:p>
      </w:tc>
      <w:tc>
        <w:tcPr>
          <w:tcW w:w="1998" w:type="dxa"/>
        </w:tcPr>
        <w:p w:rsidR="005831AB" w:rsidRPr="009554DD" w:rsidRDefault="00161CBF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 xml:space="preserve">Exhibit </w:t>
          </w:r>
          <w:r w:rsidR="0048314A">
            <w:rPr>
              <w:sz w:val="20"/>
            </w:rPr>
            <w:t>MP</w:t>
          </w:r>
        </w:p>
      </w:tc>
    </w:tr>
  </w:tbl>
  <w:p w:rsidR="005831AB" w:rsidRDefault="00583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1AB" w:rsidRDefault="005831AB">
      <w:r>
        <w:separator/>
      </w:r>
    </w:p>
  </w:footnote>
  <w:footnote w:type="continuationSeparator" w:id="0">
    <w:p w:rsidR="005831AB" w:rsidRDefault="00583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407E7"/>
    <w:rsid w:val="0007095F"/>
    <w:rsid w:val="00076CA2"/>
    <w:rsid w:val="00084F51"/>
    <w:rsid w:val="000915E3"/>
    <w:rsid w:val="000C3F50"/>
    <w:rsid w:val="001014A8"/>
    <w:rsid w:val="0010444F"/>
    <w:rsid w:val="001178BA"/>
    <w:rsid w:val="001209DB"/>
    <w:rsid w:val="00153544"/>
    <w:rsid w:val="00161CBF"/>
    <w:rsid w:val="001E79F8"/>
    <w:rsid w:val="00231B34"/>
    <w:rsid w:val="00274D2B"/>
    <w:rsid w:val="00293802"/>
    <w:rsid w:val="002B46DC"/>
    <w:rsid w:val="002D0FC7"/>
    <w:rsid w:val="002D1327"/>
    <w:rsid w:val="002E15DF"/>
    <w:rsid w:val="002E7BE9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420E0A"/>
    <w:rsid w:val="004347AE"/>
    <w:rsid w:val="0048314A"/>
    <w:rsid w:val="00516DC9"/>
    <w:rsid w:val="00516F6E"/>
    <w:rsid w:val="005211E6"/>
    <w:rsid w:val="00522203"/>
    <w:rsid w:val="0052245A"/>
    <w:rsid w:val="005351ED"/>
    <w:rsid w:val="005831AB"/>
    <w:rsid w:val="00583B4E"/>
    <w:rsid w:val="005D59CA"/>
    <w:rsid w:val="005E1108"/>
    <w:rsid w:val="00611436"/>
    <w:rsid w:val="00642476"/>
    <w:rsid w:val="007C5417"/>
    <w:rsid w:val="007E05CA"/>
    <w:rsid w:val="007E5AB3"/>
    <w:rsid w:val="00821C2E"/>
    <w:rsid w:val="0085625E"/>
    <w:rsid w:val="008565BC"/>
    <w:rsid w:val="008702E2"/>
    <w:rsid w:val="008E35CC"/>
    <w:rsid w:val="008F7E74"/>
    <w:rsid w:val="00912F5D"/>
    <w:rsid w:val="009448A7"/>
    <w:rsid w:val="009554DD"/>
    <w:rsid w:val="00980AFD"/>
    <w:rsid w:val="009B7BE9"/>
    <w:rsid w:val="009C4D9F"/>
    <w:rsid w:val="009D1575"/>
    <w:rsid w:val="009F7726"/>
    <w:rsid w:val="00A105C5"/>
    <w:rsid w:val="00A121FD"/>
    <w:rsid w:val="00A1297E"/>
    <w:rsid w:val="00A41F93"/>
    <w:rsid w:val="00A90B27"/>
    <w:rsid w:val="00AA7021"/>
    <w:rsid w:val="00B12A1A"/>
    <w:rsid w:val="00B24794"/>
    <w:rsid w:val="00B55C5C"/>
    <w:rsid w:val="00B66BBA"/>
    <w:rsid w:val="00BA1F39"/>
    <w:rsid w:val="00C0033C"/>
    <w:rsid w:val="00C12771"/>
    <w:rsid w:val="00C32A12"/>
    <w:rsid w:val="00C76926"/>
    <w:rsid w:val="00CC66DE"/>
    <w:rsid w:val="00CD0B49"/>
    <w:rsid w:val="00D00499"/>
    <w:rsid w:val="00D245BA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3671"/>
    <w:rsid w:val="00E85129"/>
    <w:rsid w:val="00E942A0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033847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d19d087cae13060e25fb35bd0ba2bf1f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2558bf6df8269bcd00ea68ffc59aded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LI-GL-2018-083 - 003 - Rules.docx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2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CircularDate xmlns="284cf17f-426a-42b5-8b6d-39684653dd2f">2018-08-07T04:00:00+00:00</CircularDat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LI-GL-2018-083</CircularNumber>
    <Filings xmlns="284cf17f-426a-42b5-8b6d-39684653dd2f" xsi:nil="true"/>
    <KeyMessage xmlns="284cf17f-426a-42b5-8b6d-39684653dd2f">The revised increased limit factors represent a combined change of 0.7% from the increased limit factors currently in effect.</KeyMessage>
    <PDFSignOffNotification xmlns="284cf17f-426a-42b5-8b6d-39684653dd2f">false</PDFSignOffNotification>
    <CircularDocDescription xmlns="284cf17f-426a-42b5-8b6d-39684653dd2f">Rules</CircularDocDescription>
    <Date_x0020_Modified xmlns="284cf17f-426a-42b5-8b6d-39684653dd2f">2018-07-31T20:05:25+00:00</Date_x0020_Modified>
    <ActionTopic xmlns="284cf17f-426a-42b5-8b6d-39684653dd2f">9</ActionTopic>
    <CircularType xmlns="284cf17f-426a-42b5-8b6d-39684653dd2f">9</CircularType>
    <PSDPDFSignoff xmlns="284cf17f-426a-42b5-8b6d-39684653dd2f">false</PSDPDFSignoff>
    <AuthorName xmlns="284cf17f-426a-42b5-8b6d-39684653dd2f">Schuff, Jeannette</AuthorName>
    <CircId xmlns="284cf17f-426a-42b5-8b6d-39684653dd2f">24924</CircId>
    <KeyMessageDoc xmlns="284cf17f-426a-42b5-8b6d-39684653dd2f" xsi:nil="true"/>
    <CircularTitleDoc xmlns="284cf17f-426a-42b5-8b6d-39684653dd2f" xsi:nil="true"/>
    <CircularStatus xmlns="284cf17f-426a-42b5-8b6d-39684653dd2f">PDF</CircularStatus>
    <CircularTitle xmlns="284cf17f-426a-42b5-8b6d-39684653dd2f">TENNESSEE GENERAL LIABILITY INCREASED LIMIT FACTORS TO BE IMPLEMENTED; EXHIBITS NEWLY PRESENTED IN EXCEL</CircularTitle>
    <StatisticalService xmlns="284cf17f-426a-42b5-8b6d-39684653dd2f"/>
    <AuthorId xmlns="284cf17f-426a-42b5-8b6d-39684653dd2f">i60202</AuthorId>
  </documentManagement>
</p:properties>
</file>

<file path=customXml/itemProps1.xml><?xml version="1.0" encoding="utf-8"?>
<ds:datastoreItem xmlns:ds="http://schemas.openxmlformats.org/officeDocument/2006/customXml" ds:itemID="{DBC76671-3875-418F-A3DD-0C74C408C25C}"/>
</file>

<file path=customXml/itemProps2.xml><?xml version="1.0" encoding="utf-8"?>
<ds:datastoreItem xmlns:ds="http://schemas.openxmlformats.org/officeDocument/2006/customXml" ds:itemID="{17F43AC9-77FD-4497-8A04-AD595C4C9D90}"/>
</file>

<file path=customXml/itemProps3.xml><?xml version="1.0" encoding="utf-8"?>
<ds:datastoreItem xmlns:ds="http://schemas.openxmlformats.org/officeDocument/2006/customXml" ds:itemID="{D9E6D74D-BAEA-42D9-B466-765E07E4C554}"/>
</file>

<file path=customXml/itemProps4.xml><?xml version="1.0" encoding="utf-8"?>
<ds:datastoreItem xmlns:ds="http://schemas.openxmlformats.org/officeDocument/2006/customXml" ds:itemID="{C814AF88-B229-4665-9320-C173883D913A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7</Pages>
  <Words>1132</Words>
  <Characters>5609</Characters>
  <Application>Microsoft Office Word</Application>
  <DocSecurity>0</DocSecurity>
  <Lines>2199</Lines>
  <Paragraphs>735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2018-07-12T18:14:00Z</dcterms:created>
  <dcterms:modified xsi:type="dcterms:W3CDTF">2018-07-30T20:10:00Z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45;#TN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