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540" w:rsidRPr="000D2540" w:rsidRDefault="000D2540" w:rsidP="000D2540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  <w:bookmarkStart w:id="0" w:name="_GoBack"/>
      <w:bookmarkEnd w:id="0"/>
      <w:r w:rsidRPr="000D2540">
        <w:rPr>
          <w:rFonts w:ascii="Times New Roman" w:eastAsia="Times New Roman" w:hAnsi="Times New Roman" w:cs="Times New Roman"/>
          <w:szCs w:val="20"/>
        </w:rPr>
        <w:t>ALABAMA</w:t>
      </w:r>
    </w:p>
    <w:p w:rsidR="000D2540" w:rsidRPr="000D2540" w:rsidRDefault="000D2540" w:rsidP="000D2540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0D2540" w:rsidRPr="000D2540" w:rsidRDefault="000D2540" w:rsidP="000D2540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  <w:r w:rsidRPr="000D2540">
        <w:rPr>
          <w:rFonts w:ascii="Times New Roman" w:eastAsia="Times New Roman" w:hAnsi="Times New Roman" w:cs="Times New Roman"/>
          <w:szCs w:val="20"/>
        </w:rPr>
        <w:t>BUSINESSOWNERS</w:t>
      </w:r>
    </w:p>
    <w:p w:rsidR="000D2540" w:rsidRPr="000D2540" w:rsidRDefault="000D2540" w:rsidP="000D2540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0D2540" w:rsidRPr="000D2540" w:rsidRDefault="000D2540" w:rsidP="000D2540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0D2540" w:rsidRPr="000D2540" w:rsidRDefault="000D2540" w:rsidP="000D2540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  <w:r w:rsidRPr="000D2540">
        <w:rPr>
          <w:rFonts w:ascii="Times New Roman" w:eastAsia="Times New Roman" w:hAnsi="Times New Roman" w:cs="Times New Roman"/>
          <w:szCs w:val="20"/>
        </w:rPr>
        <w:t>SECTION E - REVISED STATE LOSS COSTS</w:t>
      </w:r>
    </w:p>
    <w:p w:rsidR="000D2540" w:rsidRPr="000D2540" w:rsidRDefault="000D2540" w:rsidP="000D2540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8352"/>
        <w:gridCol w:w="1008"/>
      </w:tblGrid>
      <w:tr w:rsidR="000D2540" w:rsidRPr="000D2540" w:rsidTr="0076273A">
        <w:trPr>
          <w:trHeight w:val="320"/>
        </w:trPr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:rsidR="000D2540" w:rsidRPr="000D2540" w:rsidRDefault="000D2540" w:rsidP="000D2540">
            <w:pPr>
              <w:tabs>
                <w:tab w:val="left" w:pos="2160"/>
                <w:tab w:val="right" w:leader="dot" w:pos="82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4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0D2540">
              <w:rPr>
                <w:rFonts w:ascii="Times New Roman" w:eastAsia="Times New Roman" w:hAnsi="Times New Roman" w:cs="Times New Roman"/>
                <w:szCs w:val="20"/>
              </w:rPr>
              <w:t>Revised State Loss Costs …………………………………………………………………….</w:t>
            </w:r>
            <w:r w:rsidRPr="000D2540">
              <w:rPr>
                <w:rFonts w:ascii="Times New Roman" w:eastAsia="Times New Roman" w:hAnsi="Times New Roman" w:cs="Times New Roman"/>
              </w:rPr>
              <w:t>..</w:t>
            </w:r>
            <w:r w:rsidRPr="000D2540">
              <w:rPr>
                <w:rFonts w:ascii="Times New Roman" w:eastAsia="Times New Roman" w:hAnsi="Times New Roman" w:cs="Times New Roman"/>
                <w:szCs w:val="20"/>
              </w:rPr>
              <w:t xml:space="preserve">                                                                                      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0D2540">
              <w:rPr>
                <w:rFonts w:ascii="Times New Roman" w:eastAsia="Times New Roman" w:hAnsi="Times New Roman" w:cs="Times New Roman"/>
                <w:szCs w:val="20"/>
              </w:rPr>
              <w:t>E-2-</w:t>
            </w:r>
            <w:r w:rsidR="00081B74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0D2540">
              <w:rPr>
                <w:rFonts w:ascii="Times New Roman" w:eastAsia="Times New Roman" w:hAnsi="Times New Roman" w:cs="Times New Roman"/>
                <w:szCs w:val="20"/>
              </w:rPr>
              <w:t xml:space="preserve">   </w:t>
            </w:r>
          </w:p>
        </w:tc>
      </w:tr>
    </w:tbl>
    <w:p w:rsidR="000D2540" w:rsidRPr="000D2540" w:rsidRDefault="000D2540" w:rsidP="000D25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after="0" w:line="240" w:lineRule="auto"/>
        <w:ind w:left="2160" w:hanging="2160"/>
        <w:jc w:val="center"/>
        <w:textAlignment w:val="baseline"/>
        <w:outlineLvl w:val="0"/>
        <w:rPr>
          <w:rFonts w:ascii="Times New Roman" w:eastAsia="Times New Roman" w:hAnsi="Times New Roman" w:cs="Times New Roman"/>
          <w:szCs w:val="20"/>
        </w:rPr>
      </w:pPr>
      <w:r w:rsidRPr="000D2540">
        <w:rPr>
          <w:rFonts w:ascii="Times New Roman" w:eastAsia="Times New Roman" w:hAnsi="Times New Roman" w:cs="Times New Roman"/>
          <w:szCs w:val="20"/>
        </w:rPr>
        <w:t xml:space="preserve"> </w:t>
      </w: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0D2540" w:rsidRPr="00182AA0" w:rsidRDefault="000D2540" w:rsidP="00182A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Cs w:val="20"/>
        </w:rPr>
        <w:sectPr w:rsidR="000D2540" w:rsidRPr="00182AA0" w:rsidSect="000D25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080" w:bottom="1440" w:left="1080" w:header="288" w:footer="288" w:gutter="0"/>
          <w:paperSrc w:first="7" w:other="7"/>
          <w:cols w:space="720"/>
          <w:docGrid w:linePitch="326"/>
        </w:sectPr>
      </w:pPr>
      <w:r w:rsidRPr="000D2540">
        <w:rPr>
          <w:rFonts w:ascii="Times New Roman" w:eastAsia="Times New Roman" w:hAnsi="Times New Roman" w:cs="Times New Roman"/>
          <w:szCs w:val="20"/>
        </w:rPr>
        <w:br w:type="page"/>
      </w:r>
    </w:p>
    <w:p w:rsidR="000D2540" w:rsidRPr="000D2540" w:rsidRDefault="000D2540" w:rsidP="000D2540">
      <w:pPr>
        <w:keepLines/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caps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caps/>
          <w:sz w:val="18"/>
          <w:szCs w:val="20"/>
        </w:rPr>
        <w:lastRenderedPageBreak/>
        <w:t>LOSS COSTS</w:t>
      </w: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0D2540" w:rsidRPr="000D2540" w:rsidTr="0076273A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BASE LOSS COSTS</w:t>
            </w:r>
          </w:p>
        </w:tc>
      </w:tr>
      <w:tr w:rsidR="000D2540" w:rsidRPr="000D2540" w:rsidTr="0076273A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LIABILITY</w:t>
            </w:r>
          </w:p>
        </w:tc>
      </w:tr>
      <w:tr w:rsidR="000D2540" w:rsidRPr="000D2540" w:rsidTr="0076273A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Building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 $100 Of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Business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Personal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Property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 $100 Of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Occupant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$100 Of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Occupant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$1,000 Of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Annual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Occupant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$1,000 Of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Annual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Lessors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$100 Of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</w:tr>
      <w:tr w:rsidR="000D2540" w:rsidRPr="000D2540" w:rsidTr="0076273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0.273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0.307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0.097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1.622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9.178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0.021</w:t>
            </w:r>
          </w:p>
        </w:tc>
      </w:tr>
      <w:tr w:rsidR="000D2540" w:rsidRPr="000D2540" w:rsidTr="0076273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0.262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0.336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0.054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1.935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8.953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0.014</w:t>
            </w:r>
          </w:p>
        </w:tc>
      </w:tr>
      <w:tr w:rsidR="000D2540" w:rsidRPr="000D2540" w:rsidTr="0076273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0.647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0.519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0.083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1.943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8.141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0.016</w:t>
            </w:r>
          </w:p>
        </w:tc>
      </w:tr>
      <w:tr w:rsidR="000D2540" w:rsidRPr="000D2540" w:rsidTr="0076273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006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1.005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0.671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0.106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2.303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8.744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0.020</w:t>
            </w:r>
          </w:p>
        </w:tc>
      </w:tr>
      <w:tr w:rsidR="000D2540" w:rsidRPr="000D2540" w:rsidTr="0076273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</w:tbl>
    <w:p w:rsidR="000D2540" w:rsidRPr="000D2540" w:rsidRDefault="000D2540" w:rsidP="000D2540">
      <w:pPr>
        <w:overflowPunct w:val="0"/>
        <w:autoSpaceDE w:val="0"/>
        <w:autoSpaceDN w:val="0"/>
        <w:adjustRightInd w:val="0"/>
        <w:spacing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0D2540" w:rsidRPr="000D2540" w:rsidSect="000D2540">
          <w:headerReference w:type="default" r:id="rId13"/>
          <w:pgSz w:w="12240" w:h="15840"/>
          <w:pgMar w:top="1800" w:right="1200" w:bottom="1560" w:left="960" w:header="288" w:footer="288" w:gutter="0"/>
          <w:cols w:space="0"/>
          <w:docGrid w:linePitch="299"/>
        </w:sectPr>
      </w:pP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lastRenderedPageBreak/>
        <w:t>Table #1(LC) Base Loss Costs – Property And Liability</w:t>
      </w: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0D2540" w:rsidRPr="000D2540" w:rsidSect="000D2540">
          <w:headerReference w:type="default" r:id="rId14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0D2540" w:rsidRPr="000D2540" w:rsidRDefault="000D2540" w:rsidP="000D2540">
      <w:pPr>
        <w:keepLines/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caps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caps/>
          <w:sz w:val="18"/>
          <w:szCs w:val="20"/>
        </w:rPr>
        <w:t>SECTION iii</w:t>
      </w:r>
      <w:r w:rsidRPr="000D2540">
        <w:rPr>
          <w:rFonts w:ascii="Arial" w:eastAsia="Times New Roman" w:hAnsi="Arial" w:cs="Times New Roman"/>
          <w:b/>
          <w:caps/>
          <w:sz w:val="18"/>
          <w:szCs w:val="20"/>
        </w:rPr>
        <w:br/>
        <w:t>Rating and eligibility rules</w:t>
      </w: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0D2540" w:rsidRPr="000D2540" w:rsidRDefault="000D2540" w:rsidP="000D2540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t>RULE 23.</w:t>
      </w:r>
      <w:r w:rsidRPr="000D2540">
        <w:rPr>
          <w:rFonts w:ascii="Arial" w:eastAsia="Times New Roman" w:hAnsi="Arial" w:cs="Times New Roman"/>
          <w:b/>
          <w:sz w:val="18"/>
          <w:szCs w:val="20"/>
        </w:rPr>
        <w:br/>
        <w:t>PREMIUM DEVELOPMENT – MANDATORY COVERAGES</w:t>
      </w:r>
    </w:p>
    <w:p w:rsidR="000D2540" w:rsidRPr="000D2540" w:rsidRDefault="000D2540" w:rsidP="000D2540">
      <w:pPr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C.</w:t>
      </w: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0D2540" w:rsidRPr="000D2540" w:rsidRDefault="000D2540" w:rsidP="000D2540">
      <w:pPr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6.</w:t>
      </w: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0D2540" w:rsidRPr="000D2540" w:rsidRDefault="000D2540" w:rsidP="000D2540">
      <w:pPr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c.</w:t>
      </w: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Additional Rating Considerations</w:t>
      </w:r>
    </w:p>
    <w:p w:rsidR="000D2540" w:rsidRPr="000D2540" w:rsidRDefault="000D2540" w:rsidP="000D2540">
      <w:pPr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(3)</w:t>
      </w: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Permanent Yards – Maintenance Or Storage</w:t>
      </w: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  <w:r w:rsidRPr="000D2540">
        <w:rPr>
          <w:rFonts w:ascii="Arial" w:eastAsia="Times New Roman" w:hAnsi="Arial" w:cs="Times New Roman"/>
          <w:sz w:val="18"/>
          <w:szCs w:val="20"/>
        </w:rPr>
        <w:br w:type="column"/>
      </w: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0D2540" w:rsidRPr="000D2540" w:rsidSect="000D2540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after="0" w:line="160" w:lineRule="exact"/>
        <w:jc w:val="both"/>
        <w:textAlignment w:val="baseline"/>
        <w:rPr>
          <w:rFonts w:ascii="Times New Roman" w:eastAsia="Times New Roman" w:hAnsi="Times New Roman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0D2540" w:rsidRPr="000D2540" w:rsidTr="0076273A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Loss Cost Per $100</w:t>
            </w:r>
          </w:p>
        </w:tc>
      </w:tr>
      <w:tr w:rsidR="000D2540" w:rsidRPr="000D2540" w:rsidTr="0076273A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Public Protection (Fire) Classification</w:t>
            </w:r>
          </w:p>
        </w:tc>
      </w:tr>
      <w:tr w:rsidR="000D2540" w:rsidRPr="000D2540" w:rsidTr="0076273A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09–10</w:t>
            </w:r>
          </w:p>
        </w:tc>
      </w:tr>
      <w:tr w:rsidR="000D2540" w:rsidRPr="000D2540" w:rsidTr="0076273A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 xml:space="preserve">001, 004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0.313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0.349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0.385</w:t>
            </w:r>
          </w:p>
        </w:tc>
      </w:tr>
      <w:tr w:rsidR="000D2540" w:rsidRPr="000D2540" w:rsidTr="0076273A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 xml:space="preserve">005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0.661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0.697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0.734</w:t>
            </w:r>
          </w:p>
        </w:tc>
      </w:tr>
      <w:tr w:rsidR="000D2540" w:rsidRPr="000D2540" w:rsidTr="0076273A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 xml:space="preserve">006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0.747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0.783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0.819</w:t>
            </w:r>
          </w:p>
        </w:tc>
      </w:tr>
    </w:tbl>
    <w:p w:rsidR="000D2540" w:rsidRPr="000D2540" w:rsidRDefault="000D2540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  <w:sectPr w:rsidR="000D2540" w:rsidRPr="000D2540" w:rsidSect="000D2540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99"/>
        </w:sectPr>
      </w:pP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  <w:u w:val="single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lastRenderedPageBreak/>
        <w:t>Table 23.C.6.c.(3)(LC) Permanent Yards – Maintenance Or Storage Premium Determination</w:t>
      </w: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0D2540" w:rsidRPr="000D2540" w:rsidSect="000D2540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0D2540" w:rsidRDefault="000D2540">
      <w:pPr>
        <w:sectPr w:rsidR="000D2540" w:rsidSect="000D2540">
          <w:headerReference w:type="default" r:id="rId15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0D2540" w:rsidRPr="000D2540" w:rsidRDefault="000D2540" w:rsidP="000D2540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lastRenderedPageBreak/>
        <w:t>RULE 29.</w:t>
      </w:r>
      <w:r w:rsidRPr="000D2540">
        <w:rPr>
          <w:rFonts w:ascii="Arial" w:eastAsia="Times New Roman" w:hAnsi="Arial" w:cs="Times New Roman"/>
          <w:b/>
          <w:sz w:val="18"/>
          <w:szCs w:val="20"/>
        </w:rPr>
        <w:br/>
        <w:t>ENDORSEMENTS</w:t>
      </w:r>
    </w:p>
    <w:p w:rsidR="000D2540" w:rsidRPr="000D2540" w:rsidRDefault="000D2540" w:rsidP="000D2540">
      <w:pPr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A.</w:t>
      </w: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Property Endorsements</w:t>
      </w:r>
    </w:p>
    <w:p w:rsidR="000D2540" w:rsidRPr="000D2540" w:rsidRDefault="000D2540" w:rsidP="000D2540">
      <w:pPr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39.</w:t>
      </w: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Windstorm Or Hail Exclusion</w:t>
      </w:r>
    </w:p>
    <w:p w:rsidR="000D2540" w:rsidRPr="000D2540" w:rsidRDefault="000D2540" w:rsidP="000D2540">
      <w:pPr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d.</w:t>
      </w: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Rate Modification</w:t>
      </w: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0D2540" w:rsidRPr="000D2540" w:rsidTr="0076273A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Credit</w:t>
            </w:r>
          </w:p>
        </w:tc>
      </w:tr>
      <w:tr w:rsidR="000D2540" w:rsidRPr="000D2540" w:rsidTr="0076273A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0.159</w:t>
            </w: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  <w:t>0.036</w:t>
            </w:r>
          </w:p>
        </w:tc>
      </w:tr>
      <w:tr w:rsidR="000D2540" w:rsidRPr="000D2540" w:rsidTr="0076273A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0.124</w:t>
            </w: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  <w:t>0.051</w:t>
            </w:r>
          </w:p>
        </w:tc>
      </w:tr>
      <w:tr w:rsidR="000D2540" w:rsidRPr="000D2540" w:rsidTr="0076273A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0.551</w:t>
            </w: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  <w:t>0.375</w:t>
            </w:r>
          </w:p>
        </w:tc>
      </w:tr>
      <w:tr w:rsidR="000D2540" w:rsidRPr="000D2540" w:rsidTr="0076273A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006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0.839</w:t>
            </w: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  <w:t>0.573</w:t>
            </w:r>
          </w:p>
        </w:tc>
      </w:tr>
    </w:tbl>
    <w:p w:rsidR="000D2540" w:rsidRPr="000D2540" w:rsidRDefault="000D2540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t>Table 29.A.39.d.(LC) Windstorm Or Hail Exclusion Credits</w:t>
      </w: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0D2540" w:rsidRPr="000D2540" w:rsidRDefault="000D2540" w:rsidP="000D2540">
      <w:pPr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br w:type="column"/>
      </w:r>
      <w:r w:rsidRPr="000D2540">
        <w:rPr>
          <w:rFonts w:ascii="Arial" w:eastAsia="Times New Roman" w:hAnsi="Arial" w:cs="Times New Roman"/>
          <w:b/>
          <w:sz w:val="18"/>
          <w:szCs w:val="20"/>
        </w:rPr>
        <w:lastRenderedPageBreak/>
        <w:tab/>
        <w:t>B.</w:t>
      </w: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Liability Endorsements</w:t>
      </w:r>
    </w:p>
    <w:p w:rsidR="000D2540" w:rsidRPr="000D2540" w:rsidRDefault="000D2540" w:rsidP="000D2540">
      <w:pPr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7.</w:t>
      </w: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Employment-Related Practices Liability</w:t>
      </w:r>
    </w:p>
    <w:p w:rsidR="000D2540" w:rsidRPr="000D2540" w:rsidRDefault="000D2540" w:rsidP="000D2540">
      <w:pPr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b.</w:t>
      </w: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Employment-Related Practices Liability Coverage Endorsement</w:t>
      </w:r>
    </w:p>
    <w:p w:rsidR="000D2540" w:rsidRPr="000D2540" w:rsidRDefault="000D2540" w:rsidP="000D2540">
      <w:pPr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(5)</w:t>
      </w:r>
      <w:r w:rsidRPr="000D2540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0D2540" w:rsidRPr="000D2540" w:rsidRDefault="000D2540" w:rsidP="000D2540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0D2540" w:rsidRPr="000D2540" w:rsidTr="0076273A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Loss Cost Per Employee</w:t>
            </w:r>
          </w:p>
        </w:tc>
      </w:tr>
      <w:tr w:rsidR="000D2540" w:rsidRPr="000D2540" w:rsidTr="0076273A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t xml:space="preserve"> Mercantile</w:t>
            </w: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All Other</w:t>
            </w:r>
          </w:p>
        </w:tc>
      </w:tr>
      <w:tr w:rsidR="000D2540" w:rsidRPr="000D2540" w:rsidTr="0076273A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6.670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9.930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7.940</w:t>
            </w:r>
          </w:p>
        </w:tc>
      </w:tr>
      <w:tr w:rsidR="000D2540" w:rsidRPr="000D2540" w:rsidTr="0076273A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  <w:t>4.670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  <w:t>6.950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2540" w:rsidRPr="000D2540" w:rsidRDefault="000D2540" w:rsidP="000D2540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0D2540">
              <w:rPr>
                <w:rFonts w:ascii="Arial" w:eastAsia="Times New Roman" w:hAnsi="Arial" w:cs="Times New Roman"/>
                <w:sz w:val="18"/>
                <w:szCs w:val="20"/>
              </w:rPr>
              <w:br/>
              <w:t>5.560</w:t>
            </w:r>
          </w:p>
        </w:tc>
      </w:tr>
    </w:tbl>
    <w:p w:rsidR="000D2540" w:rsidRPr="000D2540" w:rsidRDefault="000D2540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0D2540">
        <w:rPr>
          <w:rFonts w:ascii="Arial" w:eastAsia="Times New Roman" w:hAnsi="Arial" w:cs="Times New Roman"/>
          <w:b/>
          <w:sz w:val="18"/>
          <w:szCs w:val="20"/>
        </w:rPr>
        <w:t>Table 29.B.7.b.(5)(LC) Employment-Related Practices Liability Premium Determination</w:t>
      </w:r>
    </w:p>
    <w:p w:rsidR="000D2540" w:rsidRDefault="000D2540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Pr="000D2540" w:rsidRDefault="00A76DB8" w:rsidP="000D2540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76DB8" w:rsidRDefault="00A76DB8" w:rsidP="00A76DB8">
      <w:pPr>
        <w:pStyle w:val="subcap"/>
        <w:outlineLvl w:val="0"/>
      </w:pPr>
    </w:p>
    <w:p w:rsidR="00A76DB8" w:rsidRPr="00E85152" w:rsidRDefault="00A76DB8" w:rsidP="00A76DB8">
      <w:pPr>
        <w:pStyle w:val="subcap"/>
        <w:outlineLvl w:val="0"/>
      </w:pPr>
      <w:r w:rsidRPr="00E85152">
        <w:t>ADDITIONAL RULE(S)</w:t>
      </w:r>
    </w:p>
    <w:p w:rsidR="00A76DB8" w:rsidRDefault="00A76DB8" w:rsidP="00A76DB8">
      <w:pPr>
        <w:pStyle w:val="isonormal"/>
      </w:pPr>
    </w:p>
    <w:p w:rsidR="00A76DB8" w:rsidRDefault="00A76DB8" w:rsidP="00A76DB8">
      <w:pPr>
        <w:pStyle w:val="boxrule"/>
        <w:outlineLvl w:val="0"/>
      </w:pPr>
      <w:r>
        <w:t>A1.  WINDSTORM OR HAIL EXCLUSION – DIRECT DAMAGE</w:t>
      </w:r>
    </w:p>
    <w:p w:rsidR="00A76DB8" w:rsidRDefault="00A76DB8" w:rsidP="00A76DB8">
      <w:pPr>
        <w:pStyle w:val="isonormal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080"/>
        <w:gridCol w:w="2880"/>
        <w:gridCol w:w="910"/>
      </w:tblGrid>
      <w:tr w:rsidR="00A76DB8" w:rsidTr="001E4FCB">
        <w:trPr>
          <w:cantSplit/>
          <w:trHeight w:val="190"/>
        </w:trPr>
        <w:tc>
          <w:tcPr>
            <w:tcW w:w="200" w:type="dxa"/>
          </w:tcPr>
          <w:p w:rsidR="00A76DB8" w:rsidRDefault="00A76DB8" w:rsidP="001E4FCB">
            <w:pPr>
              <w:pStyle w:val="tablehead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6DB8" w:rsidRDefault="00A76DB8" w:rsidP="001E4FCB">
            <w:pPr>
              <w:pStyle w:val="tablehead"/>
            </w:pPr>
            <w: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6DB8" w:rsidRDefault="00A76DB8" w:rsidP="001E4FCB">
            <w:pPr>
              <w:pStyle w:val="tablehead"/>
            </w:pPr>
            <w:r>
              <w:t>Coverage (Code)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6DB8" w:rsidRDefault="00A76DB8" w:rsidP="001E4FCB">
            <w:pPr>
              <w:pStyle w:val="tablehead"/>
            </w:pPr>
            <w:r>
              <w:t>Credit</w:t>
            </w:r>
          </w:p>
        </w:tc>
      </w:tr>
      <w:tr w:rsidR="00A76DB8" w:rsidTr="001E4FCB">
        <w:trPr>
          <w:cantSplit/>
          <w:trHeight w:val="190"/>
        </w:trPr>
        <w:tc>
          <w:tcPr>
            <w:tcW w:w="200" w:type="dxa"/>
            <w:hideMark/>
          </w:tcPr>
          <w:p w:rsidR="00A76DB8" w:rsidRDefault="00A76DB8" w:rsidP="001E4FCB">
            <w:pPr>
              <w:pStyle w:val="tabletext11"/>
            </w:pPr>
            <w: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6DB8" w:rsidRDefault="00A76DB8" w:rsidP="001E4FCB">
            <w:pPr>
              <w:pStyle w:val="tabletext11"/>
              <w:jc w:val="center"/>
            </w:pPr>
            <w:r>
              <w:t>005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6DB8" w:rsidRDefault="00A76DB8" w:rsidP="001E4FCB">
            <w:pPr>
              <w:pStyle w:val="tabletext11"/>
            </w:pPr>
            <w:r>
              <w:t>Buildings (1)</w:t>
            </w:r>
            <w:r>
              <w:br/>
              <w:t>Business Personal Property (2)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6DB8" w:rsidRDefault="00A76DB8" w:rsidP="001E4FCB">
            <w:pPr>
              <w:pStyle w:val="tabletext11"/>
              <w:tabs>
                <w:tab w:val="decimal" w:pos="230"/>
              </w:tabs>
            </w:pPr>
            <w:r>
              <w:t>0.</w:t>
            </w:r>
            <w:del w:id="1" w:author="Author" w:date="2019-05-13T11:45:00Z">
              <w:r w:rsidDel="0049576F">
                <w:delText>428</w:delText>
              </w:r>
            </w:del>
            <w:ins w:id="2" w:author="Author" w:date="2019-05-13T11:45:00Z">
              <w:r>
                <w:t>410</w:t>
              </w:r>
            </w:ins>
            <w:r>
              <w:br/>
              <w:t>0.</w:t>
            </w:r>
            <w:del w:id="3" w:author="Author" w:date="2019-05-13T11:46:00Z">
              <w:r w:rsidDel="0049576F">
                <w:delText>290</w:delText>
              </w:r>
            </w:del>
            <w:ins w:id="4" w:author="Author" w:date="2019-05-13T11:46:00Z">
              <w:r>
                <w:t>240</w:t>
              </w:r>
            </w:ins>
          </w:p>
        </w:tc>
      </w:tr>
      <w:tr w:rsidR="00A76DB8" w:rsidTr="001E4FCB">
        <w:trPr>
          <w:cantSplit/>
          <w:trHeight w:val="190"/>
        </w:trPr>
        <w:tc>
          <w:tcPr>
            <w:tcW w:w="200" w:type="dxa"/>
            <w:hideMark/>
          </w:tcPr>
          <w:p w:rsidR="00A76DB8" w:rsidRDefault="00A76DB8" w:rsidP="001E4FCB">
            <w:pPr>
              <w:pStyle w:val="tabletext11"/>
            </w:pPr>
            <w: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6DB8" w:rsidRDefault="00A76DB8" w:rsidP="001E4FCB">
            <w:pPr>
              <w:pStyle w:val="tabletext11"/>
              <w:jc w:val="center"/>
            </w:pPr>
            <w:r>
              <w:t>006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6DB8" w:rsidRDefault="00A76DB8" w:rsidP="001E4FCB">
            <w:pPr>
              <w:pStyle w:val="tabletext11"/>
            </w:pPr>
            <w:r>
              <w:t>Buildings (1)</w:t>
            </w:r>
            <w:r>
              <w:br/>
              <w:t>Business Personal Property (2)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6DB8" w:rsidRDefault="00A76DB8" w:rsidP="001E4FCB">
            <w:pPr>
              <w:pStyle w:val="tabletext11"/>
              <w:tabs>
                <w:tab w:val="decimal" w:pos="230"/>
              </w:tabs>
            </w:pPr>
            <w:r>
              <w:t>0.</w:t>
            </w:r>
            <w:del w:id="5" w:author="Author" w:date="2019-05-13T11:46:00Z">
              <w:r w:rsidDel="0049576F">
                <w:delText>578</w:delText>
              </w:r>
            </w:del>
            <w:ins w:id="6" w:author="Author" w:date="2019-05-13T11:46:00Z">
              <w:r>
                <w:t>585</w:t>
              </w:r>
            </w:ins>
            <w:r>
              <w:br/>
              <w:t>0.</w:t>
            </w:r>
            <w:del w:id="7" w:author="Author" w:date="2019-05-13T11:46:00Z">
              <w:r w:rsidDel="0049576F">
                <w:delText>424</w:delText>
              </w:r>
            </w:del>
            <w:ins w:id="8" w:author="Author" w:date="2019-05-13T11:46:00Z">
              <w:r>
                <w:t>363</w:t>
              </w:r>
            </w:ins>
          </w:p>
        </w:tc>
      </w:tr>
    </w:tbl>
    <w:p w:rsidR="00A76DB8" w:rsidRDefault="00A76DB8" w:rsidP="00A76DB8">
      <w:pPr>
        <w:pStyle w:val="tablecaption"/>
      </w:pPr>
      <w:r>
        <w:t>Table A1.C.(LC) Windstorm Or Hail Exclusion Credits – Direct Damage</w:t>
      </w:r>
    </w:p>
    <w:p w:rsidR="00A76DB8" w:rsidRDefault="00A76DB8" w:rsidP="00A76DB8">
      <w:pPr>
        <w:pStyle w:val="isonormal"/>
      </w:pPr>
    </w:p>
    <w:p w:rsidR="00A76DB8" w:rsidRDefault="00A76DB8" w:rsidP="00A76DB8">
      <w:pPr>
        <w:pStyle w:val="boxrule"/>
        <w:outlineLvl w:val="0"/>
      </w:pPr>
      <w:r>
        <w:t>A2.  TERRORISM</w:t>
      </w:r>
    </w:p>
    <w:p w:rsidR="00A76DB8" w:rsidRDefault="00A76DB8" w:rsidP="00A76DB8">
      <w:pPr>
        <w:pStyle w:val="blocktext1"/>
      </w:pPr>
      <w:r>
        <w:t>Refer to the Terrorism Supplement to the CLM.</w:t>
      </w:r>
    </w:p>
    <w:p w:rsidR="00A76DB8" w:rsidRDefault="00A76DB8" w:rsidP="00A76DB8">
      <w:pPr>
        <w:pStyle w:val="isonormal"/>
      </w:pPr>
    </w:p>
    <w:p w:rsidR="00BF3844" w:rsidRDefault="00BF3844"/>
    <w:sectPr w:rsidR="00BF3844" w:rsidSect="000D2540">
      <w:headerReference w:type="default" r:id="rId16"/>
      <w:pgSz w:w="12240" w:h="15840" w:code="1"/>
      <w:pgMar w:top="1800" w:right="1200" w:bottom="1560" w:left="960" w:header="288" w:footer="288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540" w:rsidRDefault="000D2540" w:rsidP="000D2540">
      <w:pPr>
        <w:spacing w:after="0" w:line="240" w:lineRule="auto"/>
      </w:pPr>
      <w:r>
        <w:separator/>
      </w:r>
    </w:p>
  </w:endnote>
  <w:endnote w:type="continuationSeparator" w:id="0">
    <w:p w:rsidR="000D2540" w:rsidRDefault="000D2540" w:rsidP="000D2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9CD" w:rsidRDefault="00A76DB8" w:rsidP="000D25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F49CD" w:rsidRDefault="00E77D4F" w:rsidP="004F49C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540" w:rsidRPr="000D2540" w:rsidRDefault="000D2540" w:rsidP="000D2540">
    <w:pPr>
      <w:pStyle w:val="Footer"/>
      <w:framePr w:h="440" w:hSpace="180" w:wrap="around" w:vAnchor="page" w:hAnchor="margin" w:xAlign="center" w:yAlign="bottom" w:anchorLock="1"/>
      <w:jc w:val="center"/>
      <w:rPr>
        <w:rStyle w:val="PageNumber"/>
        <w:sz w:val="18"/>
      </w:rPr>
    </w:pPr>
    <w:r w:rsidRPr="000D2540">
      <w:rPr>
        <w:rStyle w:val="PageNumber"/>
        <w:sz w:val="18"/>
      </w:rPr>
      <w:t>© Insurance Services Office, Inc., 2019        ALABAMA        BP-2019-RLA1        E-</w:t>
    </w:r>
    <w:r w:rsidRPr="000D2540">
      <w:rPr>
        <w:rStyle w:val="PageNumber"/>
        <w:sz w:val="18"/>
      </w:rPr>
      <w:fldChar w:fldCharType="begin"/>
    </w:r>
    <w:r w:rsidRPr="000D2540">
      <w:rPr>
        <w:rStyle w:val="PageNumber"/>
        <w:sz w:val="18"/>
      </w:rPr>
      <w:instrText xml:space="preserve"> PAGE </w:instrText>
    </w:r>
    <w:r w:rsidRPr="000D2540">
      <w:rPr>
        <w:rStyle w:val="PageNumber"/>
        <w:sz w:val="18"/>
      </w:rPr>
      <w:fldChar w:fldCharType="separate"/>
    </w:r>
    <w:r w:rsidR="00E77D4F">
      <w:rPr>
        <w:rStyle w:val="PageNumber"/>
        <w:noProof/>
        <w:sz w:val="18"/>
      </w:rPr>
      <w:t>1</w:t>
    </w:r>
    <w:r w:rsidRPr="000D2540">
      <w:rPr>
        <w:rStyle w:val="PageNumber"/>
        <w:sz w:val="18"/>
      </w:rPr>
      <w:fldChar w:fldCharType="end"/>
    </w:r>
  </w:p>
  <w:p w:rsidR="004F49CD" w:rsidRPr="000D2540" w:rsidRDefault="00E77D4F" w:rsidP="000D2540">
    <w:pPr>
      <w:pStyle w:val="Footer"/>
      <w:framePr w:h="440" w:hSpace="180" w:wrap="around" w:vAnchor="page" w:hAnchor="margin" w:xAlign="center" w:yAlign="bottom" w:anchorLock="1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540" w:rsidRDefault="000D25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540" w:rsidRDefault="000D2540" w:rsidP="000D2540">
      <w:pPr>
        <w:spacing w:after="0" w:line="240" w:lineRule="auto"/>
      </w:pPr>
      <w:r>
        <w:separator/>
      </w:r>
    </w:p>
  </w:footnote>
  <w:footnote w:type="continuationSeparator" w:id="0">
    <w:p w:rsidR="000D2540" w:rsidRDefault="000D2540" w:rsidP="000D2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540" w:rsidRDefault="000D25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540" w:rsidRDefault="000D25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540" w:rsidRDefault="000D254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D2540">
      <w:tc>
        <w:tcPr>
          <w:tcW w:w="2420" w:type="dxa"/>
        </w:tcPr>
        <w:p w:rsidR="000D2540" w:rsidRDefault="000D2540">
          <w:pPr>
            <w:pStyle w:val="Header"/>
          </w:pPr>
          <w:r>
            <w:t>ALABAMA (01)</w:t>
          </w:r>
          <w:r>
            <w:br/>
          </w:r>
        </w:p>
      </w:tc>
      <w:tc>
        <w:tcPr>
          <w:tcW w:w="5440" w:type="dxa"/>
        </w:tcPr>
        <w:p w:rsidR="000D2540" w:rsidRDefault="000D2540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0D2540" w:rsidRDefault="000D2540">
          <w:pPr>
            <w:pStyle w:val="Header"/>
            <w:jc w:val="right"/>
          </w:pPr>
          <w:r>
            <w:br/>
          </w:r>
        </w:p>
      </w:tc>
    </w:tr>
  </w:tbl>
  <w:p w:rsidR="000D2540" w:rsidRDefault="000D2540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D2540">
      <w:tc>
        <w:tcPr>
          <w:tcW w:w="2420" w:type="dxa"/>
        </w:tcPr>
        <w:p w:rsidR="000D2540" w:rsidRDefault="000D2540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:rsidR="000D2540" w:rsidRDefault="000D2540">
          <w:pPr>
            <w:pStyle w:val="Header"/>
            <w:jc w:val="center"/>
          </w:pPr>
          <w:r>
            <w:t>COMMERCIAL LINES MANUAL</w:t>
          </w:r>
          <w:r>
            <w:br/>
            <w:t>DIVISION NINE 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0D2540" w:rsidRDefault="000D2540">
          <w:pPr>
            <w:pStyle w:val="Header"/>
            <w:jc w:val="right"/>
          </w:pPr>
          <w:r>
            <w:t>STATE (##)</w:t>
          </w:r>
        </w:p>
      </w:tc>
    </w:tr>
  </w:tbl>
  <w:p w:rsidR="000D2540" w:rsidRDefault="000D2540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A76DB8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:rsidR="00A65178" w:rsidRDefault="00A76DB8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A76DB8">
          <w:pPr>
            <w:pStyle w:val="Header"/>
            <w:jc w:val="right"/>
          </w:pPr>
          <w:r>
            <w:t>SUBLINE CODE 915</w:t>
          </w:r>
        </w:p>
      </w:tc>
    </w:tr>
  </w:tbl>
  <w:p w:rsidR="00A65178" w:rsidRDefault="00E77D4F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925B0" w:rsidTr="00450F17">
      <w:tc>
        <w:tcPr>
          <w:tcW w:w="2420" w:type="dxa"/>
        </w:tcPr>
        <w:p w:rsidR="003925B0" w:rsidRDefault="00A76DB8" w:rsidP="00450F17">
          <w:pPr>
            <w:pStyle w:val="Header"/>
          </w:pPr>
          <w:r>
            <w:t>ALABAMA (01)</w:t>
          </w:r>
        </w:p>
      </w:tc>
      <w:tc>
        <w:tcPr>
          <w:tcW w:w="5440" w:type="dxa"/>
        </w:tcPr>
        <w:p w:rsidR="003925B0" w:rsidRDefault="00A76DB8" w:rsidP="00450F1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3925B0" w:rsidRDefault="00A76DB8" w:rsidP="00450F17">
          <w:pPr>
            <w:pStyle w:val="Header"/>
            <w:jc w:val="right"/>
          </w:pPr>
          <w:r>
            <w:br/>
          </w:r>
        </w:p>
      </w:tc>
    </w:tr>
  </w:tbl>
  <w:p w:rsidR="00CB4E4A" w:rsidRPr="003925B0" w:rsidRDefault="00E77D4F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40"/>
    <w:rsid w:val="00081B74"/>
    <w:rsid w:val="000D2540"/>
    <w:rsid w:val="00182AA0"/>
    <w:rsid w:val="00A76DB8"/>
    <w:rsid w:val="00BF3844"/>
    <w:rsid w:val="00E7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D2540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D2540"/>
    <w:rPr>
      <w:rFonts w:ascii="Times New Roman" w:eastAsia="Calibri" w:hAnsi="Times New Roman" w:cs="Times New Roman"/>
      <w:sz w:val="24"/>
    </w:rPr>
  </w:style>
  <w:style w:type="character" w:styleId="PageNumber">
    <w:name w:val="page number"/>
    <w:unhideWhenUsed/>
    <w:rsid w:val="000D2540"/>
  </w:style>
  <w:style w:type="paragraph" w:styleId="Header">
    <w:name w:val="header"/>
    <w:basedOn w:val="Normal"/>
    <w:link w:val="HeaderChar"/>
    <w:uiPriority w:val="99"/>
    <w:unhideWhenUsed/>
    <w:rsid w:val="000D25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540"/>
  </w:style>
  <w:style w:type="paragraph" w:customStyle="1" w:styleId="blocktext1">
    <w:name w:val="blocktext1"/>
    <w:basedOn w:val="isonormal"/>
    <w:rsid w:val="00A76DB8"/>
    <w:pPr>
      <w:keepLines/>
    </w:pPr>
  </w:style>
  <w:style w:type="paragraph" w:customStyle="1" w:styleId="boxrule">
    <w:name w:val="boxrule"/>
    <w:basedOn w:val="isonormal"/>
    <w:next w:val="blocktext1"/>
    <w:rsid w:val="00A76DB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sonormal">
    <w:name w:val="isonormal"/>
    <w:rsid w:val="00A76DB8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subcap">
    <w:name w:val="subcap"/>
    <w:basedOn w:val="isonormal"/>
    <w:rsid w:val="00A76DB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A76DB8"/>
    <w:pPr>
      <w:jc w:val="left"/>
    </w:pPr>
    <w:rPr>
      <w:b/>
    </w:rPr>
  </w:style>
  <w:style w:type="paragraph" w:customStyle="1" w:styleId="tablehead">
    <w:name w:val="tablehead"/>
    <w:basedOn w:val="isonormal"/>
    <w:rsid w:val="00A76DB8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A76DB8"/>
    <w:pPr>
      <w:spacing w:before="20" w:after="2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D2540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D2540"/>
    <w:rPr>
      <w:rFonts w:ascii="Times New Roman" w:eastAsia="Calibri" w:hAnsi="Times New Roman" w:cs="Times New Roman"/>
      <w:sz w:val="24"/>
    </w:rPr>
  </w:style>
  <w:style w:type="character" w:styleId="PageNumber">
    <w:name w:val="page number"/>
    <w:unhideWhenUsed/>
    <w:rsid w:val="000D2540"/>
  </w:style>
  <w:style w:type="paragraph" w:styleId="Header">
    <w:name w:val="header"/>
    <w:basedOn w:val="Normal"/>
    <w:link w:val="HeaderChar"/>
    <w:uiPriority w:val="99"/>
    <w:unhideWhenUsed/>
    <w:rsid w:val="000D25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540"/>
  </w:style>
  <w:style w:type="paragraph" w:customStyle="1" w:styleId="blocktext1">
    <w:name w:val="blocktext1"/>
    <w:basedOn w:val="isonormal"/>
    <w:rsid w:val="00A76DB8"/>
    <w:pPr>
      <w:keepLines/>
    </w:pPr>
  </w:style>
  <w:style w:type="paragraph" w:customStyle="1" w:styleId="boxrule">
    <w:name w:val="boxrule"/>
    <w:basedOn w:val="isonormal"/>
    <w:next w:val="blocktext1"/>
    <w:rsid w:val="00A76DB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sonormal">
    <w:name w:val="isonormal"/>
    <w:rsid w:val="00A76DB8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subcap">
    <w:name w:val="subcap"/>
    <w:basedOn w:val="isonormal"/>
    <w:rsid w:val="00A76DB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A76DB8"/>
    <w:pPr>
      <w:jc w:val="left"/>
    </w:pPr>
    <w:rPr>
      <w:b/>
    </w:rPr>
  </w:style>
  <w:style w:type="paragraph" w:customStyle="1" w:styleId="tablehead">
    <w:name w:val="tablehead"/>
    <w:basedOn w:val="isonormal"/>
    <w:rsid w:val="00A76DB8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A76DB8"/>
    <w:pPr>
      <w:spacing w:before="20" w:after="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7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407</Words>
  <Characters>2323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Cechura, Lukas</dc:creator>
  <cp:lastModifiedBy>Salinas, Francis</cp:lastModifiedBy>
  <cp:revision>2</cp:revision>
  <dcterms:created xsi:type="dcterms:W3CDTF">2019-06-04T19:15:00Z</dcterms:created>
  <dcterms:modified xsi:type="dcterms:W3CDTF">2019-06-04T19:15:00Z</dcterms:modified>
</cp:coreProperties>
</file>