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B5A2B" w14:textId="77777777" w:rsidR="00F970EB" w:rsidRPr="00DA483E" w:rsidRDefault="00434CC8" w:rsidP="00D209FC">
      <w:pPr>
        <w:rPr>
          <w:rFonts w:ascii="Arial" w:hAnsi="Arial" w:cs="Arial"/>
          <w:b/>
          <w:sz w:val="28"/>
          <w:szCs w:val="28"/>
          <w:u w:val="single"/>
        </w:rPr>
      </w:pPr>
      <w:r>
        <w:rPr>
          <w:rFonts w:ascii="Arial" w:hAnsi="Arial" w:cs="Arial"/>
          <w:b/>
          <w:sz w:val="28"/>
          <w:szCs w:val="28"/>
          <w:u w:val="single"/>
        </w:rPr>
        <w:t>LOSS COSTS</w:t>
      </w:r>
      <w:r w:rsidR="00F970EB" w:rsidRPr="00DA483E">
        <w:rPr>
          <w:rFonts w:ascii="Arial" w:hAnsi="Arial" w:cs="Arial"/>
          <w:b/>
          <w:sz w:val="28"/>
          <w:szCs w:val="28"/>
          <w:u w:val="single"/>
        </w:rPr>
        <w:t xml:space="preserve"> filing: </w:t>
      </w:r>
      <w:r w:rsidR="004028CB">
        <w:rPr>
          <w:rFonts w:ascii="Arial" w:hAnsi="Arial" w:cs="Arial"/>
          <w:b/>
          <w:sz w:val="28"/>
          <w:szCs w:val="28"/>
          <w:u w:val="single"/>
        </w:rPr>
        <w:t>C</w:t>
      </w:r>
      <w:r>
        <w:rPr>
          <w:rFonts w:ascii="Arial" w:hAnsi="Arial" w:cs="Arial"/>
          <w:b/>
          <w:sz w:val="28"/>
          <w:szCs w:val="28"/>
          <w:u w:val="single"/>
        </w:rPr>
        <w:t>M</w:t>
      </w:r>
      <w:r w:rsidR="00F970EB" w:rsidRPr="00DA483E">
        <w:rPr>
          <w:rFonts w:ascii="Arial" w:hAnsi="Arial" w:cs="Arial"/>
          <w:b/>
          <w:sz w:val="28"/>
          <w:szCs w:val="28"/>
          <w:u w:val="single"/>
        </w:rPr>
        <w:t>-20</w:t>
      </w:r>
      <w:r>
        <w:rPr>
          <w:rFonts w:ascii="Arial" w:hAnsi="Arial" w:cs="Arial"/>
          <w:b/>
          <w:sz w:val="28"/>
          <w:szCs w:val="28"/>
          <w:u w:val="single"/>
        </w:rPr>
        <w:t>22</w:t>
      </w:r>
      <w:r w:rsidR="00F970EB" w:rsidRPr="00DA483E">
        <w:rPr>
          <w:rFonts w:ascii="Arial" w:hAnsi="Arial" w:cs="Arial"/>
          <w:b/>
          <w:sz w:val="28"/>
          <w:szCs w:val="28"/>
          <w:u w:val="single"/>
        </w:rPr>
        <w:t>-</w:t>
      </w:r>
      <w:r>
        <w:rPr>
          <w:rFonts w:ascii="Arial" w:hAnsi="Arial" w:cs="Arial"/>
          <w:b/>
          <w:sz w:val="28"/>
          <w:szCs w:val="28"/>
          <w:u w:val="single"/>
        </w:rPr>
        <w:t>RLA1</w:t>
      </w:r>
    </w:p>
    <w:p w14:paraId="5B7ED85F" w14:textId="77777777" w:rsidR="00F970EB" w:rsidRPr="00DA483E" w:rsidRDefault="00F970EB" w:rsidP="00D209FC">
      <w:pPr>
        <w:rPr>
          <w:rFonts w:ascii="Arial" w:hAnsi="Arial" w:cs="Arial"/>
          <w:b/>
          <w:sz w:val="10"/>
          <w:szCs w:val="10"/>
          <w:u w:val="single"/>
        </w:rPr>
      </w:pPr>
    </w:p>
    <w:tbl>
      <w:tblPr>
        <w:tblW w:w="10308" w:type="dxa"/>
        <w:tblBorders>
          <w:top w:val="single" w:sz="4" w:space="0" w:color="auto"/>
        </w:tblBorders>
        <w:tblLook w:val="04A0" w:firstRow="1" w:lastRow="0" w:firstColumn="1" w:lastColumn="0" w:noHBand="0" w:noVBand="1"/>
      </w:tblPr>
      <w:tblGrid>
        <w:gridCol w:w="1548"/>
        <w:gridCol w:w="1560"/>
        <w:gridCol w:w="7200"/>
      </w:tblGrid>
      <w:tr w:rsidR="00184092" w:rsidRPr="00DA483E" w14:paraId="209D8B46" w14:textId="77777777" w:rsidTr="00F970EB">
        <w:tc>
          <w:tcPr>
            <w:tcW w:w="1548" w:type="dxa"/>
            <w:tcBorders>
              <w:bottom w:val="single" w:sz="4" w:space="0" w:color="auto"/>
            </w:tcBorders>
          </w:tcPr>
          <w:p w14:paraId="5783F6D1" w14:textId="77777777" w:rsidR="00184092" w:rsidRDefault="00184092" w:rsidP="00184092">
            <w:pPr>
              <w:pStyle w:val="isonormal"/>
              <w:rPr>
                <w:b/>
              </w:rPr>
            </w:pPr>
            <w:r>
              <w:rPr>
                <w:b/>
              </w:rPr>
              <w:t>IOWA</w:t>
            </w:r>
          </w:p>
          <w:p w14:paraId="4F01F77D" w14:textId="77777777" w:rsidR="00F119A0" w:rsidRDefault="00F119A0" w:rsidP="00184092">
            <w:pPr>
              <w:pStyle w:val="isonormal"/>
              <w:jc w:val="left"/>
              <w:rPr>
                <w:b/>
              </w:rPr>
            </w:pPr>
            <w:r>
              <w:rPr>
                <w:b/>
              </w:rPr>
              <w:t>MAINE</w:t>
            </w:r>
          </w:p>
          <w:p w14:paraId="7CA099CC" w14:textId="690DBC69" w:rsidR="00184092" w:rsidRDefault="00184092" w:rsidP="00184092">
            <w:pPr>
              <w:pStyle w:val="isonormal"/>
              <w:jc w:val="left"/>
              <w:rPr>
                <w:b/>
              </w:rPr>
            </w:pPr>
            <w:r>
              <w:rPr>
                <w:b/>
              </w:rPr>
              <w:t>NEBRASKA</w:t>
            </w:r>
          </w:p>
          <w:p w14:paraId="5BD20E06" w14:textId="38391A33" w:rsidR="00184092" w:rsidRDefault="00184092" w:rsidP="00184092">
            <w:pPr>
              <w:pStyle w:val="isonormal"/>
              <w:rPr>
                <w:b/>
              </w:rPr>
            </w:pPr>
            <w:r>
              <w:rPr>
                <w:b/>
              </w:rPr>
              <w:t>OHIO</w:t>
            </w:r>
          </w:p>
        </w:tc>
        <w:tc>
          <w:tcPr>
            <w:tcW w:w="1560" w:type="dxa"/>
            <w:tcBorders>
              <w:bottom w:val="single" w:sz="4" w:space="0" w:color="auto"/>
            </w:tcBorders>
          </w:tcPr>
          <w:p w14:paraId="2470DBDD" w14:textId="77777777" w:rsidR="00184092" w:rsidRPr="009048A9" w:rsidRDefault="00184092" w:rsidP="00184092">
            <w:pPr>
              <w:pStyle w:val="isonormal"/>
              <w:jc w:val="left"/>
              <w:rPr>
                <w:b/>
                <w:highlight w:val="yellow"/>
              </w:rPr>
            </w:pPr>
          </w:p>
        </w:tc>
        <w:tc>
          <w:tcPr>
            <w:tcW w:w="7200" w:type="dxa"/>
            <w:tcBorders>
              <w:bottom w:val="single" w:sz="4" w:space="0" w:color="auto"/>
            </w:tcBorders>
          </w:tcPr>
          <w:p w14:paraId="01AEF05F" w14:textId="77777777" w:rsidR="00184092" w:rsidRDefault="00184092" w:rsidP="00184092">
            <w:pPr>
              <w:pStyle w:val="isonormal"/>
            </w:pPr>
            <w:r>
              <w:t>You must independently determine the final rates you will use. The action, if any, you must take in response to this filing is dependent upon how you filed to have your loss cost adjustments apply to subsequent revisions of ISO loss costs. Any submission you make with respect to this revision must comply with applicable regulatory filing requirements.</w:t>
            </w:r>
          </w:p>
          <w:p w14:paraId="2F4817D2" w14:textId="77777777" w:rsidR="00184092" w:rsidRDefault="00184092" w:rsidP="00184092">
            <w:pPr>
              <w:pStyle w:val="isonormal"/>
            </w:pPr>
            <w:r>
              <w:t>For guidance on submission requirements, consult the ISO State Filing Handbook.</w:t>
            </w:r>
          </w:p>
          <w:p w14:paraId="7BC6ACAD" w14:textId="77777777" w:rsidR="00184092" w:rsidRDefault="00184092" w:rsidP="00184092">
            <w:pPr>
              <w:pStyle w:val="isonormal"/>
            </w:pPr>
            <w:r>
              <w:t xml:space="preserve">In all correspondence with the Insurance Department on this revision, you should refer to ISO Filing Number </w:t>
            </w:r>
            <w:r w:rsidRPr="00277A8F">
              <w:rPr>
                <w:b/>
                <w:bCs/>
                <w:u w:val="single"/>
              </w:rPr>
              <w:t>CM-2022-RLA1</w:t>
            </w:r>
            <w:r w:rsidRPr="00DA22E9">
              <w:rPr>
                <w:b/>
                <w:bCs/>
              </w:rPr>
              <w:t>,</w:t>
            </w:r>
            <w:r>
              <w:t xml:space="preserve"> NOT this circular number. </w:t>
            </w:r>
          </w:p>
          <w:p w14:paraId="792F42F7" w14:textId="77777777" w:rsidR="00105553" w:rsidRPr="00DA483E" w:rsidRDefault="00184092" w:rsidP="00105553">
            <w:pPr>
              <w:pStyle w:val="isonormal"/>
              <w:rPr>
                <w:iCs/>
                <w:color w:val="000000"/>
              </w:rPr>
            </w:pPr>
            <w:r>
              <w:t>CAUTION: This reference filing revises only certain advisory prospective loss costs for Commercial Inland Marine in this state. In determining whether or not to revise your rates, you should consider the application of your loss cost adjustments to any loss costs not included in this revision.</w:t>
            </w:r>
            <w:r w:rsidR="00105553">
              <w:t xml:space="preserve"> In addition, for:</w:t>
            </w:r>
          </w:p>
          <w:p w14:paraId="18AF8567" w14:textId="3912D7DF" w:rsidR="00184092" w:rsidRPr="00105553" w:rsidRDefault="00105553" w:rsidP="00105553">
            <w:pPr>
              <w:pStyle w:val="isonormal"/>
              <w:numPr>
                <w:ilvl w:val="0"/>
                <w:numId w:val="15"/>
              </w:numPr>
              <w:rPr>
                <w:iCs/>
                <w:color w:val="000000"/>
              </w:rPr>
            </w:pPr>
            <w:r>
              <w:rPr>
                <w:b/>
              </w:rPr>
              <w:t>MAINE</w:t>
            </w:r>
            <w:r w:rsidRPr="00DA483E">
              <w:rPr>
                <w:b/>
              </w:rPr>
              <w:t xml:space="preserve">, </w:t>
            </w:r>
            <w:r w:rsidRPr="00DA483E">
              <w:rPr>
                <w:iCs/>
                <w:color w:val="000000"/>
              </w:rPr>
              <w:t xml:space="preserve">refer to </w:t>
            </w:r>
            <w:r w:rsidRPr="00DA483E">
              <w:t xml:space="preserve">SERFF Tracking Number </w:t>
            </w:r>
            <w:r w:rsidRPr="002B66D7">
              <w:rPr>
                <w:u w:val="single"/>
              </w:rPr>
              <w:t>ISOF-</w:t>
            </w:r>
            <w:r w:rsidRPr="00105553">
              <w:rPr>
                <w:u w:val="single"/>
              </w:rPr>
              <w:t>133197751</w:t>
            </w:r>
          </w:p>
        </w:tc>
      </w:tr>
      <w:tr w:rsidR="0004344B" w:rsidRPr="00DA483E" w14:paraId="7FE5C021" w14:textId="77777777" w:rsidTr="00F970EB">
        <w:tc>
          <w:tcPr>
            <w:tcW w:w="1548" w:type="dxa"/>
            <w:tcBorders>
              <w:bottom w:val="single" w:sz="4" w:space="0" w:color="auto"/>
            </w:tcBorders>
          </w:tcPr>
          <w:p w14:paraId="393A084E" w14:textId="3B5E6B40" w:rsidR="0004344B" w:rsidRDefault="0004344B" w:rsidP="0004344B">
            <w:pPr>
              <w:pStyle w:val="isonormal"/>
              <w:rPr>
                <w:b/>
              </w:rPr>
            </w:pPr>
            <w:r>
              <w:rPr>
                <w:b/>
              </w:rPr>
              <w:t>DELAWARE</w:t>
            </w:r>
          </w:p>
        </w:tc>
        <w:tc>
          <w:tcPr>
            <w:tcW w:w="1560" w:type="dxa"/>
            <w:tcBorders>
              <w:bottom w:val="single" w:sz="4" w:space="0" w:color="auto"/>
            </w:tcBorders>
          </w:tcPr>
          <w:p w14:paraId="025D7866" w14:textId="77777777" w:rsidR="0004344B" w:rsidRPr="009048A9" w:rsidRDefault="0004344B" w:rsidP="0004344B">
            <w:pPr>
              <w:pStyle w:val="isonormal"/>
              <w:jc w:val="left"/>
              <w:rPr>
                <w:b/>
                <w:highlight w:val="yellow"/>
              </w:rPr>
            </w:pPr>
          </w:p>
        </w:tc>
        <w:tc>
          <w:tcPr>
            <w:tcW w:w="7200" w:type="dxa"/>
            <w:tcBorders>
              <w:bottom w:val="single" w:sz="4" w:space="0" w:color="auto"/>
            </w:tcBorders>
          </w:tcPr>
          <w:p w14:paraId="48EAE80F" w14:textId="77777777" w:rsidR="0004344B" w:rsidRPr="00FA06D4" w:rsidRDefault="0004344B" w:rsidP="0004344B">
            <w:pPr>
              <w:pStyle w:val="isonormal"/>
            </w:pPr>
            <w:r w:rsidRPr="00FA06D4">
              <w:t>You must independently determine the final rates you will use and the effective date of any rate change. If you decide to use our prospective loss costs to revise your rates, you must make an appropriate submission with the Insurance Department.</w:t>
            </w:r>
          </w:p>
          <w:p w14:paraId="76D56B8D" w14:textId="77777777" w:rsidR="0004344B" w:rsidRPr="00FA06D4" w:rsidRDefault="0004344B" w:rsidP="0004344B">
            <w:pPr>
              <w:pStyle w:val="isonormal"/>
            </w:pPr>
            <w:r w:rsidRPr="00FA06D4">
              <w:t>For guidance on submission requirements, consult the ISO State Filing Handbook.</w:t>
            </w:r>
          </w:p>
          <w:p w14:paraId="748BF3D6" w14:textId="77777777" w:rsidR="0004344B" w:rsidRPr="00FA06D4" w:rsidRDefault="0004344B" w:rsidP="0004344B">
            <w:pPr>
              <w:pStyle w:val="isonormal"/>
            </w:pPr>
            <w:r w:rsidRPr="00FA06D4">
              <w:t>In all correspondence with the Insurance Department on this revision, you should refer to ISO Filing Number</w:t>
            </w:r>
            <w:r>
              <w:t xml:space="preserve"> </w:t>
            </w:r>
            <w:r w:rsidRPr="00277A8F">
              <w:rPr>
                <w:b/>
                <w:bCs/>
                <w:u w:val="single"/>
              </w:rPr>
              <w:t>CM-2022-RLA1</w:t>
            </w:r>
            <w:r w:rsidRPr="00DA22E9">
              <w:rPr>
                <w:b/>
                <w:bCs/>
              </w:rPr>
              <w:t>,</w:t>
            </w:r>
            <w:r w:rsidRPr="00FA06D4">
              <w:t xml:space="preserve"> NOT this circular number. </w:t>
            </w:r>
          </w:p>
          <w:p w14:paraId="56E08F49" w14:textId="38163D12" w:rsidR="0004344B" w:rsidRDefault="0004344B" w:rsidP="0004344B">
            <w:pPr>
              <w:pStyle w:val="isonormal"/>
            </w:pPr>
            <w:r w:rsidRPr="00FA06D4">
              <w:t>CAUTION:</w:t>
            </w:r>
            <w:r>
              <w:t xml:space="preserve"> T</w:t>
            </w:r>
            <w:r w:rsidRPr="00FA06D4">
              <w:t>his reference filing revises only certain advisory prospective loss costs for</w:t>
            </w:r>
            <w:r>
              <w:t xml:space="preserve"> Commercial Inland Marine</w:t>
            </w:r>
            <w:r w:rsidRPr="00FA06D4">
              <w:t xml:space="preserve"> in</w:t>
            </w:r>
            <w:r>
              <w:t xml:space="preserve"> this state</w:t>
            </w:r>
            <w:r w:rsidRPr="00FA06D4">
              <w:t>.</w:t>
            </w:r>
            <w:r>
              <w:t xml:space="preserve"> </w:t>
            </w:r>
            <w:r w:rsidRPr="00FA06D4">
              <w:t>In determining whether or not to revise your rates, you should consider the application of your loss cost adjustments to any loss costs not included in this revision.</w:t>
            </w:r>
          </w:p>
        </w:tc>
      </w:tr>
      <w:tr w:rsidR="00AD6AA9" w:rsidRPr="00DA483E" w14:paraId="5958084E" w14:textId="77777777" w:rsidTr="00F970EB">
        <w:tc>
          <w:tcPr>
            <w:tcW w:w="1548" w:type="dxa"/>
            <w:tcBorders>
              <w:bottom w:val="single" w:sz="4" w:space="0" w:color="auto"/>
            </w:tcBorders>
          </w:tcPr>
          <w:p w14:paraId="5237AAFE" w14:textId="4EB1E27B" w:rsidR="00AD6AA9" w:rsidRDefault="00AD6AA9" w:rsidP="00AD6AA9">
            <w:pPr>
              <w:pStyle w:val="isonormal"/>
              <w:rPr>
                <w:b/>
              </w:rPr>
            </w:pPr>
            <w:r>
              <w:rPr>
                <w:b/>
              </w:rPr>
              <w:t>HAWAII</w:t>
            </w:r>
          </w:p>
        </w:tc>
        <w:tc>
          <w:tcPr>
            <w:tcW w:w="1560" w:type="dxa"/>
            <w:tcBorders>
              <w:bottom w:val="single" w:sz="4" w:space="0" w:color="auto"/>
            </w:tcBorders>
          </w:tcPr>
          <w:p w14:paraId="3CA7BA0D" w14:textId="77777777" w:rsidR="00AD6AA9" w:rsidRPr="009048A9" w:rsidRDefault="00AD6AA9" w:rsidP="00AD6AA9">
            <w:pPr>
              <w:pStyle w:val="isonormal"/>
              <w:jc w:val="left"/>
              <w:rPr>
                <w:b/>
                <w:highlight w:val="yellow"/>
              </w:rPr>
            </w:pPr>
          </w:p>
        </w:tc>
        <w:tc>
          <w:tcPr>
            <w:tcW w:w="7200" w:type="dxa"/>
            <w:tcBorders>
              <w:bottom w:val="single" w:sz="4" w:space="0" w:color="auto"/>
            </w:tcBorders>
          </w:tcPr>
          <w:p w14:paraId="194A7110" w14:textId="77777777" w:rsidR="00AD6AA9" w:rsidRPr="00F634AC" w:rsidRDefault="00AD6AA9" w:rsidP="00AD6AA9">
            <w:pPr>
              <w:pStyle w:val="isonormal"/>
            </w:pPr>
            <w:r w:rsidRPr="00F634AC">
              <w:t>You must independently determine the final rates you will use and the effective date of any rate change.</w:t>
            </w:r>
            <w:r>
              <w:t xml:space="preserve"> </w:t>
            </w:r>
            <w:r w:rsidRPr="00F634AC">
              <w:t>You must advise the Insurance Division of your decision and make an appropriate submission by</w:t>
            </w:r>
            <w:r>
              <w:t xml:space="preserve"> </w:t>
            </w:r>
            <w:r w:rsidRPr="00C622D9">
              <w:t>July 20, 2022</w:t>
            </w:r>
            <w:r>
              <w:t>.</w:t>
            </w:r>
          </w:p>
          <w:p w14:paraId="57E02743" w14:textId="77777777" w:rsidR="00AD6AA9" w:rsidRPr="00F634AC" w:rsidRDefault="00AD6AA9" w:rsidP="00AD6AA9">
            <w:pPr>
              <w:pStyle w:val="isonormal"/>
            </w:pPr>
            <w:r w:rsidRPr="00F634AC">
              <w:t xml:space="preserve">In all correspondence with the Insurance Division on this revision, you should refer to ISO Filing Number </w:t>
            </w:r>
            <w:r w:rsidRPr="00277A8F">
              <w:rPr>
                <w:b/>
                <w:bCs/>
                <w:u w:val="single"/>
              </w:rPr>
              <w:t>CM-2022-RLA1</w:t>
            </w:r>
            <w:r w:rsidRPr="00DA22E9">
              <w:rPr>
                <w:b/>
                <w:bCs/>
              </w:rPr>
              <w:t>,</w:t>
            </w:r>
            <w:r w:rsidRPr="00F634AC">
              <w:t xml:space="preserve"> NOT this circular number.</w:t>
            </w:r>
          </w:p>
          <w:p w14:paraId="09994E28" w14:textId="4D4F14DF" w:rsidR="00AD6AA9" w:rsidRDefault="00AD6AA9" w:rsidP="00AD6AA9">
            <w:pPr>
              <w:pStyle w:val="isonormal"/>
            </w:pPr>
            <w:r w:rsidRPr="00F634AC">
              <w:t>CAUTION: This reference filing revises only certain advisory prospective loss costs for</w:t>
            </w:r>
            <w:r>
              <w:t xml:space="preserve"> Commercial Inland Marine</w:t>
            </w:r>
            <w:r w:rsidRPr="00F634AC">
              <w:t xml:space="preserve"> in</w:t>
            </w:r>
            <w:r>
              <w:t xml:space="preserve"> Hawaii</w:t>
            </w:r>
            <w:r w:rsidRPr="00F634AC">
              <w:t>.</w:t>
            </w:r>
            <w:r>
              <w:t xml:space="preserve"> </w:t>
            </w:r>
            <w:r w:rsidRPr="00F634AC">
              <w:t>In determining whether or not to revise your rates, you should consider the application of your loss cost adjustments to any loss costs not included in this revision.</w:t>
            </w:r>
          </w:p>
        </w:tc>
      </w:tr>
      <w:tr w:rsidR="00184092" w:rsidRPr="00DA483E" w14:paraId="462BD0CC" w14:textId="77777777" w:rsidTr="00F970EB">
        <w:tc>
          <w:tcPr>
            <w:tcW w:w="1548" w:type="dxa"/>
            <w:tcBorders>
              <w:bottom w:val="single" w:sz="4" w:space="0" w:color="auto"/>
            </w:tcBorders>
          </w:tcPr>
          <w:p w14:paraId="74396DD9" w14:textId="6AE0C8D3" w:rsidR="00184092" w:rsidRDefault="00184092" w:rsidP="00184092">
            <w:pPr>
              <w:pStyle w:val="isonormal"/>
              <w:rPr>
                <w:b/>
              </w:rPr>
            </w:pPr>
            <w:r>
              <w:rPr>
                <w:b/>
              </w:rPr>
              <w:t>OKLAHOMA</w:t>
            </w:r>
          </w:p>
        </w:tc>
        <w:tc>
          <w:tcPr>
            <w:tcW w:w="1560" w:type="dxa"/>
            <w:tcBorders>
              <w:bottom w:val="single" w:sz="4" w:space="0" w:color="auto"/>
            </w:tcBorders>
          </w:tcPr>
          <w:p w14:paraId="5A380143" w14:textId="77777777" w:rsidR="00184092" w:rsidRPr="009048A9" w:rsidRDefault="00184092" w:rsidP="00184092">
            <w:pPr>
              <w:pStyle w:val="isonormal"/>
              <w:jc w:val="left"/>
              <w:rPr>
                <w:b/>
                <w:highlight w:val="yellow"/>
              </w:rPr>
            </w:pPr>
          </w:p>
        </w:tc>
        <w:tc>
          <w:tcPr>
            <w:tcW w:w="7200" w:type="dxa"/>
            <w:tcBorders>
              <w:bottom w:val="single" w:sz="4" w:space="0" w:color="auto"/>
            </w:tcBorders>
          </w:tcPr>
          <w:p w14:paraId="4C853AA4" w14:textId="77777777" w:rsidR="00184092" w:rsidRDefault="00184092" w:rsidP="00184092">
            <w:pPr>
              <w:pStyle w:val="isonormal"/>
            </w:pPr>
            <w:r>
              <w:t>You must independently determine the final rates you will use and the effective date of any rate change. If you decide to use our prospective loss costs to revise your rates, you are NOT required to file anything with the Insurance Department.</w:t>
            </w:r>
          </w:p>
          <w:p w14:paraId="319542AE" w14:textId="2E278650" w:rsidR="00184092" w:rsidRPr="00F634AC" w:rsidRDefault="00184092" w:rsidP="00184092">
            <w:pPr>
              <w:pStyle w:val="isonormal"/>
            </w:pPr>
            <w:r>
              <w:t xml:space="preserve">You must document your files in case the Insurance Department wishes to review the information at a later date. In all correspondence on this revision, you should refer to ISO Filing Number </w:t>
            </w:r>
            <w:r w:rsidRPr="00277A8F">
              <w:rPr>
                <w:b/>
                <w:bCs/>
                <w:u w:val="single"/>
              </w:rPr>
              <w:t>CM-2022-RLA1</w:t>
            </w:r>
            <w:r w:rsidRPr="00DA22E9">
              <w:rPr>
                <w:b/>
                <w:bCs/>
              </w:rPr>
              <w:t>,</w:t>
            </w:r>
            <w:r>
              <w:t xml:space="preserve"> NOT this circular number.</w:t>
            </w:r>
          </w:p>
        </w:tc>
      </w:tr>
    </w:tbl>
    <w:p w14:paraId="3041C13E" w14:textId="77777777" w:rsidR="00E637FB" w:rsidRDefault="00E637FB" w:rsidP="00D209FC">
      <w:pPr>
        <w:pStyle w:val="isonormal"/>
      </w:pPr>
    </w:p>
    <w:sectPr w:rsidR="00E637FB" w:rsidSect="008347E3">
      <w:headerReference w:type="even" r:id="rId12"/>
      <w:headerReference w:type="default" r:id="rId13"/>
      <w:footerReference w:type="even" r:id="rId14"/>
      <w:footerReference w:type="default" r:id="rId15"/>
      <w:headerReference w:type="first" r:id="rId16"/>
      <w:footerReference w:type="first" r:id="rId17"/>
      <w:pgSz w:w="12240" w:h="15840"/>
      <w:pgMar w:top="1800" w:right="960" w:bottom="1080" w:left="1200" w:header="720" w:footer="71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5042A" w14:textId="77777777" w:rsidR="00B20D36" w:rsidRDefault="00B20D36" w:rsidP="00F970EB">
      <w:r>
        <w:separator/>
      </w:r>
    </w:p>
  </w:endnote>
  <w:endnote w:type="continuationSeparator" w:id="0">
    <w:p w14:paraId="47BFB4F6" w14:textId="77777777" w:rsidR="00B20D36" w:rsidRDefault="00B20D36" w:rsidP="00F97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7064" w14:textId="77777777" w:rsidR="004C6863" w:rsidRDefault="004C68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D376" w14:textId="77777777" w:rsidR="0062127E" w:rsidRDefault="0062127E" w:rsidP="005D392C">
    <w:pPr>
      <w:pStyle w:val="Footer"/>
      <w:tabs>
        <w:tab w:val="clear" w:pos="4680"/>
        <w:tab w:val="clear" w:pos="9360"/>
        <w:tab w:val="center" w:pos="5040"/>
        <w:tab w:val="right" w:pos="10080"/>
      </w:tabs>
      <w:jc w:val="center"/>
      <w:rPr>
        <w:rFonts w:ascii="Arial" w:hAnsi="Arial" w:cs="Arial"/>
        <w:sz w:val="18"/>
        <w:szCs w:val="18"/>
      </w:rPr>
    </w:pPr>
    <w:r>
      <w:rPr>
        <w:rFonts w:ascii="Arial" w:hAnsi="Arial" w:cs="Arial"/>
        <w:sz w:val="18"/>
        <w:szCs w:val="18"/>
      </w:rPr>
      <w:tab/>
      <w:t>© Insurance Services Office, Inc., 20</w:t>
    </w:r>
    <w:r w:rsidR="00ED0A89">
      <w:rPr>
        <w:rFonts w:ascii="Arial" w:hAnsi="Arial" w:cs="Arial"/>
        <w:sz w:val="18"/>
        <w:szCs w:val="18"/>
      </w:rPr>
      <w:t>22</w:t>
    </w:r>
    <w:r>
      <w:rPr>
        <w:rFonts w:ascii="Arial" w:hAnsi="Arial" w:cs="Arial"/>
        <w:sz w:val="18"/>
        <w:szCs w:val="18"/>
      </w:rPr>
      <w:tab/>
      <w:t xml:space="preserve">Page </w:t>
    </w:r>
    <w:r>
      <w:rPr>
        <w:rFonts w:ascii="Arial" w:hAnsi="Arial" w:cs="Arial"/>
        <w:sz w:val="18"/>
        <w:szCs w:val="18"/>
      </w:rPr>
      <w:fldChar w:fldCharType="begin"/>
    </w:r>
    <w:r>
      <w:rPr>
        <w:rFonts w:ascii="Arial" w:hAnsi="Arial" w:cs="Arial"/>
        <w:sz w:val="18"/>
        <w:szCs w:val="18"/>
      </w:rPr>
      <w:instrText xml:space="preserve"> PAGE  \* Arabic  \* MERGEFORMAT </w:instrText>
    </w:r>
    <w:r>
      <w:rPr>
        <w:rFonts w:ascii="Arial" w:hAnsi="Arial" w:cs="Arial"/>
        <w:sz w:val="18"/>
        <w:szCs w:val="18"/>
      </w:rPr>
      <w:fldChar w:fldCharType="separate"/>
    </w:r>
    <w:r w:rsidR="008835FD">
      <w:rPr>
        <w:rFonts w:ascii="Arial" w:hAnsi="Arial" w:cs="Arial"/>
        <w:noProof/>
        <w:sz w:val="18"/>
        <w:szCs w:val="18"/>
      </w:rPr>
      <w:t>2</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8835FD">
      <w:rPr>
        <w:rFonts w:ascii="Arial" w:hAnsi="Arial" w:cs="Arial"/>
        <w:noProof/>
        <w:sz w:val="18"/>
        <w:szCs w:val="18"/>
      </w:rPr>
      <w:t>6</w:t>
    </w:r>
    <w:r>
      <w:rPr>
        <w:rFonts w:ascii="Arial" w:hAnsi="Arial" w:cs="Arial"/>
        <w:sz w:val="18"/>
        <w:szCs w:val="18"/>
      </w:rPr>
      <w:fldChar w:fldCharType="end"/>
    </w:r>
  </w:p>
  <w:p w14:paraId="23D21EC6" w14:textId="77777777" w:rsidR="0062127E" w:rsidRPr="005D392C" w:rsidRDefault="0062127E" w:rsidP="005D392C">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50815" w14:textId="77777777" w:rsidR="004C6863" w:rsidRDefault="004C6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2E33A" w14:textId="77777777" w:rsidR="00B20D36" w:rsidRDefault="00B20D36" w:rsidP="00F970EB">
      <w:r>
        <w:separator/>
      </w:r>
    </w:p>
  </w:footnote>
  <w:footnote w:type="continuationSeparator" w:id="0">
    <w:p w14:paraId="057CA412" w14:textId="77777777" w:rsidR="00B20D36" w:rsidRDefault="00B20D36" w:rsidP="00F97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1EFE9" w14:textId="77777777" w:rsidR="004C6863" w:rsidRDefault="004C68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18"/>
      <w:gridCol w:w="7200"/>
      <w:gridCol w:w="2970"/>
      <w:gridCol w:w="108"/>
    </w:tblGrid>
    <w:tr w:rsidR="0062127E" w:rsidRPr="00F970EB" w14:paraId="2CA49ABE" w14:textId="77777777" w:rsidTr="00256B11">
      <w:trPr>
        <w:gridBefore w:val="1"/>
        <w:gridAfter w:val="1"/>
        <w:wBefore w:w="18" w:type="dxa"/>
        <w:wAfter w:w="108" w:type="dxa"/>
      </w:trPr>
      <w:tc>
        <w:tcPr>
          <w:tcW w:w="10170" w:type="dxa"/>
          <w:gridSpan w:val="2"/>
        </w:tcPr>
        <w:p w14:paraId="08547F4E" w14:textId="0DEA6AF9" w:rsidR="0062127E" w:rsidRDefault="004028CB" w:rsidP="00256B11">
          <w:pPr>
            <w:pStyle w:val="EMheader"/>
          </w:pPr>
          <w:r>
            <w:t xml:space="preserve">COMMERCIAL </w:t>
          </w:r>
          <w:r w:rsidR="004C6863">
            <w:t>INLAND MARINE</w:t>
          </w:r>
        </w:p>
      </w:tc>
    </w:tr>
    <w:tr w:rsidR="0062127E" w:rsidRPr="00F970EB" w14:paraId="0971B39A" w14:textId="77777777" w:rsidTr="00256B11">
      <w:trPr>
        <w:gridBefore w:val="1"/>
        <w:gridAfter w:val="1"/>
        <w:wBefore w:w="18" w:type="dxa"/>
        <w:wAfter w:w="108" w:type="dxa"/>
      </w:trPr>
      <w:tc>
        <w:tcPr>
          <w:tcW w:w="7200" w:type="dxa"/>
          <w:tcBorders>
            <w:bottom w:val="single" w:sz="4" w:space="0" w:color="auto"/>
          </w:tcBorders>
        </w:tcPr>
        <w:p w14:paraId="41D148D5" w14:textId="77777777" w:rsidR="0062127E" w:rsidRDefault="0062127E" w:rsidP="00256B11">
          <w:pPr>
            <w:pStyle w:val="EMheader"/>
            <w:spacing w:before="80"/>
          </w:pPr>
        </w:p>
      </w:tc>
      <w:tc>
        <w:tcPr>
          <w:tcW w:w="2970" w:type="dxa"/>
          <w:tcBorders>
            <w:bottom w:val="single" w:sz="4" w:space="0" w:color="auto"/>
          </w:tcBorders>
        </w:tcPr>
        <w:p w14:paraId="14E3FD1B" w14:textId="77777777" w:rsidR="0062127E" w:rsidRDefault="0062127E" w:rsidP="00256B11">
          <w:pPr>
            <w:pStyle w:val="EMheader"/>
            <w:jc w:val="right"/>
          </w:pPr>
        </w:p>
      </w:tc>
    </w:tr>
    <w:tr w:rsidR="0062127E" w:rsidRPr="00F970EB" w14:paraId="304F08AF" w14:textId="77777777" w:rsidTr="00256B11">
      <w:trPr>
        <w:cantSplit/>
      </w:trPr>
      <w:tc>
        <w:tcPr>
          <w:tcW w:w="10296" w:type="dxa"/>
          <w:gridSpan w:val="4"/>
        </w:tcPr>
        <w:p w14:paraId="6A03D6A9" w14:textId="77777777" w:rsidR="0062127E" w:rsidRPr="005C6E0D" w:rsidRDefault="0062127E" w:rsidP="00256B11">
          <w:pPr>
            <w:pStyle w:val="tablehead"/>
            <w:spacing w:before="120" w:after="120"/>
            <w:rPr>
              <w:sz w:val="24"/>
              <w:szCs w:val="24"/>
            </w:rPr>
          </w:pPr>
          <w:r w:rsidRPr="000F1C44">
            <w:rPr>
              <w:sz w:val="24"/>
              <w:szCs w:val="24"/>
              <w:u w:val="single"/>
            </w:rPr>
            <w:t>SUMMARY OF COMPANY ACTION REQUIREMENTS</w:t>
          </w:r>
        </w:p>
      </w:tc>
    </w:tr>
  </w:tbl>
  <w:p w14:paraId="630CDBA4" w14:textId="77777777" w:rsidR="0062127E" w:rsidRPr="00F970EB" w:rsidRDefault="0062127E">
    <w:pPr>
      <w:pStyle w:val="Header"/>
      <w:rPr>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00C31" w14:textId="77777777" w:rsidR="004C6863" w:rsidRDefault="004C68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64323"/>
    <w:multiLevelType w:val="hybridMultilevel"/>
    <w:tmpl w:val="91F4C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D23D3"/>
    <w:multiLevelType w:val="hybridMultilevel"/>
    <w:tmpl w:val="213C6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16E30"/>
    <w:multiLevelType w:val="hybridMultilevel"/>
    <w:tmpl w:val="FB2C6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F375FA"/>
    <w:multiLevelType w:val="hybridMultilevel"/>
    <w:tmpl w:val="8F80B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16BF1"/>
    <w:multiLevelType w:val="hybridMultilevel"/>
    <w:tmpl w:val="FD6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7603E"/>
    <w:multiLevelType w:val="hybridMultilevel"/>
    <w:tmpl w:val="F7C25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086632"/>
    <w:multiLevelType w:val="hybridMultilevel"/>
    <w:tmpl w:val="D2B4B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3527C"/>
    <w:multiLevelType w:val="hybridMultilevel"/>
    <w:tmpl w:val="3530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A6DD2"/>
    <w:multiLevelType w:val="hybridMultilevel"/>
    <w:tmpl w:val="E1BA45DC"/>
    <w:lvl w:ilvl="0" w:tplc="F1A4CD1A">
      <w:start w:val="1"/>
      <w:numFmt w:val="bullet"/>
      <w:lvlText w:val=""/>
      <w:lvlJc w:val="left"/>
      <w:pPr>
        <w:tabs>
          <w:tab w:val="num" w:pos="300"/>
        </w:tabs>
        <w:ind w:left="660" w:hanging="360"/>
      </w:pPr>
      <w:rPr>
        <w:rFonts w:ascii="Symbol" w:hAnsi="Symbol" w:hint="default"/>
        <w:sz w:val="20"/>
        <w:szCs w:val="20"/>
      </w:rPr>
    </w:lvl>
    <w:lvl w:ilvl="1" w:tplc="07664FCA">
      <w:start w:val="1"/>
      <w:numFmt w:val="bullet"/>
      <w:lvlText w:val=""/>
      <w:lvlJc w:val="left"/>
      <w:pPr>
        <w:tabs>
          <w:tab w:val="num" w:pos="1051"/>
        </w:tabs>
        <w:ind w:left="691" w:firstLine="0"/>
      </w:pPr>
      <w:rPr>
        <w:rFonts w:ascii="Symbol" w:hAnsi="Symbol" w:hint="default"/>
        <w:sz w:val="20"/>
        <w:szCs w:val="20"/>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9" w15:restartNumberingAfterBreak="0">
    <w:nsid w:val="4BF546D2"/>
    <w:multiLevelType w:val="hybridMultilevel"/>
    <w:tmpl w:val="47002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570C84"/>
    <w:multiLevelType w:val="singleLevel"/>
    <w:tmpl w:val="ED7404B2"/>
    <w:lvl w:ilvl="0">
      <w:start w:val="1"/>
      <w:numFmt w:val="bullet"/>
      <w:lvlRestart w:val="0"/>
      <w:lvlText w:val="·"/>
      <w:lvlJc w:val="left"/>
      <w:pPr>
        <w:tabs>
          <w:tab w:val="num" w:pos="720"/>
        </w:tabs>
        <w:ind w:left="720" w:hanging="360"/>
      </w:pPr>
      <w:rPr>
        <w:rFonts w:ascii="Symbol" w:hAnsi="Symbol" w:hint="default"/>
        <w:sz w:val="22"/>
      </w:rPr>
    </w:lvl>
  </w:abstractNum>
  <w:abstractNum w:abstractNumId="11" w15:restartNumberingAfterBreak="0">
    <w:nsid w:val="62C745E0"/>
    <w:multiLevelType w:val="hybridMultilevel"/>
    <w:tmpl w:val="A7CA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EB38E9"/>
    <w:multiLevelType w:val="hybridMultilevel"/>
    <w:tmpl w:val="05E6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9A299B"/>
    <w:multiLevelType w:val="hybridMultilevel"/>
    <w:tmpl w:val="93083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B241CB"/>
    <w:multiLevelType w:val="hybridMultilevel"/>
    <w:tmpl w:val="89146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
  </w:num>
  <w:num w:numId="4">
    <w:abstractNumId w:val="8"/>
  </w:num>
  <w:num w:numId="5">
    <w:abstractNumId w:val="9"/>
  </w:num>
  <w:num w:numId="6">
    <w:abstractNumId w:val="4"/>
  </w:num>
  <w:num w:numId="7">
    <w:abstractNumId w:val="10"/>
  </w:num>
  <w:num w:numId="8">
    <w:abstractNumId w:val="7"/>
  </w:num>
  <w:num w:numId="9">
    <w:abstractNumId w:val="2"/>
  </w:num>
  <w:num w:numId="10">
    <w:abstractNumId w:val="13"/>
  </w:num>
  <w:num w:numId="11">
    <w:abstractNumId w:val="0"/>
  </w:num>
  <w:num w:numId="12">
    <w:abstractNumId w:val="3"/>
  </w:num>
  <w:num w:numId="13">
    <w:abstractNumId w:val="11"/>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70EB"/>
    <w:rsid w:val="0002110B"/>
    <w:rsid w:val="00024CE3"/>
    <w:rsid w:val="00030E60"/>
    <w:rsid w:val="00040230"/>
    <w:rsid w:val="0004344B"/>
    <w:rsid w:val="00044E73"/>
    <w:rsid w:val="00045FDF"/>
    <w:rsid w:val="00051BA9"/>
    <w:rsid w:val="00055504"/>
    <w:rsid w:val="00066A31"/>
    <w:rsid w:val="00071F81"/>
    <w:rsid w:val="0008050F"/>
    <w:rsid w:val="00082D7F"/>
    <w:rsid w:val="000A45A1"/>
    <w:rsid w:val="000A6A9D"/>
    <w:rsid w:val="000B546B"/>
    <w:rsid w:val="000B5BEA"/>
    <w:rsid w:val="000C0582"/>
    <w:rsid w:val="000C3418"/>
    <w:rsid w:val="000D3AAB"/>
    <w:rsid w:val="000D66D6"/>
    <w:rsid w:val="000E6800"/>
    <w:rsid w:val="000F685F"/>
    <w:rsid w:val="00104F66"/>
    <w:rsid w:val="00105553"/>
    <w:rsid w:val="0010562A"/>
    <w:rsid w:val="00110028"/>
    <w:rsid w:val="00114150"/>
    <w:rsid w:val="00116285"/>
    <w:rsid w:val="0012441E"/>
    <w:rsid w:val="001366D8"/>
    <w:rsid w:val="00140617"/>
    <w:rsid w:val="00155724"/>
    <w:rsid w:val="00157D33"/>
    <w:rsid w:val="00161CD1"/>
    <w:rsid w:val="00164010"/>
    <w:rsid w:val="00171545"/>
    <w:rsid w:val="00184092"/>
    <w:rsid w:val="00193593"/>
    <w:rsid w:val="001A0500"/>
    <w:rsid w:val="001A250D"/>
    <w:rsid w:val="001B15C3"/>
    <w:rsid w:val="001B4688"/>
    <w:rsid w:val="001C38D7"/>
    <w:rsid w:val="001C747D"/>
    <w:rsid w:val="001C7621"/>
    <w:rsid w:val="001D1DD9"/>
    <w:rsid w:val="001E0C3E"/>
    <w:rsid w:val="001E6AD0"/>
    <w:rsid w:val="001F1332"/>
    <w:rsid w:val="001F25A5"/>
    <w:rsid w:val="00206415"/>
    <w:rsid w:val="00206A7B"/>
    <w:rsid w:val="00206E5B"/>
    <w:rsid w:val="00210C6E"/>
    <w:rsid w:val="002331D2"/>
    <w:rsid w:val="00242B0F"/>
    <w:rsid w:val="00251771"/>
    <w:rsid w:val="00251A27"/>
    <w:rsid w:val="00256B11"/>
    <w:rsid w:val="00262B12"/>
    <w:rsid w:val="0026742E"/>
    <w:rsid w:val="00267729"/>
    <w:rsid w:val="00270521"/>
    <w:rsid w:val="00277A8F"/>
    <w:rsid w:val="0029541B"/>
    <w:rsid w:val="002A256C"/>
    <w:rsid w:val="002B0B04"/>
    <w:rsid w:val="002B0BB8"/>
    <w:rsid w:val="002B66D7"/>
    <w:rsid w:val="002C23D7"/>
    <w:rsid w:val="002C2740"/>
    <w:rsid w:val="002C4A6A"/>
    <w:rsid w:val="002D0F80"/>
    <w:rsid w:val="002D5D1E"/>
    <w:rsid w:val="002D7BD8"/>
    <w:rsid w:val="002E0E7C"/>
    <w:rsid w:val="002E53BD"/>
    <w:rsid w:val="002E57BA"/>
    <w:rsid w:val="002F0231"/>
    <w:rsid w:val="002F4A94"/>
    <w:rsid w:val="002F4FCA"/>
    <w:rsid w:val="002F5F90"/>
    <w:rsid w:val="00300F75"/>
    <w:rsid w:val="003122FB"/>
    <w:rsid w:val="00347ABE"/>
    <w:rsid w:val="00355DCD"/>
    <w:rsid w:val="003651D0"/>
    <w:rsid w:val="003664F4"/>
    <w:rsid w:val="003B05E9"/>
    <w:rsid w:val="003C7EE6"/>
    <w:rsid w:val="003D2FFF"/>
    <w:rsid w:val="003F6CE1"/>
    <w:rsid w:val="004028CB"/>
    <w:rsid w:val="0041272E"/>
    <w:rsid w:val="004177EA"/>
    <w:rsid w:val="00421E2C"/>
    <w:rsid w:val="00434CC8"/>
    <w:rsid w:val="00447636"/>
    <w:rsid w:val="00455D1C"/>
    <w:rsid w:val="00456EA3"/>
    <w:rsid w:val="004570EE"/>
    <w:rsid w:val="004635EB"/>
    <w:rsid w:val="00473A7C"/>
    <w:rsid w:val="00484010"/>
    <w:rsid w:val="00494C14"/>
    <w:rsid w:val="00497C5B"/>
    <w:rsid w:val="004A528D"/>
    <w:rsid w:val="004B6379"/>
    <w:rsid w:val="004C1C40"/>
    <w:rsid w:val="004C234B"/>
    <w:rsid w:val="004C6863"/>
    <w:rsid w:val="004C7FEC"/>
    <w:rsid w:val="004E14FC"/>
    <w:rsid w:val="004E2E7C"/>
    <w:rsid w:val="004E4C96"/>
    <w:rsid w:val="004F04FB"/>
    <w:rsid w:val="005076B6"/>
    <w:rsid w:val="00511BFD"/>
    <w:rsid w:val="005224F7"/>
    <w:rsid w:val="005362F5"/>
    <w:rsid w:val="00547263"/>
    <w:rsid w:val="005524DB"/>
    <w:rsid w:val="00554A42"/>
    <w:rsid w:val="00555C17"/>
    <w:rsid w:val="00563D5B"/>
    <w:rsid w:val="00570159"/>
    <w:rsid w:val="00571012"/>
    <w:rsid w:val="00582EB7"/>
    <w:rsid w:val="00593313"/>
    <w:rsid w:val="005A0612"/>
    <w:rsid w:val="005D0A0D"/>
    <w:rsid w:val="005D196E"/>
    <w:rsid w:val="005D392C"/>
    <w:rsid w:val="005D7AFF"/>
    <w:rsid w:val="005F39D6"/>
    <w:rsid w:val="005F3D39"/>
    <w:rsid w:val="005F59BC"/>
    <w:rsid w:val="00602FBE"/>
    <w:rsid w:val="00612426"/>
    <w:rsid w:val="00617A78"/>
    <w:rsid w:val="0062127E"/>
    <w:rsid w:val="00623592"/>
    <w:rsid w:val="00625AEE"/>
    <w:rsid w:val="00625E4E"/>
    <w:rsid w:val="00626C95"/>
    <w:rsid w:val="00631176"/>
    <w:rsid w:val="006333D1"/>
    <w:rsid w:val="00636C52"/>
    <w:rsid w:val="00636CC7"/>
    <w:rsid w:val="00644311"/>
    <w:rsid w:val="00644647"/>
    <w:rsid w:val="006455B1"/>
    <w:rsid w:val="00655E2D"/>
    <w:rsid w:val="00660A85"/>
    <w:rsid w:val="00660BE1"/>
    <w:rsid w:val="0066101D"/>
    <w:rsid w:val="0067580B"/>
    <w:rsid w:val="00675946"/>
    <w:rsid w:val="0069045B"/>
    <w:rsid w:val="006927AB"/>
    <w:rsid w:val="00693355"/>
    <w:rsid w:val="00696C1F"/>
    <w:rsid w:val="006B564F"/>
    <w:rsid w:val="006B6379"/>
    <w:rsid w:val="006B6D62"/>
    <w:rsid w:val="006C37E0"/>
    <w:rsid w:val="00705049"/>
    <w:rsid w:val="007142D7"/>
    <w:rsid w:val="007275A5"/>
    <w:rsid w:val="00727607"/>
    <w:rsid w:val="007340DF"/>
    <w:rsid w:val="00745840"/>
    <w:rsid w:val="00752CB1"/>
    <w:rsid w:val="007628A3"/>
    <w:rsid w:val="00764060"/>
    <w:rsid w:val="00765A77"/>
    <w:rsid w:val="00794D93"/>
    <w:rsid w:val="00797573"/>
    <w:rsid w:val="007B0612"/>
    <w:rsid w:val="007B53D9"/>
    <w:rsid w:val="007C1AC3"/>
    <w:rsid w:val="007C568F"/>
    <w:rsid w:val="007D0031"/>
    <w:rsid w:val="007D2290"/>
    <w:rsid w:val="007D313B"/>
    <w:rsid w:val="007E23EE"/>
    <w:rsid w:val="007F2726"/>
    <w:rsid w:val="007F2EC2"/>
    <w:rsid w:val="00801384"/>
    <w:rsid w:val="008072C9"/>
    <w:rsid w:val="00811917"/>
    <w:rsid w:val="00811D5B"/>
    <w:rsid w:val="00813FBA"/>
    <w:rsid w:val="00814FA5"/>
    <w:rsid w:val="00817D34"/>
    <w:rsid w:val="0082180D"/>
    <w:rsid w:val="0082466C"/>
    <w:rsid w:val="00830521"/>
    <w:rsid w:val="008347E3"/>
    <w:rsid w:val="008370AC"/>
    <w:rsid w:val="00842BDD"/>
    <w:rsid w:val="008432C5"/>
    <w:rsid w:val="008540CB"/>
    <w:rsid w:val="00876D63"/>
    <w:rsid w:val="008835FD"/>
    <w:rsid w:val="00884939"/>
    <w:rsid w:val="008869B3"/>
    <w:rsid w:val="00892C28"/>
    <w:rsid w:val="00897C20"/>
    <w:rsid w:val="008A07A8"/>
    <w:rsid w:val="008A4608"/>
    <w:rsid w:val="008B3483"/>
    <w:rsid w:val="008B390A"/>
    <w:rsid w:val="008B5997"/>
    <w:rsid w:val="008C3AF5"/>
    <w:rsid w:val="008C5307"/>
    <w:rsid w:val="008F313C"/>
    <w:rsid w:val="009048A9"/>
    <w:rsid w:val="00907457"/>
    <w:rsid w:val="00912D41"/>
    <w:rsid w:val="00913502"/>
    <w:rsid w:val="009149EE"/>
    <w:rsid w:val="0091690A"/>
    <w:rsid w:val="00922D21"/>
    <w:rsid w:val="00942CF1"/>
    <w:rsid w:val="00943750"/>
    <w:rsid w:val="009443CB"/>
    <w:rsid w:val="00945A38"/>
    <w:rsid w:val="00946F80"/>
    <w:rsid w:val="00953B4D"/>
    <w:rsid w:val="00955D59"/>
    <w:rsid w:val="00956F44"/>
    <w:rsid w:val="009600BE"/>
    <w:rsid w:val="00963875"/>
    <w:rsid w:val="00970CEB"/>
    <w:rsid w:val="009849BC"/>
    <w:rsid w:val="00985D14"/>
    <w:rsid w:val="00995B61"/>
    <w:rsid w:val="009A2287"/>
    <w:rsid w:val="009A67E6"/>
    <w:rsid w:val="009D220E"/>
    <w:rsid w:val="009E5152"/>
    <w:rsid w:val="009F7284"/>
    <w:rsid w:val="00A11343"/>
    <w:rsid w:val="00A13B79"/>
    <w:rsid w:val="00A15B79"/>
    <w:rsid w:val="00A20214"/>
    <w:rsid w:val="00A36D00"/>
    <w:rsid w:val="00A407F0"/>
    <w:rsid w:val="00A64278"/>
    <w:rsid w:val="00A70ECC"/>
    <w:rsid w:val="00A74420"/>
    <w:rsid w:val="00A87953"/>
    <w:rsid w:val="00A97D27"/>
    <w:rsid w:val="00AA5B29"/>
    <w:rsid w:val="00AA6D34"/>
    <w:rsid w:val="00AC7682"/>
    <w:rsid w:val="00AD6AA9"/>
    <w:rsid w:val="00AD7C45"/>
    <w:rsid w:val="00AD7D3A"/>
    <w:rsid w:val="00AE49DD"/>
    <w:rsid w:val="00AF1CA1"/>
    <w:rsid w:val="00B20D36"/>
    <w:rsid w:val="00B314FF"/>
    <w:rsid w:val="00B32CE8"/>
    <w:rsid w:val="00B35154"/>
    <w:rsid w:val="00B36400"/>
    <w:rsid w:val="00B43795"/>
    <w:rsid w:val="00B47EDD"/>
    <w:rsid w:val="00B53017"/>
    <w:rsid w:val="00B5567C"/>
    <w:rsid w:val="00B66539"/>
    <w:rsid w:val="00B701CD"/>
    <w:rsid w:val="00B7029A"/>
    <w:rsid w:val="00B7125E"/>
    <w:rsid w:val="00B77271"/>
    <w:rsid w:val="00B86FB1"/>
    <w:rsid w:val="00B932A4"/>
    <w:rsid w:val="00BA311A"/>
    <w:rsid w:val="00BA46C2"/>
    <w:rsid w:val="00BB0452"/>
    <w:rsid w:val="00BB58FC"/>
    <w:rsid w:val="00BB7C97"/>
    <w:rsid w:val="00BE26CC"/>
    <w:rsid w:val="00BF09A4"/>
    <w:rsid w:val="00C00176"/>
    <w:rsid w:val="00C07A76"/>
    <w:rsid w:val="00C17F9A"/>
    <w:rsid w:val="00C270A8"/>
    <w:rsid w:val="00C3323E"/>
    <w:rsid w:val="00C4109F"/>
    <w:rsid w:val="00C5448F"/>
    <w:rsid w:val="00C56027"/>
    <w:rsid w:val="00C60D7F"/>
    <w:rsid w:val="00C622D9"/>
    <w:rsid w:val="00C70118"/>
    <w:rsid w:val="00C81F35"/>
    <w:rsid w:val="00C91A99"/>
    <w:rsid w:val="00C96254"/>
    <w:rsid w:val="00C9789D"/>
    <w:rsid w:val="00CA1056"/>
    <w:rsid w:val="00CB0206"/>
    <w:rsid w:val="00CB150C"/>
    <w:rsid w:val="00CC02F9"/>
    <w:rsid w:val="00CC74A4"/>
    <w:rsid w:val="00CD67F7"/>
    <w:rsid w:val="00CE0A18"/>
    <w:rsid w:val="00CE4229"/>
    <w:rsid w:val="00CF1749"/>
    <w:rsid w:val="00CF5110"/>
    <w:rsid w:val="00CF5F49"/>
    <w:rsid w:val="00CF6CD6"/>
    <w:rsid w:val="00D038BA"/>
    <w:rsid w:val="00D039E8"/>
    <w:rsid w:val="00D10CA3"/>
    <w:rsid w:val="00D209FC"/>
    <w:rsid w:val="00D30685"/>
    <w:rsid w:val="00D41B0C"/>
    <w:rsid w:val="00D440D8"/>
    <w:rsid w:val="00D46B3C"/>
    <w:rsid w:val="00D55F0F"/>
    <w:rsid w:val="00D56596"/>
    <w:rsid w:val="00D70B94"/>
    <w:rsid w:val="00D72127"/>
    <w:rsid w:val="00D74BB6"/>
    <w:rsid w:val="00D75EB6"/>
    <w:rsid w:val="00D82E9F"/>
    <w:rsid w:val="00D95E31"/>
    <w:rsid w:val="00DA22E9"/>
    <w:rsid w:val="00DA483E"/>
    <w:rsid w:val="00DB544D"/>
    <w:rsid w:val="00DB6A14"/>
    <w:rsid w:val="00DC0DB8"/>
    <w:rsid w:val="00DE4737"/>
    <w:rsid w:val="00DE529D"/>
    <w:rsid w:val="00DE68F6"/>
    <w:rsid w:val="00DE6D9A"/>
    <w:rsid w:val="00DE70CF"/>
    <w:rsid w:val="00E00C29"/>
    <w:rsid w:val="00E028D3"/>
    <w:rsid w:val="00E07BD9"/>
    <w:rsid w:val="00E11C98"/>
    <w:rsid w:val="00E13195"/>
    <w:rsid w:val="00E23E1E"/>
    <w:rsid w:val="00E35E10"/>
    <w:rsid w:val="00E41862"/>
    <w:rsid w:val="00E46BB6"/>
    <w:rsid w:val="00E56FCB"/>
    <w:rsid w:val="00E637FB"/>
    <w:rsid w:val="00E74D8A"/>
    <w:rsid w:val="00E82805"/>
    <w:rsid w:val="00E85834"/>
    <w:rsid w:val="00EC3A82"/>
    <w:rsid w:val="00EC483D"/>
    <w:rsid w:val="00ED0A89"/>
    <w:rsid w:val="00EE7E27"/>
    <w:rsid w:val="00EF5F2C"/>
    <w:rsid w:val="00F0490A"/>
    <w:rsid w:val="00F119A0"/>
    <w:rsid w:val="00F1249C"/>
    <w:rsid w:val="00F1305D"/>
    <w:rsid w:val="00F16125"/>
    <w:rsid w:val="00F21329"/>
    <w:rsid w:val="00F24479"/>
    <w:rsid w:val="00F3253E"/>
    <w:rsid w:val="00F32767"/>
    <w:rsid w:val="00F43FD8"/>
    <w:rsid w:val="00F51723"/>
    <w:rsid w:val="00F5227D"/>
    <w:rsid w:val="00F52BF4"/>
    <w:rsid w:val="00F60954"/>
    <w:rsid w:val="00F648C7"/>
    <w:rsid w:val="00F673A9"/>
    <w:rsid w:val="00F72ED5"/>
    <w:rsid w:val="00F804FC"/>
    <w:rsid w:val="00F82FBB"/>
    <w:rsid w:val="00F970EB"/>
    <w:rsid w:val="00FA0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0F313"/>
  <w15:chartTrackingRefBased/>
  <w15:docId w15:val="{E02E83EA-8495-4644-A09C-30097513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A94"/>
    <w:rPr>
      <w:rFonts w:ascii="Times New Roman" w:hAnsi="Times New Roman"/>
      <w:sz w:val="24"/>
      <w:szCs w:val="22"/>
    </w:rPr>
  </w:style>
  <w:style w:type="paragraph" w:styleId="Heading1">
    <w:name w:val="heading 1"/>
    <w:basedOn w:val="Normal"/>
    <w:next w:val="Normal"/>
    <w:link w:val="Heading1Char"/>
    <w:autoRedefine/>
    <w:uiPriority w:val="9"/>
    <w:qFormat/>
    <w:rsid w:val="002F4A94"/>
    <w:pPr>
      <w:keepNext/>
      <w:spacing w:before="480"/>
      <w:outlineLvl w:val="0"/>
    </w:pPr>
    <w:rPr>
      <w:rFonts w:ascii="Arial" w:eastAsia="Times New Roman" w:hAnsi="Arial"/>
      <w:b/>
      <w:bCs/>
      <w:sz w:val="32"/>
      <w:szCs w:val="28"/>
    </w:rPr>
  </w:style>
  <w:style w:type="paragraph" w:styleId="Heading2">
    <w:name w:val="heading 2"/>
    <w:basedOn w:val="Normal"/>
    <w:next w:val="Normal"/>
    <w:link w:val="Heading2Char"/>
    <w:autoRedefine/>
    <w:uiPriority w:val="9"/>
    <w:unhideWhenUsed/>
    <w:qFormat/>
    <w:rsid w:val="002F4A94"/>
    <w:pPr>
      <w:keepNext/>
      <w:spacing w:before="240" w:after="60"/>
      <w:outlineLvl w:val="1"/>
    </w:pPr>
    <w:rPr>
      <w:rFonts w:ascii="Arial" w:eastAsia="Times New Roman" w:hAnsi="Arial"/>
      <w:b/>
      <w:bCs/>
      <w:i/>
      <w:sz w:val="28"/>
      <w:szCs w:val="26"/>
    </w:rPr>
  </w:style>
  <w:style w:type="paragraph" w:styleId="Heading3">
    <w:name w:val="heading 3"/>
    <w:basedOn w:val="Normal"/>
    <w:next w:val="Normal"/>
    <w:link w:val="Heading3Char"/>
    <w:autoRedefine/>
    <w:uiPriority w:val="9"/>
    <w:unhideWhenUsed/>
    <w:qFormat/>
    <w:rsid w:val="002F4A94"/>
    <w:pPr>
      <w:keepNext/>
      <w:spacing w:before="240" w:after="60"/>
      <w:outlineLvl w:val="2"/>
    </w:pPr>
    <w:rPr>
      <w:rFonts w:ascii="Arial" w:eastAsia="Times New Roman" w:hAnsi="Arial"/>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F4A94"/>
    <w:rPr>
      <w:rFonts w:ascii="Arial" w:eastAsia="Times New Roman" w:hAnsi="Arial" w:cs="Times New Roman"/>
      <w:b/>
      <w:bCs/>
      <w:sz w:val="32"/>
      <w:szCs w:val="28"/>
    </w:rPr>
  </w:style>
  <w:style w:type="character" w:customStyle="1" w:styleId="Heading2Char">
    <w:name w:val="Heading 2 Char"/>
    <w:link w:val="Heading2"/>
    <w:uiPriority w:val="9"/>
    <w:rsid w:val="002F4A94"/>
    <w:rPr>
      <w:rFonts w:ascii="Arial" w:eastAsia="Times New Roman" w:hAnsi="Arial" w:cs="Times New Roman"/>
      <w:b/>
      <w:bCs/>
      <w:i/>
      <w:sz w:val="28"/>
      <w:szCs w:val="26"/>
    </w:rPr>
  </w:style>
  <w:style w:type="character" w:customStyle="1" w:styleId="Heading3Char">
    <w:name w:val="Heading 3 Char"/>
    <w:link w:val="Heading3"/>
    <w:uiPriority w:val="9"/>
    <w:rsid w:val="002F4A94"/>
    <w:rPr>
      <w:rFonts w:ascii="Arial" w:eastAsia="Times New Roman" w:hAnsi="Arial" w:cs="Times New Roman"/>
      <w:b/>
      <w:bCs/>
      <w:sz w:val="26"/>
    </w:rPr>
  </w:style>
  <w:style w:type="paragraph" w:styleId="Header">
    <w:name w:val="header"/>
    <w:basedOn w:val="Normal"/>
    <w:link w:val="HeaderChar"/>
    <w:uiPriority w:val="99"/>
    <w:unhideWhenUsed/>
    <w:rsid w:val="00F970EB"/>
    <w:pPr>
      <w:tabs>
        <w:tab w:val="center" w:pos="4680"/>
        <w:tab w:val="right" w:pos="9360"/>
      </w:tabs>
    </w:pPr>
  </w:style>
  <w:style w:type="character" w:customStyle="1" w:styleId="HeaderChar">
    <w:name w:val="Header Char"/>
    <w:link w:val="Header"/>
    <w:uiPriority w:val="99"/>
    <w:rsid w:val="00F970EB"/>
    <w:rPr>
      <w:rFonts w:ascii="Times New Roman" w:hAnsi="Times New Roman"/>
      <w:sz w:val="24"/>
    </w:rPr>
  </w:style>
  <w:style w:type="paragraph" w:styleId="Footer">
    <w:name w:val="footer"/>
    <w:basedOn w:val="Normal"/>
    <w:link w:val="FooterChar"/>
    <w:uiPriority w:val="99"/>
    <w:unhideWhenUsed/>
    <w:rsid w:val="00F970EB"/>
    <w:pPr>
      <w:tabs>
        <w:tab w:val="center" w:pos="4680"/>
        <w:tab w:val="right" w:pos="9360"/>
      </w:tabs>
    </w:pPr>
  </w:style>
  <w:style w:type="character" w:customStyle="1" w:styleId="FooterChar">
    <w:name w:val="Footer Char"/>
    <w:link w:val="Footer"/>
    <w:uiPriority w:val="99"/>
    <w:rsid w:val="00F970EB"/>
    <w:rPr>
      <w:rFonts w:ascii="Times New Roman" w:hAnsi="Times New Roman"/>
      <w:sz w:val="24"/>
    </w:rPr>
  </w:style>
  <w:style w:type="paragraph" w:customStyle="1" w:styleId="tablehead">
    <w:name w:val="tablehead"/>
    <w:basedOn w:val="Normal"/>
    <w:rsid w:val="00F970EB"/>
    <w:pPr>
      <w:overflowPunct w:val="0"/>
      <w:autoSpaceDE w:val="0"/>
      <w:autoSpaceDN w:val="0"/>
      <w:adjustRightInd w:val="0"/>
      <w:spacing w:before="40" w:after="20" w:line="190" w:lineRule="exact"/>
      <w:jc w:val="center"/>
      <w:textAlignment w:val="baseline"/>
    </w:pPr>
    <w:rPr>
      <w:rFonts w:ascii="Arial" w:eastAsia="Times New Roman" w:hAnsi="Arial"/>
      <w:b/>
      <w:sz w:val="18"/>
      <w:szCs w:val="20"/>
    </w:rPr>
  </w:style>
  <w:style w:type="paragraph" w:customStyle="1" w:styleId="EMheader">
    <w:name w:val="EM header"/>
    <w:basedOn w:val="Normal"/>
    <w:rsid w:val="00F970EB"/>
    <w:pPr>
      <w:overflowPunct w:val="0"/>
      <w:autoSpaceDE w:val="0"/>
      <w:autoSpaceDN w:val="0"/>
      <w:adjustRightInd w:val="0"/>
      <w:textAlignment w:val="baseline"/>
    </w:pPr>
    <w:rPr>
      <w:rFonts w:eastAsia="Times New Roman"/>
      <w:sz w:val="20"/>
      <w:szCs w:val="20"/>
    </w:rPr>
  </w:style>
  <w:style w:type="table" w:styleId="TableGrid">
    <w:name w:val="Table Grid"/>
    <w:basedOn w:val="TableNormal"/>
    <w:uiPriority w:val="59"/>
    <w:rsid w:val="00F9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normal">
    <w:name w:val="isonormal"/>
    <w:rsid w:val="00F970EB"/>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5">
    <w:name w:val="blockhd5"/>
    <w:basedOn w:val="isonormal"/>
    <w:next w:val="Normal"/>
    <w:rsid w:val="00F970EB"/>
    <w:pPr>
      <w:keepNext/>
      <w:keepLines/>
      <w:suppressAutoHyphens/>
      <w:ind w:left="1200"/>
      <w:jc w:val="left"/>
    </w:pPr>
    <w:rPr>
      <w:b/>
    </w:rPr>
  </w:style>
  <w:style w:type="paragraph" w:styleId="NoSpacing">
    <w:name w:val="No Spacing"/>
    <w:uiPriority w:val="1"/>
    <w:qFormat/>
    <w:rsid w:val="00F970EB"/>
    <w:rPr>
      <w:rFonts w:ascii="Times New Roman" w:hAnsi="Times New Roman"/>
      <w:sz w:val="24"/>
      <w:szCs w:val="22"/>
    </w:rPr>
  </w:style>
  <w:style w:type="paragraph" w:customStyle="1" w:styleId="circulartext1">
    <w:name w:val="circulartext1"/>
    <w:basedOn w:val="isonormal"/>
    <w:link w:val="circulartext1Char"/>
    <w:rsid w:val="00797573"/>
    <w:pPr>
      <w:keepLines/>
      <w:spacing w:before="100" w:after="100" w:line="240" w:lineRule="auto"/>
    </w:pPr>
    <w:rPr>
      <w:sz w:val="22"/>
      <w:lang w:val="x-none" w:eastAsia="x-none"/>
    </w:rPr>
  </w:style>
  <w:style w:type="character" w:customStyle="1" w:styleId="circulartext1Char">
    <w:name w:val="circulartext1 Char"/>
    <w:link w:val="circulartext1"/>
    <w:rsid w:val="00797573"/>
    <w:rPr>
      <w:rFonts w:ascii="Arial" w:eastAsia="Times New Roman" w:hAnsi="Arial"/>
      <w:sz w:val="22"/>
      <w:lang w:val="x-none" w:eastAsia="x-none"/>
    </w:rPr>
  </w:style>
  <w:style w:type="paragraph" w:styleId="BalloonText">
    <w:name w:val="Balloon Text"/>
    <w:basedOn w:val="Normal"/>
    <w:link w:val="BalloonTextChar"/>
    <w:uiPriority w:val="99"/>
    <w:semiHidden/>
    <w:rsid w:val="00D56596"/>
    <w:pPr>
      <w:autoSpaceDE w:val="0"/>
      <w:autoSpaceDN w:val="0"/>
    </w:pPr>
    <w:rPr>
      <w:rFonts w:ascii="Tahoma" w:eastAsia="Times New Roman" w:hAnsi="Tahoma" w:cs="Tahoma"/>
      <w:sz w:val="16"/>
      <w:szCs w:val="16"/>
    </w:rPr>
  </w:style>
  <w:style w:type="character" w:customStyle="1" w:styleId="BalloonTextChar">
    <w:name w:val="Balloon Text Char"/>
    <w:link w:val="BalloonText"/>
    <w:uiPriority w:val="99"/>
    <w:semiHidden/>
    <w:rsid w:val="00D56596"/>
    <w:rPr>
      <w:rFonts w:ascii="Tahoma" w:eastAsia="Times New Roman" w:hAnsi="Tahoma" w:cs="Tahoma"/>
      <w:sz w:val="16"/>
      <w:szCs w:val="16"/>
    </w:rPr>
  </w:style>
  <w:style w:type="character" w:styleId="Hyperlink">
    <w:name w:val="Hyperlink"/>
    <w:rsid w:val="007D2290"/>
    <w:rPr>
      <w:color w:val="0000FF"/>
      <w:u w:val="single"/>
    </w:rPr>
  </w:style>
  <w:style w:type="character" w:styleId="FollowedHyperlink">
    <w:name w:val="FollowedHyperlink"/>
    <w:uiPriority w:val="99"/>
    <w:semiHidden/>
    <w:unhideWhenUsed/>
    <w:rsid w:val="007D2290"/>
    <w:rPr>
      <w:color w:val="800080"/>
      <w:u w:val="single"/>
    </w:rPr>
  </w:style>
  <w:style w:type="paragraph" w:customStyle="1" w:styleId="circtype">
    <w:name w:val="circtype"/>
    <w:basedOn w:val="isonormal"/>
    <w:rsid w:val="00727607"/>
    <w:pPr>
      <w:spacing w:line="210" w:lineRule="exact"/>
    </w:pPr>
    <w:rPr>
      <w:b/>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5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etDescription xmlns="http://schemas.microsoft.com/sharepoint/v3" xsi:nil="true"/>
    <CorrectionCirculars xmlns="a86cc342-0045-41e2-80e9-abdb777d2eca" xsi:nil="true"/>
    <NumberOfPages xmlns="a86cc342-0045-41e2-80e9-abdb777d2eca" xsi:nil="true"/>
    <Sequence xmlns="a86cc342-0045-41e2-80e9-abdb777d2eca">2</Sequence>
    <ServiceModuleString xmlns="a86cc342-0045-41e2-80e9-abdb777d2eca">Loss Costs;</ServiceModuleString>
    <CircularNote xmlns="a86cc342-0045-41e2-80e9-abdb777d2eca" xsi:nil="true"/>
    <DocumentName xmlns="a86cc342-0045-41e2-80e9-abdb777d2eca">LI-CM-2022-013 - 003 - Summary of Company Action Requirements.docx</DocumentName>
    <IncludeWithPDF xmlns="a86cc342-0045-41e2-80e9-abdb777d2eca">true</IncludeWithPDF>
    <CircularDate xmlns="a86cc342-0045-41e2-80e9-abdb777d2eca">2022-05-11T04:00:00+00:00</CircularDate>
    <AdditionalCircularNumbers xmlns="a86cc342-0045-41e2-80e9-abdb777d2eca" xsi:nil="true"/>
    <Master xmlns="a86cc342-0045-41e2-80e9-abdb777d2eca" xsi:nil="true"/>
    <ServiceModule xmlns="a86cc342-0045-41e2-80e9-abdb777d2eca">
      <Value>8</Value>
    </ServiceModule>
    <AttachmentType xmlns="a86cc342-0045-41e2-80e9-abdb777d2eca">Other</AttachmentType>
    <IsStatusChanging xmlns="a86cc342-0045-41e2-80e9-abdb777d2eca">Y</IsStatusChanging>
    <CircularUpdate xmlns="a86cc342-0045-41e2-80e9-abdb777d2eca" xsi:nil="true"/>
    <ApplicableLOBs xmlns="a86cc342-0045-41e2-80e9-abdb777d2eca"/>
    <CircularNumber xmlns="a86cc342-0045-41e2-80e9-abdb777d2eca">LI-CM-2022-013</CircularNumber>
    <Filings xmlns="a86cc342-0045-41e2-80e9-abdb777d2eca" xsi:nil="true"/>
    <KeyMessage xmlns="a86cc342-0045-41e2-80e9-abdb777d2eca">We are implementing Commercial Inland Marine multistate revisions in 7 jurisdictions. Effective Date: 11/01/2022 Filing ID: CM-2022-RLA1</KeyMessage>
    <PDFSignOffNotification xmlns="a86cc342-0045-41e2-80e9-abdb777d2eca">false</PDFSignOffNotification>
    <CircularDocDescription xmlns="a86cc342-0045-41e2-80e9-abdb777d2eca">Summary of Company Action Requirements</CircularDocDescription>
    <Date_x0020_Modified xmlns="a86cc342-0045-41e2-80e9-abdb777d2eca">2022-05-04T18:19:41+00:00</Date_x0020_Modified>
    <ActionTopic xmlns="a86cc342-0045-41e2-80e9-abdb777d2eca">9</ActionTopic>
    <CircularType xmlns="a86cc342-0045-41e2-80e9-abdb777d2eca">9</CircularType>
    <PSDPDFSignoff xmlns="a86cc342-0045-41e2-80e9-abdb777d2eca" xsi:nil="true"/>
    <AuthorName xmlns="a86cc342-0045-41e2-80e9-abdb777d2eca">Gicas, Tony</AuthorName>
    <CircId xmlns="a86cc342-0045-41e2-80e9-abdb777d2eca">35364</CircId>
    <KeyMessageDoc xmlns="a86cc342-0045-41e2-80e9-abdb777d2eca" xsi:nil="true"/>
    <CircularTitleDoc xmlns="a86cc342-0045-41e2-80e9-abdb777d2eca" xsi:nil="true"/>
    <CircularStatus xmlns="a86cc342-0045-41e2-80e9-abdb777d2eca">QA Review</CircularStatus>
    <LOB xmlns="a86cc342-0045-41e2-80e9-abdb777d2eca">8</LOB>
    <CircularTitle xmlns="a86cc342-0045-41e2-80e9-abdb777d2eca">COMMERCIAL INLAND MARINE MULTISTATE ADVISORY PROSPECTIVE LOSS COST REVISION TO BE IMPLEMENTED IN ADDITIONAL JURISDICTIONS</CircularTitle>
    <StatisticalService xmlns="a86cc342-0045-41e2-80e9-abdb777d2eca"/>
    <AuthorId xmlns="a86cc342-0045-41e2-80e9-abdb777d2eca">I23518</AuthorId>
    <SPPageSequence xmlns="a86cc342-0045-41e2-80e9-abdb777d2eca">0</SPPageSequence>
    <SPSequence xmlns="a86cc342-0045-41e2-80e9-abdb777d2eca">0</SPSequence>
    <CircularComments xmlns="a86cc342-0045-41e2-80e9-abdb777d2eca">Returning to re-number circular.\\user\\I62802 - Adamson,Karen M, 01/11/2018 - 03:18 PM</CircularComments>
    <AuthorPDFSignoff xmlns="a86cc342-0045-41e2-80e9-abdb777d2eca" xsi:nil="true"/>
    <Jurs xmlns="a86cc342-0045-41e2-80e9-abdb777d2eca">
      <Value>8</Value>
      <Value>13</Value>
      <Value>17</Value>
      <Value>21</Value>
      <Value>29</Value>
      <Value>37</Value>
      <Value>38</Value>
    </Ju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5F33280-2B8C-40FF-840C-76B37C0493C5}"/>
</file>

<file path=customXml/itemProps2.xml><?xml version="1.0" encoding="utf-8"?>
<ds:datastoreItem xmlns:ds="http://schemas.openxmlformats.org/officeDocument/2006/customXml" ds:itemID="{A429B234-545D-43C4-A3F7-71B6D9D85519}"/>
</file>

<file path=customXml/itemProps3.xml><?xml version="1.0" encoding="utf-8"?>
<ds:datastoreItem xmlns:ds="http://schemas.openxmlformats.org/officeDocument/2006/customXml" ds:itemID="{73EE6048-883B-4EA0-BFA7-D484D989E48F}"/>
</file>

<file path=customXml/itemProps4.xml><?xml version="1.0" encoding="utf-8"?>
<ds:datastoreItem xmlns:ds="http://schemas.openxmlformats.org/officeDocument/2006/customXml" ds:itemID="{4BE45783-3F28-4D0F-81F5-FBC63327C4A2}"/>
</file>

<file path=customXml/itemProps5.xml><?xml version="1.0" encoding="utf-8"?>
<ds:datastoreItem xmlns:ds="http://schemas.openxmlformats.org/officeDocument/2006/customXml" ds:itemID="{7E183BBA-9D74-4EE6-B089-4877C6C56051}"/>
</file>

<file path=docProps/app.xml><?xml version="1.0" encoding="utf-8"?>
<Properties xmlns="http://schemas.openxmlformats.org/officeDocument/2006/extended-properties" xmlns:vt="http://schemas.openxmlformats.org/officeDocument/2006/docPropsVTypes">
  <Template>Normal.dotm</Template>
  <TotalTime>30</TotalTime>
  <Pages>1</Pages>
  <Words>462</Words>
  <Characters>2474</Characters>
  <Application>Microsoft Office Word</Application>
  <DocSecurity>0</DocSecurity>
  <Lines>51</Lines>
  <Paragraphs>25</Paragraphs>
  <ScaleCrop>false</ScaleCrop>
  <HeadingPairs>
    <vt:vector size="2" baseType="variant">
      <vt:variant>
        <vt:lpstr>Title</vt:lpstr>
      </vt:variant>
      <vt:variant>
        <vt:i4>1</vt:i4>
      </vt:variant>
    </vt:vector>
  </HeadingPairs>
  <TitlesOfParts>
    <vt:vector size="1" baseType="lpstr">
      <vt:lpstr/>
    </vt:vector>
  </TitlesOfParts>
  <Company>Verisk Analytics</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cp:lastModifiedBy>Gicas, Tony</cp:lastModifiedBy>
  <cp:revision>23</cp:revision>
  <cp:lastPrinted>2018-02-26T13:44:00Z</cp:lastPrinted>
  <dcterms:created xsi:type="dcterms:W3CDTF">2022-05-02T15:01:00Z</dcterms:created>
  <dcterms:modified xsi:type="dcterms:W3CDTF">2022-05-04T18:19:00Z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rs">
    <vt:lpwstr>1;#AL;#3;#AZ;#6;#CO;#9;#DC;#8;#DE;#12;#GU;#17;#IA;#14;#ID;#16;#IN;#26;#MS;#35;#NC;#36;#ND;#30;#NV;#37;#OH;#43;#SC;#45;#TN;#48;#UT</vt:lpwstr>
  </property>
  <property fmtid="{D5CDD505-2E9C-101B-9397-08002B2CF9AE}" pid="3" name="CircularComments">
    <vt:lpwstr>Returning to re-number circular.\\user\\I62802 - Adamson,Karen M, 01/11/2018 - 03:18 PM</vt:lpwstr>
  </property>
  <property fmtid="{D5CDD505-2E9C-101B-9397-08002B2CF9AE}" pid="4" name="_docset_NoMedatataSyncRequired">
    <vt:lpwstr>False</vt:lpwstr>
  </property>
  <property fmtid="{D5CDD505-2E9C-101B-9397-08002B2CF9AE}" pid="5" name="_NewReviewCycle">
    <vt:lpwstr/>
  </property>
  <property fmtid="{D5CDD505-2E9C-101B-9397-08002B2CF9AE}" pid="6" name="ContentTypeId">
    <vt:lpwstr>0x0101002A7B4D783DF0499AA9CFFB0BDFDF2D2C00B742AC3165F72545976B399ED8B6337E</vt:lpwstr>
  </property>
</Properties>
</file>