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17E32" w14:textId="77777777" w:rsidR="007C1AB9" w:rsidRPr="004C4A5C" w:rsidRDefault="007C1AB9" w:rsidP="000C04ED">
      <w:pPr>
        <w:pStyle w:val="boxrule"/>
      </w:pPr>
      <w:bookmarkStart w:id="0" w:name="_Hlk129769022"/>
      <w:r w:rsidRPr="004C4A5C">
        <w:t>73.  CAUSES OF LOSS – EARTHQUAKE FORM</w:t>
      </w:r>
    </w:p>
    <w:p w14:paraId="59F30846" w14:textId="77777777" w:rsidR="007C1AB9" w:rsidRPr="004C4A5C" w:rsidRDefault="007C1AB9" w:rsidP="000C04ED">
      <w:pPr>
        <w:pStyle w:val="outlinehd2"/>
      </w:pPr>
      <w:r w:rsidRPr="004C4A5C">
        <w:tab/>
        <w:t>A.</w:t>
      </w:r>
      <w:r w:rsidRPr="004C4A5C">
        <w:tab/>
        <w:t>Description Of Covered Causes Of Loss</w:t>
      </w:r>
    </w:p>
    <w:p w14:paraId="5B91438A" w14:textId="77777777" w:rsidR="007C1AB9" w:rsidRPr="004C4A5C" w:rsidRDefault="007C1AB9" w:rsidP="000C04ED">
      <w:pPr>
        <w:pStyle w:val="blocktext3"/>
      </w:pPr>
      <w:r w:rsidRPr="004C4A5C">
        <w:t>This insurance provides coverage for loss by earthquake and volcanic eruption, explosion or effusion.</w:t>
      </w:r>
    </w:p>
    <w:p w14:paraId="6ED8FB5E" w14:textId="77777777" w:rsidR="007C1AB9" w:rsidRPr="004C4A5C" w:rsidRDefault="007C1AB9" w:rsidP="000C04ED">
      <w:pPr>
        <w:pStyle w:val="outlinehd2"/>
      </w:pPr>
      <w:r w:rsidRPr="004C4A5C">
        <w:tab/>
        <w:t>B.</w:t>
      </w:r>
      <w:r w:rsidRPr="004C4A5C">
        <w:tab/>
        <w:t>Forms</w:t>
      </w:r>
    </w:p>
    <w:p w14:paraId="1530371E" w14:textId="77777777" w:rsidR="007C1AB9" w:rsidRPr="004C4A5C" w:rsidRDefault="007C1AB9" w:rsidP="000C04ED">
      <w:pPr>
        <w:pStyle w:val="outlinetxt3"/>
      </w:pPr>
      <w:r w:rsidRPr="004C4A5C">
        <w:rPr>
          <w:b/>
        </w:rPr>
        <w:tab/>
        <w:t>1.</w:t>
      </w:r>
      <w:r w:rsidRPr="004C4A5C">
        <w:tab/>
        <w:t xml:space="preserve">Use Earthquake And Volcanic Eruption Coverage With Percentage Deductible Endorsement </w:t>
      </w:r>
      <w:r w:rsidRPr="004C4A5C">
        <w:rPr>
          <w:rStyle w:val="formlink"/>
        </w:rPr>
        <w:t>CP 10 40</w:t>
      </w:r>
      <w:r w:rsidRPr="004C4A5C">
        <w:t xml:space="preserve"> or Earthquake And Volcanic Eruption Coverage With Flat-dollar Deductible Endorsement </w:t>
      </w:r>
      <w:r w:rsidRPr="004C4A5C">
        <w:rPr>
          <w:rStyle w:val="formlink"/>
        </w:rPr>
        <w:t>CP 10 28</w:t>
      </w:r>
      <w:r w:rsidRPr="004C4A5C">
        <w:rPr>
          <w:b/>
        </w:rPr>
        <w:t>.</w:t>
      </w:r>
    </w:p>
    <w:p w14:paraId="75BF3803" w14:textId="77777777" w:rsidR="007C1AB9" w:rsidRPr="004C4A5C" w:rsidRDefault="007C1AB9" w:rsidP="000C04ED">
      <w:pPr>
        <w:pStyle w:val="blocktext4"/>
      </w:pPr>
      <w:r w:rsidRPr="004C4A5C">
        <w:t xml:space="preserve">These endorsements include an option for limiting coverage to "Earthquake – Sprinkler Leakage Only". The option is made applicable by appropriate entry in the Schedule or Declarations. Refer to Rule </w:t>
      </w:r>
      <w:r w:rsidRPr="004C4A5C">
        <w:rPr>
          <w:b/>
        </w:rPr>
        <w:t>74.F.</w:t>
      </w:r>
      <w:r w:rsidRPr="004C4A5C">
        <w:t xml:space="preserve"> in the multistate and state sections of this manual for more information on this option.</w:t>
      </w:r>
    </w:p>
    <w:p w14:paraId="43D4BB2F" w14:textId="77777777" w:rsidR="007C1AB9" w:rsidRPr="004C4A5C" w:rsidRDefault="007C1AB9" w:rsidP="000C04ED">
      <w:pPr>
        <w:pStyle w:val="blocktext4"/>
      </w:pPr>
      <w:r w:rsidRPr="004C4A5C">
        <w:t xml:space="preserve">(For information on writing Earthquake And Volcanic Eruption Coverage on a sub-limit basis, subject to an annual aggregate limit, refer to Rule </w:t>
      </w:r>
      <w:r w:rsidRPr="004C4A5C">
        <w:rPr>
          <w:b/>
        </w:rPr>
        <w:t>75.</w:t>
      </w:r>
      <w:r w:rsidRPr="004C4A5C">
        <w:t>)</w:t>
      </w:r>
    </w:p>
    <w:p w14:paraId="531DC9B9" w14:textId="77777777" w:rsidR="007C1AB9" w:rsidRPr="004C4A5C" w:rsidRDefault="007C1AB9" w:rsidP="000C04ED">
      <w:pPr>
        <w:pStyle w:val="outlinetxt3"/>
      </w:pPr>
      <w:r w:rsidRPr="004C4A5C">
        <w:rPr>
          <w:b/>
        </w:rPr>
        <w:tab/>
        <w:t>2.</w:t>
      </w:r>
      <w:r w:rsidRPr="004C4A5C">
        <w:rPr>
          <w:b/>
        </w:rPr>
        <w:tab/>
      </w:r>
      <w:r w:rsidRPr="004C4A5C">
        <w:t xml:space="preserve">Use Earthquake Inception Extension Endorsement </w:t>
      </w:r>
      <w:r w:rsidRPr="004C4A5C">
        <w:rPr>
          <w:rStyle w:val="formlink"/>
        </w:rPr>
        <w:t>CP 10 41</w:t>
      </w:r>
      <w:r w:rsidRPr="004C4A5C">
        <w:t xml:space="preserve"> when simplified forms replace non-simplified forms and non-simplified forms include Earthquake Coverage.</w:t>
      </w:r>
    </w:p>
    <w:p w14:paraId="38D09B45" w14:textId="77777777" w:rsidR="007C1AB9" w:rsidRPr="004C4A5C" w:rsidRDefault="007C1AB9" w:rsidP="000C04ED">
      <w:pPr>
        <w:pStyle w:val="outlinehd2"/>
      </w:pPr>
      <w:r w:rsidRPr="004C4A5C">
        <w:tab/>
        <w:t>C.</w:t>
      </w:r>
      <w:r w:rsidRPr="004C4A5C">
        <w:tab/>
        <w:t>Rules</w:t>
      </w:r>
    </w:p>
    <w:p w14:paraId="35E17079" w14:textId="77777777" w:rsidR="007C1AB9" w:rsidRPr="004C4A5C" w:rsidRDefault="007C1AB9" w:rsidP="000C04ED">
      <w:pPr>
        <w:pStyle w:val="outlinehd3"/>
      </w:pPr>
      <w:r w:rsidRPr="004C4A5C">
        <w:tab/>
        <w:t>1.</w:t>
      </w:r>
      <w:r w:rsidRPr="004C4A5C">
        <w:tab/>
        <w:t>Specific Insurance</w:t>
      </w:r>
    </w:p>
    <w:p w14:paraId="24A49399" w14:textId="77777777" w:rsidR="007C1AB9" w:rsidRPr="004C4A5C" w:rsidRDefault="007C1AB9" w:rsidP="000C04ED">
      <w:pPr>
        <w:pStyle w:val="outlinetxt4"/>
      </w:pPr>
      <w:r w:rsidRPr="004C4A5C">
        <w:tab/>
      </w:r>
      <w:r w:rsidRPr="004C4A5C">
        <w:rPr>
          <w:b/>
        </w:rPr>
        <w:t>a.</w:t>
      </w:r>
      <w:r w:rsidRPr="004C4A5C">
        <w:tab/>
        <w:t>The Limit of Insurance for Earthquake must be the same as the Limit of Insurance for other causes of loss.</w:t>
      </w:r>
    </w:p>
    <w:p w14:paraId="58BF0C8D" w14:textId="77777777" w:rsidR="007C1AB9" w:rsidRPr="004C4A5C" w:rsidRDefault="007C1AB9" w:rsidP="000C04ED">
      <w:pPr>
        <w:pStyle w:val="outlinetxt4"/>
      </w:pPr>
      <w:r w:rsidRPr="004C4A5C">
        <w:tab/>
      </w:r>
      <w:r w:rsidRPr="004C4A5C">
        <w:rPr>
          <w:b/>
        </w:rPr>
        <w:t>b.</w:t>
      </w:r>
      <w:r w:rsidRPr="004C4A5C">
        <w:tab/>
        <w:t>For policies containing more than one item, Earthquake Coverage may apply to any or all items. Clearly identify in the Schedule or Declarations the items to which Earthquake Coverage applies.</w:t>
      </w:r>
    </w:p>
    <w:p w14:paraId="3451715D" w14:textId="77777777" w:rsidR="007C1AB9" w:rsidRPr="004C4A5C" w:rsidRDefault="007C1AB9" w:rsidP="000C04ED">
      <w:pPr>
        <w:pStyle w:val="outlinehd3"/>
      </w:pPr>
      <w:r w:rsidRPr="004C4A5C">
        <w:tab/>
        <w:t>2.</w:t>
      </w:r>
      <w:r w:rsidRPr="004C4A5C">
        <w:tab/>
        <w:t>Blanket Insurance</w:t>
      </w:r>
    </w:p>
    <w:p w14:paraId="3376C518" w14:textId="77777777" w:rsidR="007C1AB9" w:rsidRPr="004C4A5C" w:rsidRDefault="007C1AB9" w:rsidP="000C04ED">
      <w:pPr>
        <w:pStyle w:val="blocktext4"/>
      </w:pPr>
      <w:r w:rsidRPr="004C4A5C">
        <w:t>When Earthquake Coverage does not apply to all buildings or personal property included in a blanket item:</w:t>
      </w:r>
    </w:p>
    <w:p w14:paraId="6E73E80E" w14:textId="77777777" w:rsidR="007C1AB9" w:rsidRPr="004C4A5C" w:rsidRDefault="007C1AB9" w:rsidP="000C04ED">
      <w:pPr>
        <w:pStyle w:val="outlinetxt4"/>
      </w:pPr>
      <w:r w:rsidRPr="004C4A5C">
        <w:tab/>
      </w:r>
      <w:r w:rsidRPr="004C4A5C">
        <w:rPr>
          <w:b/>
        </w:rPr>
        <w:t>a.</w:t>
      </w:r>
      <w:r w:rsidRPr="004C4A5C">
        <w:tab/>
        <w:t>Designate in the Schedule or Declarations the specific building(s) or personal property to which the coverage applies.</w:t>
      </w:r>
    </w:p>
    <w:p w14:paraId="6F9A6615" w14:textId="77777777" w:rsidR="007C1AB9" w:rsidRPr="004C4A5C" w:rsidRDefault="007C1AB9" w:rsidP="000C04ED">
      <w:pPr>
        <w:pStyle w:val="outlinetxt4"/>
      </w:pPr>
      <w:r w:rsidRPr="004C4A5C">
        <w:tab/>
      </w:r>
      <w:r w:rsidRPr="004C4A5C">
        <w:rPr>
          <w:b/>
        </w:rPr>
        <w:t>b.</w:t>
      </w:r>
      <w:r w:rsidRPr="004C4A5C">
        <w:tab/>
        <w:t xml:space="preserve">Show the Earthquake Coverage </w:t>
      </w:r>
      <w:del w:id="1" w:author="Author">
        <w:r w:rsidRPr="004C4A5C" w:rsidDel="003D2690">
          <w:delText>l</w:delText>
        </w:r>
      </w:del>
      <w:ins w:id="2" w:author="Author">
        <w:r w:rsidRPr="004C4A5C">
          <w:t>L</w:t>
        </w:r>
      </w:ins>
      <w:r w:rsidRPr="004C4A5C">
        <w:t xml:space="preserve">imit of </w:t>
      </w:r>
      <w:del w:id="3" w:author="Author">
        <w:r w:rsidRPr="004C4A5C" w:rsidDel="003D2690">
          <w:delText>i</w:delText>
        </w:r>
      </w:del>
      <w:ins w:id="4" w:author="Author">
        <w:r w:rsidRPr="004C4A5C">
          <w:t>I</w:t>
        </w:r>
      </w:ins>
      <w:r w:rsidRPr="004C4A5C">
        <w:t>nsurance for the designated building(s) or personal property item(s).</w:t>
      </w:r>
    </w:p>
    <w:p w14:paraId="114B1D5B" w14:textId="77777777" w:rsidR="007C1AB9" w:rsidRPr="004C4A5C" w:rsidRDefault="007C1AB9" w:rsidP="000C04ED">
      <w:pPr>
        <w:pStyle w:val="outlinehd2"/>
      </w:pPr>
      <w:r w:rsidRPr="004C4A5C">
        <w:tab/>
        <w:t>D.</w:t>
      </w:r>
      <w:r w:rsidRPr="004C4A5C">
        <w:tab/>
        <w:t>Rating Procedure</w:t>
      </w:r>
    </w:p>
    <w:p w14:paraId="09B1EAED" w14:textId="77777777" w:rsidR="007C1AB9" w:rsidRPr="004C4A5C" w:rsidRDefault="007C1AB9" w:rsidP="000C04ED">
      <w:pPr>
        <w:pStyle w:val="outlinehd3"/>
      </w:pPr>
      <w:r w:rsidRPr="004C4A5C">
        <w:tab/>
        <w:t>1.</w:t>
      </w:r>
      <w:r w:rsidRPr="004C4A5C">
        <w:tab/>
        <w:t>Risk Classification</w:t>
      </w:r>
    </w:p>
    <w:p w14:paraId="098E48CA" w14:textId="77777777" w:rsidR="007C1AB9" w:rsidRPr="004C4A5C" w:rsidRDefault="007C1AB9" w:rsidP="000C04ED">
      <w:pPr>
        <w:pStyle w:val="blocktext4"/>
      </w:pPr>
      <w:r w:rsidRPr="004C4A5C">
        <w:t xml:space="preserve">Refer to Paragraph </w:t>
      </w:r>
      <w:r w:rsidRPr="004C4A5C">
        <w:rPr>
          <w:b/>
        </w:rPr>
        <w:t>D.4.</w:t>
      </w:r>
      <w:r w:rsidRPr="004C4A5C">
        <w:t xml:space="preserve"> to obtain the building classification description. If after reference to Paragraph </w:t>
      </w:r>
      <w:r w:rsidRPr="004C4A5C">
        <w:rPr>
          <w:b/>
          <w:bCs/>
        </w:rPr>
        <w:t>D.4.</w:t>
      </w:r>
      <w:r w:rsidRPr="004C4A5C">
        <w:t xml:space="preserve"> a building classification is not obtained, a classification may be determined as follows:</w:t>
      </w:r>
    </w:p>
    <w:p w14:paraId="328B13D2" w14:textId="77777777" w:rsidR="007C1AB9" w:rsidRPr="004C4A5C" w:rsidRDefault="007C1AB9" w:rsidP="000C04ED">
      <w:pPr>
        <w:pStyle w:val="blocktext4"/>
      </w:pPr>
      <w:r w:rsidRPr="004C4A5C">
        <w:t>A request for determination of building classification may be submitted to ISO with a complete set of certified construction drawings, specifications and available soil report from the design professional and contractor indicating the design standards and the building construction inspection program to be utilized.</w:t>
      </w:r>
    </w:p>
    <w:p w14:paraId="1C844019" w14:textId="77777777" w:rsidR="007C1AB9" w:rsidRPr="004C4A5C" w:rsidRDefault="007C1AB9" w:rsidP="000C04ED">
      <w:pPr>
        <w:pStyle w:val="outlinehd3"/>
      </w:pPr>
      <w:r w:rsidRPr="004C4A5C">
        <w:tab/>
        <w:t>2.</w:t>
      </w:r>
      <w:r w:rsidRPr="004C4A5C">
        <w:tab/>
        <w:t>Deductibles</w:t>
      </w:r>
    </w:p>
    <w:p w14:paraId="189BCCA3" w14:textId="77777777" w:rsidR="007C1AB9" w:rsidRPr="004C4A5C" w:rsidRDefault="007C1AB9" w:rsidP="000C04ED">
      <w:pPr>
        <w:pStyle w:val="outlinehd4"/>
      </w:pPr>
      <w:r w:rsidRPr="004C4A5C">
        <w:tab/>
        <w:t>a.</w:t>
      </w:r>
      <w:r w:rsidRPr="004C4A5C">
        <w:tab/>
        <w:t>General Information</w:t>
      </w:r>
    </w:p>
    <w:p w14:paraId="2C063C9E" w14:textId="77777777" w:rsidR="007C1AB9" w:rsidRPr="004C4A5C" w:rsidRDefault="007C1AB9" w:rsidP="000C04ED">
      <w:pPr>
        <w:pStyle w:val="blocktext5"/>
      </w:pPr>
      <w:r w:rsidRPr="004C4A5C">
        <w:t xml:space="preserve">All rates for property damage coverage are based on a base deductible percentage. The base deductible percentages are shown in the state rates. Refer to Paragraph </w:t>
      </w:r>
      <w:r w:rsidRPr="004C4A5C">
        <w:rPr>
          <w:b/>
          <w:bCs/>
        </w:rPr>
        <w:t>D.2.</w:t>
      </w:r>
      <w:r w:rsidRPr="004C4A5C">
        <w:rPr>
          <w:b/>
        </w:rPr>
        <w:t>d.</w:t>
      </w:r>
      <w:r w:rsidRPr="004C4A5C">
        <w:t xml:space="preserve"> for information on higher percentage deductibles.</w:t>
      </w:r>
    </w:p>
    <w:p w14:paraId="0650441B" w14:textId="77777777" w:rsidR="007C1AB9" w:rsidRPr="004C4A5C" w:rsidRDefault="007C1AB9" w:rsidP="000C04ED">
      <w:pPr>
        <w:pStyle w:val="blocktext5"/>
      </w:pPr>
      <w:r w:rsidRPr="004C4A5C">
        <w:t xml:space="preserve">Percentage deductibles are accommodated under Endorsement </w:t>
      </w:r>
      <w:r w:rsidRPr="004C4A5C">
        <w:rPr>
          <w:rStyle w:val="formlink"/>
        </w:rPr>
        <w:t>CP 10 40</w:t>
      </w:r>
      <w:r w:rsidRPr="004C4A5C">
        <w:rPr>
          <w:b/>
        </w:rPr>
        <w:t>.</w:t>
      </w:r>
    </w:p>
    <w:p w14:paraId="505176F5" w14:textId="77777777" w:rsidR="007C1AB9" w:rsidRPr="004C4A5C" w:rsidRDefault="007C1AB9" w:rsidP="000C04ED">
      <w:pPr>
        <w:pStyle w:val="outlinehd5"/>
      </w:pPr>
      <w:r w:rsidRPr="004C4A5C">
        <w:tab/>
        <w:t>(1)</w:t>
      </w:r>
      <w:r w:rsidRPr="004C4A5C">
        <w:tab/>
        <w:t>Specific Insurance</w:t>
      </w:r>
    </w:p>
    <w:p w14:paraId="604D62DA" w14:textId="77777777" w:rsidR="007C1AB9" w:rsidRPr="004C4A5C" w:rsidRDefault="007C1AB9" w:rsidP="000C04ED">
      <w:pPr>
        <w:pStyle w:val="blocktext6"/>
      </w:pPr>
      <w:r w:rsidRPr="004C4A5C">
        <w:t>The dollar amount of the deductible will be equal to a percentage of the Limit(s) of Insurance applicable to the property that has sustained loss or damage.</w:t>
      </w:r>
    </w:p>
    <w:p w14:paraId="13D63AD6" w14:textId="77777777" w:rsidR="007C1AB9" w:rsidRPr="004C4A5C" w:rsidRDefault="007C1AB9" w:rsidP="000C04ED">
      <w:pPr>
        <w:pStyle w:val="outlinehd5"/>
      </w:pPr>
      <w:r w:rsidRPr="004C4A5C">
        <w:tab/>
        <w:t>(2)</w:t>
      </w:r>
      <w:r w:rsidRPr="004C4A5C">
        <w:tab/>
        <w:t>Blanket Insurance</w:t>
      </w:r>
    </w:p>
    <w:p w14:paraId="1C9BDDF7" w14:textId="77777777" w:rsidR="007C1AB9" w:rsidRPr="004C4A5C" w:rsidRDefault="007C1AB9" w:rsidP="000C04ED">
      <w:pPr>
        <w:pStyle w:val="blocktext6"/>
      </w:pPr>
      <w:r w:rsidRPr="004C4A5C">
        <w:t>The dollar amount of the deductible will be equal to a percentage of the value(s) of the property that has sustained loss or damage. The values to be used are those shown in the most recent Statement of Values on file with the company.</w:t>
      </w:r>
    </w:p>
    <w:p w14:paraId="229F0561" w14:textId="77777777" w:rsidR="007C1AB9" w:rsidRPr="004C4A5C" w:rsidRDefault="007C1AB9" w:rsidP="000C04ED">
      <w:pPr>
        <w:pStyle w:val="outlinehd5"/>
      </w:pPr>
      <w:r w:rsidRPr="004C4A5C">
        <w:tab/>
        <w:t>(3)</w:t>
      </w:r>
      <w:r w:rsidRPr="004C4A5C">
        <w:tab/>
        <w:t>Value Reporting Forms And Builders Risk Insurance</w:t>
      </w:r>
    </w:p>
    <w:p w14:paraId="499E1A01" w14:textId="77777777" w:rsidR="007C1AB9" w:rsidRPr="004C4A5C" w:rsidRDefault="007C1AB9" w:rsidP="000C04ED">
      <w:pPr>
        <w:pStyle w:val="blocktext6"/>
      </w:pPr>
      <w:r w:rsidRPr="004C4A5C">
        <w:t>For value reporting forms, the calculation of the deductible amount is based on reported values. There are variations for the situation where loss occurs prior to the first report, and for reports of value which show less than full values. If coverage is written blanket under a reporting form, the basis of the calculation is value at time of loss.</w:t>
      </w:r>
    </w:p>
    <w:p w14:paraId="515861F1" w14:textId="77777777" w:rsidR="007C1AB9" w:rsidRPr="004C4A5C" w:rsidRDefault="007C1AB9" w:rsidP="000C04ED">
      <w:pPr>
        <w:pStyle w:val="blocktext6"/>
      </w:pPr>
      <w:r w:rsidRPr="004C4A5C">
        <w:t>For builders risk insurance, the calculation of the deductible amount is based on value at time of loss.</w:t>
      </w:r>
    </w:p>
    <w:p w14:paraId="46B242A0" w14:textId="77777777" w:rsidR="007C1AB9" w:rsidRPr="004C4A5C" w:rsidRDefault="007C1AB9" w:rsidP="000C04ED">
      <w:pPr>
        <w:pStyle w:val="outlinehd5"/>
      </w:pPr>
      <w:r w:rsidRPr="004C4A5C">
        <w:lastRenderedPageBreak/>
        <w:tab/>
        <w:t>(4)</w:t>
      </w:r>
      <w:r w:rsidRPr="004C4A5C">
        <w:tab/>
        <w:t>Newly Acquired Or Constructed Property</w:t>
      </w:r>
    </w:p>
    <w:p w14:paraId="3FB2D96E" w14:textId="77777777" w:rsidR="007C1AB9" w:rsidRPr="004C4A5C" w:rsidRDefault="007C1AB9" w:rsidP="000C04ED">
      <w:pPr>
        <w:pStyle w:val="blocktext6"/>
      </w:pPr>
      <w:r w:rsidRPr="004C4A5C">
        <w:t>When property is covered under the Coverage Extension for Newly Acquired or Constructed Property: In determining the amount, if any, that we will pay for loss or damage, we will deduct an amount equal to a percentage of the value(s) of the property at time of loss. The applicable percentage for Newly Acquired or Constructed Property is the highest percentage shown in the Declarations for any described premises.</w:t>
      </w:r>
    </w:p>
    <w:p w14:paraId="4B4C1A9D" w14:textId="77777777" w:rsidR="007C1AB9" w:rsidRPr="004C4A5C" w:rsidRDefault="007C1AB9" w:rsidP="000C04ED">
      <w:pPr>
        <w:pStyle w:val="outlinehd4"/>
      </w:pPr>
      <w:r w:rsidRPr="004C4A5C">
        <w:tab/>
        <w:t>b.</w:t>
      </w:r>
      <w:r w:rsidRPr="004C4A5C">
        <w:tab/>
        <w:t>Application</w:t>
      </w:r>
    </w:p>
    <w:p w14:paraId="41A5E814" w14:textId="77777777" w:rsidR="007C1AB9" w:rsidRPr="004C4A5C" w:rsidRDefault="007C1AB9" w:rsidP="000C04ED">
      <w:pPr>
        <w:pStyle w:val="blocktext5"/>
      </w:pPr>
      <w:r w:rsidRPr="004C4A5C">
        <w:t>The deductible is calculated separately for, and applies separately to:</w:t>
      </w:r>
    </w:p>
    <w:p w14:paraId="14C52873" w14:textId="77777777" w:rsidR="007C1AB9" w:rsidRPr="004C4A5C" w:rsidRDefault="007C1AB9" w:rsidP="000C04ED">
      <w:pPr>
        <w:pStyle w:val="outlinetxt5"/>
      </w:pPr>
      <w:r w:rsidRPr="004C4A5C">
        <w:tab/>
      </w:r>
      <w:r w:rsidRPr="004C4A5C">
        <w:rPr>
          <w:b/>
        </w:rPr>
        <w:t>(1)</w:t>
      </w:r>
      <w:r w:rsidRPr="004C4A5C">
        <w:tab/>
        <w:t>Each building, if two or more buildings sustain loss or damage;</w:t>
      </w:r>
    </w:p>
    <w:p w14:paraId="6AAD8DCE" w14:textId="77777777" w:rsidR="007C1AB9" w:rsidRPr="004C4A5C" w:rsidRDefault="007C1AB9" w:rsidP="000C04ED">
      <w:pPr>
        <w:pStyle w:val="outlinetxt5"/>
      </w:pPr>
      <w:r w:rsidRPr="004C4A5C">
        <w:tab/>
      </w:r>
      <w:r w:rsidRPr="004C4A5C">
        <w:rPr>
          <w:b/>
        </w:rPr>
        <w:t>(2)</w:t>
      </w:r>
      <w:r w:rsidRPr="004C4A5C">
        <w:tab/>
        <w:t>The building and to personal property in that building, if both sustain loss or damage;</w:t>
      </w:r>
    </w:p>
    <w:p w14:paraId="1F26035C" w14:textId="77777777" w:rsidR="007C1AB9" w:rsidRPr="004C4A5C" w:rsidRDefault="007C1AB9" w:rsidP="000C04ED">
      <w:pPr>
        <w:pStyle w:val="outlinetxt5"/>
      </w:pPr>
      <w:r w:rsidRPr="004C4A5C">
        <w:tab/>
      </w:r>
      <w:r w:rsidRPr="004C4A5C">
        <w:rPr>
          <w:b/>
        </w:rPr>
        <w:t>(3)</w:t>
      </w:r>
      <w:r w:rsidRPr="004C4A5C">
        <w:tab/>
        <w:t>Personal property at each building, if personal property at two or more buildings sustains loss or damage;</w:t>
      </w:r>
    </w:p>
    <w:p w14:paraId="105BAD00" w14:textId="77777777" w:rsidR="007C1AB9" w:rsidRPr="004C4A5C" w:rsidRDefault="007C1AB9" w:rsidP="000C04ED">
      <w:pPr>
        <w:pStyle w:val="outlinetxt5"/>
      </w:pPr>
      <w:r w:rsidRPr="004C4A5C">
        <w:tab/>
      </w:r>
      <w:r w:rsidRPr="004C4A5C">
        <w:rPr>
          <w:b/>
        </w:rPr>
        <w:t>(4)</w:t>
      </w:r>
      <w:r w:rsidRPr="004C4A5C">
        <w:tab/>
        <w:t>Personal property in the open.</w:t>
      </w:r>
    </w:p>
    <w:p w14:paraId="2808A4E7" w14:textId="77777777" w:rsidR="007C1AB9" w:rsidRPr="004C4A5C" w:rsidRDefault="007C1AB9" w:rsidP="000C04ED">
      <w:pPr>
        <w:pStyle w:val="outlinehd4"/>
      </w:pPr>
      <w:r w:rsidRPr="004C4A5C">
        <w:tab/>
        <w:t>c.</w:t>
      </w:r>
      <w:r w:rsidRPr="004C4A5C">
        <w:tab/>
        <w:t>Statement Of Values</w:t>
      </w:r>
    </w:p>
    <w:p w14:paraId="6EAB0BD4" w14:textId="77777777" w:rsidR="007C1AB9" w:rsidRPr="004C4A5C" w:rsidRDefault="007C1AB9" w:rsidP="000C04ED">
      <w:pPr>
        <w:pStyle w:val="blocktext5"/>
        <w:rPr>
          <w:b/>
        </w:rPr>
      </w:pPr>
      <w:r w:rsidRPr="004C4A5C">
        <w:t>The Statement of Values for a blanket policy should contain sufficient detail – value of each building, value of personal property at each building, value of personal property in the open – to complement the procedure set forth in the endorsements.</w:t>
      </w:r>
    </w:p>
    <w:p w14:paraId="32F1C305" w14:textId="77777777" w:rsidR="007C1AB9" w:rsidRPr="004C4A5C" w:rsidRDefault="007C1AB9" w:rsidP="000C04ED">
      <w:pPr>
        <w:pStyle w:val="outlinehd4"/>
      </w:pPr>
      <w:r w:rsidRPr="004C4A5C">
        <w:tab/>
        <w:t>d.</w:t>
      </w:r>
      <w:r w:rsidRPr="004C4A5C">
        <w:tab/>
        <w:t>Earthquake Deductible Options</w:t>
      </w:r>
    </w:p>
    <w:p w14:paraId="7FD36C28" w14:textId="77777777" w:rsidR="007C1AB9" w:rsidRPr="004C4A5C" w:rsidRDefault="007C1AB9" w:rsidP="000C04ED">
      <w:pPr>
        <w:pStyle w:val="blocktext5"/>
      </w:pPr>
      <w:r w:rsidRPr="004C4A5C">
        <w:t xml:space="preserve">Deductibles for building and personal property may be increased to a maximum of 40%, subject to application of credits. Multiply the rates at the base deductible by the appropriate factor as shown in Table </w:t>
      </w:r>
      <w:r w:rsidRPr="004C4A5C">
        <w:rPr>
          <w:rStyle w:val="tablelink"/>
        </w:rPr>
        <w:t>73.D.2.d.</w:t>
      </w:r>
      <w:r w:rsidRPr="004C4A5C">
        <w:t xml:space="preserve"> </w:t>
      </w:r>
      <w:del w:id="5" w:author="Author">
        <w:r w:rsidRPr="004C4A5C" w:rsidDel="003D2690">
          <w:delText xml:space="preserve">Earthquake Deductible Options </w:delText>
        </w:r>
      </w:del>
      <w:r w:rsidRPr="004C4A5C">
        <w:t xml:space="preserve">in the state exceptions. Refer to the State Rates for </w:t>
      </w:r>
      <w:ins w:id="6" w:author="Author">
        <w:r w:rsidRPr="004C4A5C">
          <w:t xml:space="preserve">the </w:t>
        </w:r>
      </w:ins>
      <w:r w:rsidRPr="004C4A5C">
        <w:t>applicable Deductible Tier.</w:t>
      </w:r>
    </w:p>
    <w:p w14:paraId="6CE93676" w14:textId="77777777" w:rsidR="007C1AB9" w:rsidRPr="004C4A5C" w:rsidRDefault="007C1AB9" w:rsidP="000C04ED">
      <w:pPr>
        <w:pStyle w:val="blocktext5"/>
      </w:pPr>
      <w:r w:rsidRPr="004C4A5C">
        <w:t xml:space="preserve">Refer to Paragraph </w:t>
      </w:r>
      <w:ins w:id="7" w:author="Author">
        <w:r w:rsidRPr="007C1AB9">
          <w:rPr>
            <w:b/>
            <w:bCs/>
            <w:rPrChange w:id="8" w:author="Author">
              <w:rPr/>
            </w:rPrChange>
          </w:rPr>
          <w:t>D.2.</w:t>
        </w:r>
      </w:ins>
      <w:r w:rsidRPr="004C4A5C">
        <w:rPr>
          <w:b/>
        </w:rPr>
        <w:t>f.</w:t>
      </w:r>
      <w:r w:rsidRPr="004C4A5C">
        <w:t xml:space="preserve"> for Flat-dollar deductibles as an alternative to percentage deductibles.</w:t>
      </w:r>
    </w:p>
    <w:p w14:paraId="49DB377D" w14:textId="77777777" w:rsidR="007C1AB9" w:rsidRPr="004C4A5C" w:rsidRDefault="007C1AB9" w:rsidP="000C04ED">
      <w:pPr>
        <w:pStyle w:val="outlinehd4"/>
      </w:pPr>
      <w:r w:rsidRPr="004C4A5C">
        <w:tab/>
        <w:t>e.</w:t>
      </w:r>
      <w:r w:rsidRPr="004C4A5C">
        <w:tab/>
        <w:t xml:space="preserve">Minimum Deductible </w:t>
      </w:r>
      <w:r w:rsidRPr="004C4A5C">
        <w:rPr>
          <w:rFonts w:cs="Arial"/>
        </w:rPr>
        <w:t>–</w:t>
      </w:r>
      <w:r w:rsidRPr="004C4A5C">
        <w:t xml:space="preserve"> Steel Frame Of Building In Course Of Construction</w:t>
      </w:r>
    </w:p>
    <w:p w14:paraId="79ECA287" w14:textId="77777777" w:rsidR="007C1AB9" w:rsidRPr="004C4A5C" w:rsidRDefault="007C1AB9" w:rsidP="000C04ED">
      <w:pPr>
        <w:pStyle w:val="blocktext5"/>
      </w:pPr>
      <w:r w:rsidRPr="004C4A5C">
        <w:t>Policies covering exclusively on the steel frame of a building, while in the course of construction, may have a minimum deductible of 2%. There is no rate modification factor for the 2% deductible.</w:t>
      </w:r>
    </w:p>
    <w:p w14:paraId="0624195F" w14:textId="77777777" w:rsidR="007C1AB9" w:rsidRPr="004C4A5C" w:rsidRDefault="007C1AB9" w:rsidP="000C04ED">
      <w:pPr>
        <w:pStyle w:val="outlinehd4"/>
      </w:pPr>
      <w:r w:rsidRPr="004C4A5C">
        <w:tab/>
        <w:t>f.</w:t>
      </w:r>
      <w:r w:rsidRPr="004C4A5C">
        <w:tab/>
        <w:t>Flat-dollar Deductibles</w:t>
      </w:r>
    </w:p>
    <w:p w14:paraId="31EDFC99" w14:textId="77777777" w:rsidR="007C1AB9" w:rsidRPr="004C4A5C" w:rsidRDefault="007C1AB9" w:rsidP="000C04ED">
      <w:pPr>
        <w:pStyle w:val="blocktext5"/>
        <w:rPr>
          <w:b/>
        </w:rPr>
      </w:pPr>
      <w:r w:rsidRPr="004C4A5C">
        <w:t xml:space="preserve">Flat-dollar deductibles are accommodated under Endorsement </w:t>
      </w:r>
      <w:r w:rsidRPr="004C4A5C">
        <w:rPr>
          <w:rStyle w:val="formlink"/>
        </w:rPr>
        <w:t>CP 10 28</w:t>
      </w:r>
      <w:r w:rsidRPr="004C4A5C">
        <w:rPr>
          <w:b/>
        </w:rPr>
        <w:t>.</w:t>
      </w:r>
    </w:p>
    <w:p w14:paraId="12003E12" w14:textId="77777777" w:rsidR="007C1AB9" w:rsidRPr="004C4A5C" w:rsidRDefault="007C1AB9" w:rsidP="000C04ED">
      <w:pPr>
        <w:pStyle w:val="outlinehd5"/>
      </w:pPr>
      <w:r w:rsidRPr="004C4A5C">
        <w:tab/>
        <w:t>(1)</w:t>
      </w:r>
      <w:r w:rsidRPr="004C4A5C">
        <w:tab/>
        <w:t>Deductible Amounts</w:t>
      </w:r>
    </w:p>
    <w:p w14:paraId="2E59ECC4" w14:textId="77777777" w:rsidR="007C1AB9" w:rsidRPr="004C4A5C" w:rsidRDefault="007C1AB9" w:rsidP="000C04ED">
      <w:pPr>
        <w:pStyle w:val="blocktext6"/>
      </w:pPr>
      <w:r w:rsidRPr="004C4A5C">
        <w:t>Deductibles range from $500 to $1,000,000. Rate modification factors at each deductible amount vary based on deductible tier, building class and total property value.</w:t>
      </w:r>
    </w:p>
    <w:p w14:paraId="4ADCE5D5" w14:textId="77777777" w:rsidR="007C1AB9" w:rsidRPr="004C4A5C" w:rsidRDefault="007C1AB9" w:rsidP="000C04ED">
      <w:pPr>
        <w:pStyle w:val="blocktext6"/>
      </w:pPr>
      <w:r w:rsidRPr="004C4A5C">
        <w:t xml:space="preserve">The total property value is the sum of the 100% values of the building and business personal property in that building and property in the open, if such coverages apply. (Exception: If the deductible is written to apply once per occurrence at a multi-building location, then the "total property value" look-up for </w:t>
      </w:r>
      <w:r w:rsidRPr="004C4A5C">
        <w:rPr>
          <w:b/>
        </w:rPr>
        <w:t>each</w:t>
      </w:r>
      <w:r w:rsidRPr="004C4A5C">
        <w:t xml:space="preserve"> building at that location is the </w:t>
      </w:r>
      <w:r w:rsidRPr="004C4A5C">
        <w:rPr>
          <w:b/>
        </w:rPr>
        <w:t>combined</w:t>
      </w:r>
      <w:r w:rsidRPr="004C4A5C">
        <w:t xml:space="preserve"> total property value of all buildings at the location, including business personal property in those buildings and property in the open if such coverages apply.</w:t>
      </w:r>
    </w:p>
    <w:p w14:paraId="1769F2ED" w14:textId="77777777" w:rsidR="007C1AB9" w:rsidRPr="004C4A5C" w:rsidRDefault="007C1AB9" w:rsidP="000C04ED">
      <w:pPr>
        <w:pStyle w:val="outlinehd5"/>
      </w:pPr>
      <w:r w:rsidRPr="004C4A5C">
        <w:tab/>
        <w:t>(2)</w:t>
      </w:r>
      <w:r w:rsidRPr="004C4A5C">
        <w:tab/>
        <w:t>Application Of Deductibles</w:t>
      </w:r>
    </w:p>
    <w:p w14:paraId="569919B4" w14:textId="77777777" w:rsidR="007C1AB9" w:rsidRPr="004C4A5C" w:rsidRDefault="007C1AB9" w:rsidP="000C04ED">
      <w:pPr>
        <w:pStyle w:val="blocktext6"/>
      </w:pPr>
      <w:r w:rsidRPr="004C4A5C">
        <w:t>In each occurrence of loss, the deductible applies separately to each location. If the Schedule shows a deductible for a particular building, then that building is considered to be a separate location with respect to application of the deductible.</w:t>
      </w:r>
    </w:p>
    <w:p w14:paraId="4A7C03A7" w14:textId="77777777" w:rsidR="007C1AB9" w:rsidRPr="004C4A5C" w:rsidRDefault="007C1AB9" w:rsidP="000C04ED">
      <w:pPr>
        <w:pStyle w:val="outlinehd5"/>
      </w:pPr>
      <w:r w:rsidRPr="004C4A5C">
        <w:tab/>
        <w:t>(3)</w:t>
      </w:r>
      <w:r w:rsidRPr="004C4A5C">
        <w:tab/>
        <w:t>Flat-dollar Deductible Tables</w:t>
      </w:r>
    </w:p>
    <w:p w14:paraId="12A501C6" w14:textId="77777777" w:rsidR="007C1AB9" w:rsidRPr="004C4A5C" w:rsidRDefault="007C1AB9" w:rsidP="000C04ED">
      <w:pPr>
        <w:pStyle w:val="blocktext6"/>
      </w:pPr>
      <w:r w:rsidRPr="004C4A5C">
        <w:t xml:space="preserve">Multiply the rates by the appropriate factor as shown in the tables for Rule </w:t>
      </w:r>
      <w:r w:rsidRPr="004C4A5C">
        <w:rPr>
          <w:b/>
        </w:rPr>
        <w:t>73.</w:t>
      </w:r>
      <w:r w:rsidRPr="004C4A5C">
        <w:t xml:space="preserve"> in the section of this manual titled Earthquake Flat Deductible Rating.</w:t>
      </w:r>
    </w:p>
    <w:p w14:paraId="5F41D62E" w14:textId="77777777" w:rsidR="007C1AB9" w:rsidRPr="004C4A5C" w:rsidRDefault="007C1AB9" w:rsidP="000C04ED">
      <w:pPr>
        <w:pStyle w:val="outlinehd3"/>
      </w:pPr>
      <w:r w:rsidRPr="004C4A5C">
        <w:tab/>
        <w:t>3.</w:t>
      </w:r>
      <w:r w:rsidRPr="004C4A5C">
        <w:tab/>
        <w:t>Territory</w:t>
      </w:r>
    </w:p>
    <w:p w14:paraId="7BC286F6" w14:textId="77777777" w:rsidR="007C1AB9" w:rsidRPr="004C4A5C" w:rsidRDefault="007C1AB9" w:rsidP="000C04ED">
      <w:pPr>
        <w:pStyle w:val="blocktext4"/>
      </w:pPr>
      <w:r w:rsidRPr="004C4A5C">
        <w:t xml:space="preserve">Refer to the territory section for ZIP </w:t>
      </w:r>
      <w:del w:id="9" w:author="Author">
        <w:r w:rsidRPr="004C4A5C" w:rsidDel="003D2690">
          <w:delText>c</w:delText>
        </w:r>
      </w:del>
      <w:ins w:id="10" w:author="Author">
        <w:r w:rsidRPr="004C4A5C">
          <w:t>C</w:t>
        </w:r>
      </w:ins>
      <w:r w:rsidRPr="004C4A5C">
        <w:t>ode-based territory definitions to determine the territory applicable to the location of the property being insured.</w:t>
      </w:r>
    </w:p>
    <w:p w14:paraId="70C08CEA" w14:textId="77777777" w:rsidR="007C1AB9" w:rsidRPr="004C4A5C" w:rsidRDefault="007C1AB9" w:rsidP="000C04ED">
      <w:pPr>
        <w:pStyle w:val="outlinehd3"/>
      </w:pPr>
      <w:r w:rsidRPr="004C4A5C">
        <w:tab/>
        <w:t>4.</w:t>
      </w:r>
      <w:r w:rsidRPr="004C4A5C">
        <w:tab/>
        <w:t>Building Classification</w:t>
      </w:r>
    </w:p>
    <w:p w14:paraId="25EAEF76" w14:textId="77777777" w:rsidR="007C1AB9" w:rsidRPr="004C4A5C" w:rsidRDefault="007C1AB9" w:rsidP="000C04ED">
      <w:pPr>
        <w:pStyle w:val="blocktext4"/>
      </w:pPr>
      <w:r w:rsidRPr="004C4A5C">
        <w:t>In cases of mixed construction where two or more types of construction each represent 10% or more of the total area of the building, apply the class which produces the highest rate.</w:t>
      </w:r>
    </w:p>
    <w:p w14:paraId="40F13E7C" w14:textId="77777777" w:rsidR="007C1AB9" w:rsidRPr="004C4A5C" w:rsidRDefault="007C1AB9" w:rsidP="000C04ED">
      <w:pPr>
        <w:pStyle w:val="blocktext4"/>
      </w:pPr>
      <w:r w:rsidRPr="004C4A5C">
        <w:t>Building classifications are as follows (any building which fully qualifies under more than one definition should be placed in the lower numbered classification):</w:t>
      </w:r>
    </w:p>
    <w:p w14:paraId="01F6F2DE" w14:textId="77777777" w:rsidR="007C1AB9" w:rsidRPr="004C4A5C" w:rsidRDefault="007C1AB9" w:rsidP="000C04ED">
      <w:pPr>
        <w:pStyle w:val="outlinehd4"/>
      </w:pPr>
      <w:r w:rsidRPr="004C4A5C">
        <w:lastRenderedPageBreak/>
        <w:tab/>
        <w:t>a.</w:t>
      </w:r>
      <w:r w:rsidRPr="004C4A5C">
        <w:tab/>
        <w:t>Completed Buildings</w:t>
      </w:r>
    </w:p>
    <w:p w14:paraId="79CFDDA0" w14:textId="77777777" w:rsidR="007C1AB9" w:rsidRPr="004C4A5C" w:rsidRDefault="007C1AB9" w:rsidP="000C04ED">
      <w:pPr>
        <w:pStyle w:val="outlinehd5"/>
      </w:pPr>
      <w:r w:rsidRPr="004C4A5C">
        <w:tab/>
        <w:t>(1)</w:t>
      </w:r>
      <w:r w:rsidRPr="004C4A5C">
        <w:tab/>
        <w:t>Wood Frame Buildings</w:t>
      </w:r>
    </w:p>
    <w:p w14:paraId="36763F0F" w14:textId="77777777" w:rsidR="007C1AB9" w:rsidRPr="004C4A5C" w:rsidRDefault="007C1AB9" w:rsidP="000C04ED">
      <w:pPr>
        <w:pStyle w:val="blockhd6"/>
      </w:pPr>
      <w:r w:rsidRPr="004C4A5C">
        <w:t>Class A1</w:t>
      </w:r>
    </w:p>
    <w:p w14:paraId="715DFDA2" w14:textId="77777777" w:rsidR="007C1AB9" w:rsidRPr="004C4A5C" w:rsidRDefault="007C1AB9" w:rsidP="000C04ED">
      <w:pPr>
        <w:pStyle w:val="blocktext6"/>
      </w:pPr>
      <w:r w:rsidRPr="004C4A5C">
        <w:t>Wood frame or frame stucco buildings. Excluded are structures which are classified for fire as wood frame but have concrete-supported floors and/or some walls of unit masonry or concrete.</w:t>
      </w:r>
    </w:p>
    <w:p w14:paraId="3DD8323A" w14:textId="77777777" w:rsidR="007C1AB9" w:rsidRPr="004C4A5C" w:rsidRDefault="007C1AB9" w:rsidP="000C04ED">
      <w:pPr>
        <w:pStyle w:val="outlinehd5"/>
      </w:pPr>
      <w:r w:rsidRPr="004C4A5C">
        <w:tab/>
        <w:t>(2)</w:t>
      </w:r>
      <w:r w:rsidRPr="004C4A5C">
        <w:tab/>
        <w:t>All-metal Buildings</w:t>
      </w:r>
    </w:p>
    <w:p w14:paraId="2A0BB702" w14:textId="77777777" w:rsidR="007C1AB9" w:rsidRPr="004C4A5C" w:rsidRDefault="007C1AB9" w:rsidP="000C04ED">
      <w:pPr>
        <w:pStyle w:val="blockhd6"/>
      </w:pPr>
      <w:r w:rsidRPr="004C4A5C">
        <w:t>Class B1</w:t>
      </w:r>
    </w:p>
    <w:p w14:paraId="1E789CB3" w14:textId="77777777" w:rsidR="007C1AB9" w:rsidRPr="004C4A5C" w:rsidRDefault="007C1AB9" w:rsidP="000C04ED">
      <w:pPr>
        <w:pStyle w:val="blocktext6"/>
      </w:pPr>
      <w:r w:rsidRPr="004C4A5C">
        <w:t>All-metal buildings. Wood or cement-asbestos are acceptable alternatives to metal roofing and/or siding.</w:t>
      </w:r>
    </w:p>
    <w:p w14:paraId="142031C2" w14:textId="77777777" w:rsidR="007C1AB9" w:rsidRPr="004C4A5C" w:rsidRDefault="007C1AB9" w:rsidP="000C04ED">
      <w:pPr>
        <w:pStyle w:val="outlinehd5"/>
      </w:pPr>
      <w:r w:rsidRPr="004C4A5C">
        <w:tab/>
        <w:t>(3)</w:t>
      </w:r>
      <w:r w:rsidRPr="004C4A5C">
        <w:tab/>
        <w:t>Steel Frame Buildings</w:t>
      </w:r>
    </w:p>
    <w:p w14:paraId="322191D4" w14:textId="77777777" w:rsidR="007C1AB9" w:rsidRPr="004C4A5C" w:rsidRDefault="007C1AB9" w:rsidP="000C04ED">
      <w:pPr>
        <w:pStyle w:val="blockhd6"/>
      </w:pPr>
      <w:r w:rsidRPr="004C4A5C">
        <w:t>Class C1</w:t>
      </w:r>
    </w:p>
    <w:p w14:paraId="4CE44E40" w14:textId="77777777" w:rsidR="007C1AB9" w:rsidRPr="004C4A5C" w:rsidRDefault="007C1AB9" w:rsidP="000C04ED">
      <w:pPr>
        <w:pStyle w:val="blocktext6"/>
      </w:pPr>
      <w:r w:rsidRPr="004C4A5C">
        <w:t>Buildings with a complete steel frame carrying all loads with floors and roofs of any material and with walls of any non-loadbearing materials.</w:t>
      </w:r>
    </w:p>
    <w:p w14:paraId="6D9ADE17" w14:textId="77777777" w:rsidR="007C1AB9" w:rsidRPr="004C4A5C" w:rsidRDefault="007C1AB9" w:rsidP="000C04ED">
      <w:pPr>
        <w:pStyle w:val="outlinehd5"/>
      </w:pPr>
      <w:r w:rsidRPr="004C4A5C">
        <w:tab/>
        <w:t>(4)</w:t>
      </w:r>
      <w:r w:rsidRPr="004C4A5C">
        <w:tab/>
        <w:t>Reinforced Concrete Buildings, Combined Reinforced Concrete And Structural Steel Buildings</w:t>
      </w:r>
    </w:p>
    <w:p w14:paraId="69470752" w14:textId="77777777" w:rsidR="007C1AB9" w:rsidRPr="004C4A5C" w:rsidRDefault="007C1AB9" w:rsidP="000C04ED">
      <w:pPr>
        <w:pStyle w:val="outlinehd6"/>
      </w:pPr>
      <w:r w:rsidRPr="004C4A5C">
        <w:tab/>
        <w:t>(a)</w:t>
      </w:r>
      <w:r w:rsidRPr="004C4A5C">
        <w:tab/>
        <w:t>Class D1</w:t>
      </w:r>
    </w:p>
    <w:p w14:paraId="64F0D570" w14:textId="77777777" w:rsidR="007C1AB9" w:rsidRPr="004C4A5C" w:rsidRDefault="007C1AB9" w:rsidP="000C04ED">
      <w:pPr>
        <w:pStyle w:val="blocktext7"/>
      </w:pPr>
      <w:r w:rsidRPr="004C4A5C">
        <w:t>Buildings having all vertical loads carried by a structural system consisting of one or a combination of the following:</w:t>
      </w:r>
    </w:p>
    <w:p w14:paraId="0639252C" w14:textId="77777777" w:rsidR="007C1AB9" w:rsidRPr="004C4A5C" w:rsidRDefault="007C1AB9" w:rsidP="000C04ED">
      <w:pPr>
        <w:pStyle w:val="outlinetxt7"/>
      </w:pPr>
      <w:r w:rsidRPr="004C4A5C">
        <w:tab/>
      </w:r>
      <w:r w:rsidRPr="004C4A5C">
        <w:rPr>
          <w:b/>
          <w:bCs/>
        </w:rPr>
        <w:t>(i)</w:t>
      </w:r>
      <w:r w:rsidRPr="004C4A5C">
        <w:tab/>
        <w:t>Poured-in-place reinforced concrete frame.</w:t>
      </w:r>
    </w:p>
    <w:p w14:paraId="5953C9A5" w14:textId="77777777" w:rsidR="007C1AB9" w:rsidRPr="004C4A5C" w:rsidRDefault="007C1AB9" w:rsidP="000C04ED">
      <w:pPr>
        <w:pStyle w:val="outlinetxt7"/>
      </w:pPr>
      <w:r w:rsidRPr="004C4A5C">
        <w:tab/>
      </w:r>
      <w:r w:rsidRPr="004C4A5C">
        <w:rPr>
          <w:b/>
          <w:bCs/>
        </w:rPr>
        <w:t>(ii)</w:t>
      </w:r>
      <w:r w:rsidRPr="004C4A5C">
        <w:tab/>
        <w:t>Poured-in-place reinforced concrete interior and/or exterior walls.</w:t>
      </w:r>
    </w:p>
    <w:p w14:paraId="7E6BB5C6" w14:textId="77777777" w:rsidR="007C1AB9" w:rsidRPr="004C4A5C" w:rsidRDefault="007C1AB9" w:rsidP="000C04ED">
      <w:pPr>
        <w:pStyle w:val="outlinetxt7"/>
      </w:pPr>
      <w:r w:rsidRPr="004C4A5C">
        <w:tab/>
      </w:r>
      <w:r w:rsidRPr="004C4A5C">
        <w:rPr>
          <w:b/>
          <w:bCs/>
        </w:rPr>
        <w:t>(iii)</w:t>
      </w:r>
      <w:r w:rsidRPr="004C4A5C">
        <w:tab/>
        <w:t xml:space="preserve">Partial structural steel frame with </w:t>
      </w:r>
      <w:ins w:id="11" w:author="Author">
        <w:r w:rsidRPr="004C4A5C">
          <w:t xml:space="preserve">Paragraph </w:t>
        </w:r>
      </w:ins>
      <w:r w:rsidRPr="004C4A5C">
        <w:rPr>
          <w:b/>
          <w:bCs/>
        </w:rPr>
        <w:t>D.4.a.(4)(a)(i)</w:t>
      </w:r>
      <w:r w:rsidRPr="004C4A5C">
        <w:t xml:space="preserve"> and/or </w:t>
      </w:r>
      <w:r w:rsidRPr="004C4A5C">
        <w:rPr>
          <w:b/>
          <w:bCs/>
        </w:rPr>
        <w:t>D.4.a.(4)(a)(ii).</w:t>
      </w:r>
    </w:p>
    <w:p w14:paraId="05297048" w14:textId="77777777" w:rsidR="007C1AB9" w:rsidRPr="004C4A5C" w:rsidRDefault="007C1AB9" w:rsidP="000C04ED">
      <w:pPr>
        <w:pStyle w:val="blocktext7"/>
      </w:pPr>
      <w:r w:rsidRPr="004C4A5C">
        <w:t>Floors and roofs must be of poured-in-place reinforced concrete, except that materials other than reinforced concrete may be used for the roofs of buildings over three stories.</w:t>
      </w:r>
    </w:p>
    <w:p w14:paraId="21C53DAB" w14:textId="77777777" w:rsidR="007C1AB9" w:rsidRPr="004C4A5C" w:rsidRDefault="007C1AB9" w:rsidP="000C04ED">
      <w:pPr>
        <w:pStyle w:val="outlinehd6"/>
      </w:pPr>
      <w:r w:rsidRPr="004C4A5C">
        <w:tab/>
        <w:t>(b)</w:t>
      </w:r>
      <w:r w:rsidRPr="004C4A5C">
        <w:tab/>
        <w:t>Class D2</w:t>
      </w:r>
    </w:p>
    <w:p w14:paraId="26DB95D9" w14:textId="77777777" w:rsidR="007C1AB9" w:rsidRPr="004C4A5C" w:rsidRDefault="007C1AB9" w:rsidP="000C04ED">
      <w:pPr>
        <w:pStyle w:val="blocktext7"/>
      </w:pPr>
      <w:r w:rsidRPr="004C4A5C">
        <w:t>Buildings having a reinforced concrete frame or combined reinforced concrete and structural steel frame. Floors and roofs may be of any material, while exterior and interior walls may be of any non-loadbearing materials.</w:t>
      </w:r>
    </w:p>
    <w:p w14:paraId="51107FAC" w14:textId="77777777" w:rsidR="007C1AB9" w:rsidRPr="004C4A5C" w:rsidRDefault="007C1AB9" w:rsidP="000C04ED">
      <w:pPr>
        <w:pStyle w:val="outlinehd6"/>
      </w:pPr>
      <w:r w:rsidRPr="004C4A5C">
        <w:tab/>
        <w:t>(c)</w:t>
      </w:r>
      <w:r w:rsidRPr="004C4A5C">
        <w:tab/>
        <w:t>Class D3</w:t>
      </w:r>
    </w:p>
    <w:p w14:paraId="00FEBB29" w14:textId="77777777" w:rsidR="007C1AB9" w:rsidRPr="004C4A5C" w:rsidRDefault="007C1AB9" w:rsidP="000C04ED">
      <w:pPr>
        <w:pStyle w:val="blocktext7"/>
      </w:pPr>
      <w:r w:rsidRPr="004C4A5C">
        <w:t>Buildings having:</w:t>
      </w:r>
    </w:p>
    <w:p w14:paraId="475EC6EC" w14:textId="77777777" w:rsidR="007C1AB9" w:rsidRPr="004C4A5C" w:rsidRDefault="007C1AB9" w:rsidP="000C04ED">
      <w:pPr>
        <w:pStyle w:val="outlinetxt7"/>
      </w:pPr>
      <w:r w:rsidRPr="004C4A5C">
        <w:tab/>
      </w:r>
      <w:r w:rsidRPr="004C4A5C">
        <w:rPr>
          <w:b/>
          <w:bCs/>
        </w:rPr>
        <w:t>(i)</w:t>
      </w:r>
      <w:r w:rsidRPr="004C4A5C">
        <w:tab/>
        <w:t>Partial or complete load-carrying system of precast concrete; and/or</w:t>
      </w:r>
    </w:p>
    <w:p w14:paraId="1A0219F7" w14:textId="77777777" w:rsidR="007C1AB9" w:rsidRPr="004C4A5C" w:rsidRDefault="007C1AB9" w:rsidP="000C04ED">
      <w:pPr>
        <w:pStyle w:val="outlinetxt7"/>
      </w:pPr>
      <w:r w:rsidRPr="004C4A5C">
        <w:tab/>
      </w:r>
      <w:r w:rsidRPr="004C4A5C">
        <w:rPr>
          <w:b/>
          <w:bCs/>
        </w:rPr>
        <w:t>(ii)</w:t>
      </w:r>
      <w:r w:rsidRPr="004C4A5C">
        <w:tab/>
        <w:t>Reinforced concrete lift-slab floors and/or roofs; and</w:t>
      </w:r>
    </w:p>
    <w:p w14:paraId="5DAAC995" w14:textId="77777777" w:rsidR="007C1AB9" w:rsidRPr="004C4A5C" w:rsidRDefault="007C1AB9" w:rsidP="000C04ED">
      <w:pPr>
        <w:pStyle w:val="outlinetxt7"/>
      </w:pPr>
      <w:r w:rsidRPr="004C4A5C">
        <w:tab/>
      </w:r>
      <w:r w:rsidRPr="004C4A5C">
        <w:rPr>
          <w:b/>
          <w:bCs/>
        </w:rPr>
        <w:t>(iii)</w:t>
      </w:r>
      <w:r w:rsidRPr="004C4A5C">
        <w:tab/>
        <w:t>Otherwise qualifying for Classes D1 and D2.</w:t>
      </w:r>
    </w:p>
    <w:p w14:paraId="7C044373" w14:textId="77777777" w:rsidR="007C1AB9" w:rsidRPr="004C4A5C" w:rsidRDefault="007C1AB9" w:rsidP="000C04ED">
      <w:pPr>
        <w:pStyle w:val="outlinehd5"/>
      </w:pPr>
      <w:r w:rsidRPr="004C4A5C">
        <w:tab/>
        <w:t>(5)</w:t>
      </w:r>
      <w:r w:rsidRPr="004C4A5C">
        <w:tab/>
        <w:t>Concrete Brick Or Block Buildings</w:t>
      </w:r>
    </w:p>
    <w:p w14:paraId="4A9C8950" w14:textId="77777777" w:rsidR="007C1AB9" w:rsidRPr="004C4A5C" w:rsidRDefault="007C1AB9" w:rsidP="000C04ED">
      <w:pPr>
        <w:pStyle w:val="outlinehd6"/>
      </w:pPr>
      <w:r w:rsidRPr="004C4A5C">
        <w:tab/>
        <w:t>(a)</w:t>
      </w:r>
      <w:r w:rsidRPr="004C4A5C">
        <w:tab/>
        <w:t>Class E1</w:t>
      </w:r>
    </w:p>
    <w:p w14:paraId="724CA9B0" w14:textId="77777777" w:rsidR="007C1AB9" w:rsidRPr="004C4A5C" w:rsidRDefault="007C1AB9" w:rsidP="000C04ED">
      <w:pPr>
        <w:pStyle w:val="blocktext7"/>
      </w:pPr>
      <w:r w:rsidRPr="004C4A5C">
        <w:t>Buildings having load-bearing exterior walls of:</w:t>
      </w:r>
    </w:p>
    <w:p w14:paraId="0216A6CC" w14:textId="77777777" w:rsidR="007C1AB9" w:rsidRPr="004C4A5C" w:rsidRDefault="007C1AB9" w:rsidP="000C04ED">
      <w:pPr>
        <w:pStyle w:val="outlinetxt7"/>
      </w:pPr>
      <w:r w:rsidRPr="004C4A5C">
        <w:tab/>
      </w:r>
      <w:r w:rsidRPr="004C4A5C">
        <w:rPr>
          <w:b/>
          <w:bCs/>
        </w:rPr>
        <w:t>(i)</w:t>
      </w:r>
      <w:r w:rsidRPr="004C4A5C">
        <w:tab/>
        <w:t>Reinforced brick masonry; and/or</w:t>
      </w:r>
    </w:p>
    <w:p w14:paraId="3A099C47" w14:textId="77777777" w:rsidR="007C1AB9" w:rsidRPr="004C4A5C" w:rsidRDefault="007C1AB9" w:rsidP="000C04ED">
      <w:pPr>
        <w:pStyle w:val="outlinetxt7"/>
      </w:pPr>
      <w:r w:rsidRPr="004C4A5C">
        <w:tab/>
      </w:r>
      <w:r w:rsidRPr="004C4A5C">
        <w:rPr>
          <w:b/>
          <w:bCs/>
        </w:rPr>
        <w:t>(ii)</w:t>
      </w:r>
      <w:r w:rsidRPr="004C4A5C">
        <w:tab/>
        <w:t>Reinforced hollow concrete block masonry.</w:t>
      </w:r>
    </w:p>
    <w:p w14:paraId="1DBD242B" w14:textId="77777777" w:rsidR="007C1AB9" w:rsidRPr="004C4A5C" w:rsidRDefault="007C1AB9" w:rsidP="000C04ED">
      <w:pPr>
        <w:pStyle w:val="outlinehd6"/>
      </w:pPr>
      <w:r w:rsidRPr="004C4A5C">
        <w:tab/>
        <w:t>(b)</w:t>
      </w:r>
      <w:r w:rsidRPr="004C4A5C">
        <w:tab/>
        <w:t>Class E2</w:t>
      </w:r>
    </w:p>
    <w:p w14:paraId="7C213DF7" w14:textId="77777777" w:rsidR="007C1AB9" w:rsidRPr="004C4A5C" w:rsidRDefault="007C1AB9" w:rsidP="000C04ED">
      <w:pPr>
        <w:pStyle w:val="blocktext7"/>
      </w:pPr>
      <w:r w:rsidRPr="004C4A5C">
        <w:t>Buildings having load-bearing walls of unreinforced brick, other unreinforced solid unit masonry, hollow tile or other hollow unit masonry construction and cavity wall construction. Floors and roofs may be of any material.</w:t>
      </w:r>
    </w:p>
    <w:p w14:paraId="22531D5A" w14:textId="77777777" w:rsidR="007C1AB9" w:rsidRPr="004C4A5C" w:rsidRDefault="007C1AB9" w:rsidP="000C04ED">
      <w:pPr>
        <w:pStyle w:val="outlinehd6"/>
      </w:pPr>
      <w:r w:rsidRPr="004C4A5C">
        <w:tab/>
        <w:t>(c)</w:t>
      </w:r>
      <w:r w:rsidRPr="004C4A5C">
        <w:tab/>
        <w:t>Class E3</w:t>
      </w:r>
    </w:p>
    <w:p w14:paraId="6999B978" w14:textId="77777777" w:rsidR="007C1AB9" w:rsidRPr="004C4A5C" w:rsidRDefault="007C1AB9" w:rsidP="000C04ED">
      <w:pPr>
        <w:pStyle w:val="blocktext7"/>
      </w:pPr>
      <w:r w:rsidRPr="004C4A5C">
        <w:t>Buildings having load-bearing walls of adobe. Also included are buildings not covered by any other class.</w:t>
      </w:r>
    </w:p>
    <w:p w14:paraId="496D1E23" w14:textId="77777777" w:rsidR="007C1AB9" w:rsidRPr="004C4A5C" w:rsidRDefault="007C1AB9" w:rsidP="000C04ED">
      <w:pPr>
        <w:pStyle w:val="outlinehd4"/>
      </w:pPr>
      <w:r w:rsidRPr="004C4A5C">
        <w:tab/>
        <w:t>b.</w:t>
      </w:r>
      <w:r w:rsidRPr="004C4A5C">
        <w:tab/>
        <w:t>Buildings In Course Of Construction</w:t>
      </w:r>
    </w:p>
    <w:p w14:paraId="7A2A13FB" w14:textId="77777777" w:rsidR="007C1AB9" w:rsidRPr="004C4A5C" w:rsidRDefault="007C1AB9" w:rsidP="000C04ED">
      <w:pPr>
        <w:pStyle w:val="blocktext5"/>
      </w:pPr>
      <w:r w:rsidRPr="004C4A5C">
        <w:t xml:space="preserve">All buildings and special structures </w:t>
      </w:r>
      <w:ins w:id="12" w:author="Author">
        <w:r w:rsidRPr="004C4A5C">
          <w:t>in</w:t>
        </w:r>
      </w:ins>
      <w:del w:id="13" w:author="Author">
        <w:r w:rsidRPr="004C4A5C" w:rsidDel="00EE68A0">
          <w:delText>during</w:delText>
        </w:r>
      </w:del>
      <w:r w:rsidRPr="004C4A5C">
        <w:t xml:space="preserve"> the course of construction must be placed in accordance with the appropriate completed building or structure class</w:t>
      </w:r>
      <w:ins w:id="14" w:author="Author">
        <w:r w:rsidRPr="004C4A5C">
          <w:t>.</w:t>
        </w:r>
      </w:ins>
      <w:r w:rsidRPr="004C4A5C">
        <w:t xml:space="preserve"> </w:t>
      </w:r>
      <w:del w:id="15" w:author="Author">
        <w:r w:rsidRPr="004C4A5C" w:rsidDel="00236E8B">
          <w:delText xml:space="preserve">and the rates multiplied </w:delText>
        </w:r>
      </w:del>
      <w:ins w:id="16" w:author="Author">
        <w:r w:rsidRPr="004C4A5C">
          <w:t xml:space="preserve">With an exception for Earthquake construction classes C1, D1 and E1, to which the following factor is not applicable, multiply the applicable Earthquake Coverage building or special structure rates </w:t>
        </w:r>
      </w:ins>
      <w:r w:rsidRPr="004C4A5C">
        <w:t xml:space="preserve">by </w:t>
      </w:r>
      <w:ins w:id="17" w:author="Author">
        <w:r w:rsidRPr="004C4A5C">
          <w:t xml:space="preserve">a factor of </w:t>
        </w:r>
      </w:ins>
      <w:r w:rsidRPr="004C4A5C">
        <w:t>0.495</w:t>
      </w:r>
      <w:del w:id="18" w:author="Author">
        <w:r w:rsidRPr="004C4A5C" w:rsidDel="000A65BF">
          <w:delText>, except</w:delText>
        </w:r>
      </w:del>
      <w:ins w:id="19" w:author="Author">
        <w:del w:id="20" w:author="Author">
          <w:r w:rsidRPr="004C4A5C" w:rsidDel="000A65BF">
            <w:delText xml:space="preserve"> for</w:delText>
          </w:r>
        </w:del>
      </w:ins>
      <w:del w:id="21" w:author="Author">
        <w:r w:rsidRPr="004C4A5C" w:rsidDel="000A65BF">
          <w:delText xml:space="preserve"> Classes C1, D1 and E1</w:delText>
        </w:r>
        <w:r w:rsidRPr="004C4A5C" w:rsidDel="00236E8B">
          <w:delText>, which are not applicable</w:delText>
        </w:r>
      </w:del>
      <w:r w:rsidRPr="004C4A5C">
        <w:t>.</w:t>
      </w:r>
    </w:p>
    <w:p w14:paraId="3B4D7A45" w14:textId="77777777" w:rsidR="007C1AB9" w:rsidRPr="004C4A5C" w:rsidRDefault="007C1AB9" w:rsidP="000C04ED">
      <w:pPr>
        <w:pStyle w:val="outlinehd4"/>
      </w:pPr>
      <w:r w:rsidRPr="004C4A5C">
        <w:lastRenderedPageBreak/>
        <w:tab/>
        <w:t>c.</w:t>
      </w:r>
      <w:r w:rsidRPr="004C4A5C">
        <w:tab/>
        <w:t>Class 7 – Special Structures</w:t>
      </w:r>
    </w:p>
    <w:p w14:paraId="26588D19" w14:textId="77777777" w:rsidR="007C1AB9" w:rsidRPr="004C4A5C" w:rsidRDefault="007C1AB9" w:rsidP="000C04ED">
      <w:pPr>
        <w:pStyle w:val="blocktext5"/>
      </w:pPr>
      <w:r w:rsidRPr="004C4A5C">
        <w:t xml:space="preserve">Table </w:t>
      </w:r>
      <w:r w:rsidRPr="004C4A5C">
        <w:rPr>
          <w:b/>
        </w:rPr>
        <w:t>73.D.4.c.</w:t>
      </w:r>
      <w:r w:rsidRPr="004C4A5C">
        <w:t xml:space="preserve"> provides a list of special structures not qualifying as buildings. If a particular special structure is not listed in Table </w:t>
      </w:r>
      <w:r w:rsidRPr="004C4A5C">
        <w:rPr>
          <w:b/>
        </w:rPr>
        <w:t>73.D.4.c.</w:t>
      </w:r>
      <w:r w:rsidRPr="004C4A5C">
        <w:t xml:space="preserve"> under Items </w:t>
      </w:r>
      <w:r w:rsidRPr="004C4A5C">
        <w:rPr>
          <w:b/>
        </w:rPr>
        <w:t>1.</w:t>
      </w:r>
      <w:r w:rsidRPr="004C4A5C">
        <w:t xml:space="preserve"> through </w:t>
      </w:r>
      <w:r w:rsidRPr="004C4A5C">
        <w:rPr>
          <w:b/>
        </w:rPr>
        <w:t>11.,</w:t>
      </w:r>
      <w:r w:rsidRPr="004C4A5C">
        <w:t xml:space="preserve"> refer to Item </w:t>
      </w:r>
      <w:r w:rsidRPr="004C4A5C">
        <w:rPr>
          <w:b/>
        </w:rPr>
        <w:t>12.</w:t>
      </w:r>
      <w:r w:rsidRPr="004C4A5C">
        <w:t xml:space="preserve"> Special structures will receive the rate for the equivalent building classification.</w:t>
      </w:r>
    </w:p>
    <w:p w14:paraId="2E29BE5E" w14:textId="77777777" w:rsidR="007C1AB9" w:rsidRPr="004C4A5C" w:rsidRDefault="007C1AB9" w:rsidP="000C04ED">
      <w:pPr>
        <w:pStyle w:val="blocktext5"/>
      </w:pPr>
      <w:r w:rsidRPr="004C4A5C">
        <w:t xml:space="preserve">All rates for property damage coverage are based on a base deductible percentage. Refer to Paragraph </w:t>
      </w:r>
      <w:r w:rsidRPr="004C4A5C">
        <w:rPr>
          <w:b/>
        </w:rPr>
        <w:t>D.2.d.</w:t>
      </w:r>
      <w:r w:rsidRPr="004C4A5C">
        <w:t xml:space="preserve"> for information on higher percentage deductibles. Refer to Paragraph </w:t>
      </w:r>
      <w:r w:rsidRPr="004C4A5C">
        <w:rPr>
          <w:b/>
        </w:rPr>
        <w:t>D.2.f.</w:t>
      </w:r>
      <w:r w:rsidRPr="004C4A5C">
        <w:t xml:space="preserve"> for information on flat-dollar deductibles. (Percentage deductibles are accommodated under Endorsement </w:t>
      </w:r>
      <w:r w:rsidRPr="004C4A5C">
        <w:rPr>
          <w:rStyle w:val="formlink"/>
        </w:rPr>
        <w:t>CP 10 40</w:t>
      </w:r>
      <w:r w:rsidRPr="004C4A5C">
        <w:rPr>
          <w:b/>
        </w:rPr>
        <w:t>.</w:t>
      </w:r>
      <w:r w:rsidRPr="004C4A5C">
        <w:t xml:space="preserve"> Flat-dollar deductibles are accommodated under Endorsement </w:t>
      </w:r>
      <w:r w:rsidRPr="004C4A5C">
        <w:rPr>
          <w:rStyle w:val="formlink"/>
        </w:rPr>
        <w:t>CP 10 28</w:t>
      </w:r>
      <w:r w:rsidRPr="004C4A5C">
        <w:rPr>
          <w:b/>
        </w:rPr>
        <w:t>.</w:t>
      </w:r>
      <w:r w:rsidRPr="004C4A5C">
        <w:t>)</w:t>
      </w:r>
    </w:p>
    <w:p w14:paraId="1278DE2A" w14:textId="77777777" w:rsidR="007C1AB9" w:rsidRPr="004C4A5C" w:rsidRDefault="007C1AB9" w:rsidP="000C04E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10"/>
        <w:gridCol w:w="900"/>
        <w:gridCol w:w="780"/>
        <w:gridCol w:w="420"/>
        <w:gridCol w:w="300"/>
        <w:gridCol w:w="320"/>
        <w:gridCol w:w="340"/>
        <w:gridCol w:w="5410"/>
      </w:tblGrid>
      <w:tr w:rsidR="007C1AB9" w:rsidRPr="004C4A5C" w14:paraId="4BEC5FFB" w14:textId="77777777" w:rsidTr="005A0184">
        <w:trPr>
          <w:cantSplit/>
          <w:trHeight w:val="190"/>
        </w:trPr>
        <w:tc>
          <w:tcPr>
            <w:tcW w:w="200" w:type="dxa"/>
            <w:tcBorders>
              <w:top w:val="nil"/>
              <w:left w:val="nil"/>
              <w:bottom w:val="nil"/>
              <w:right w:val="nil"/>
            </w:tcBorders>
          </w:tcPr>
          <w:p w14:paraId="41EFA5B5" w14:textId="77777777" w:rsidR="007C1AB9" w:rsidRPr="004C4A5C" w:rsidRDefault="007C1AB9" w:rsidP="000C04ED">
            <w:pPr>
              <w:pStyle w:val="tablehead"/>
            </w:pPr>
          </w:p>
        </w:tc>
        <w:tc>
          <w:tcPr>
            <w:tcW w:w="1610" w:type="dxa"/>
            <w:tcBorders>
              <w:top w:val="single" w:sz="6" w:space="0" w:color="auto"/>
              <w:left w:val="single" w:sz="6" w:space="0" w:color="auto"/>
              <w:bottom w:val="single" w:sz="6" w:space="0" w:color="auto"/>
              <w:right w:val="single" w:sz="6" w:space="0" w:color="auto"/>
            </w:tcBorders>
          </w:tcPr>
          <w:p w14:paraId="21B4F04A" w14:textId="77777777" w:rsidR="007C1AB9" w:rsidRPr="004C4A5C" w:rsidRDefault="007C1AB9" w:rsidP="000C04ED">
            <w:pPr>
              <w:pStyle w:val="tablehead"/>
            </w:pPr>
            <w:r w:rsidRPr="004C4A5C">
              <w:t>Equivalent</w:t>
            </w:r>
            <w:r w:rsidRPr="004C4A5C">
              <w:br/>
              <w:t>Building Class</w:t>
            </w:r>
          </w:p>
        </w:tc>
        <w:tc>
          <w:tcPr>
            <w:tcW w:w="1680" w:type="dxa"/>
            <w:gridSpan w:val="2"/>
            <w:tcBorders>
              <w:top w:val="single" w:sz="6" w:space="0" w:color="auto"/>
              <w:left w:val="single" w:sz="6" w:space="0" w:color="auto"/>
              <w:bottom w:val="single" w:sz="6" w:space="0" w:color="auto"/>
              <w:right w:val="single" w:sz="6" w:space="0" w:color="auto"/>
            </w:tcBorders>
          </w:tcPr>
          <w:p w14:paraId="35731110" w14:textId="77777777" w:rsidR="007C1AB9" w:rsidRPr="004C4A5C" w:rsidRDefault="007C1AB9" w:rsidP="000C04ED">
            <w:pPr>
              <w:pStyle w:val="tablehead"/>
            </w:pPr>
            <w:r w:rsidRPr="004C4A5C">
              <w:t>Base</w:t>
            </w:r>
            <w:r w:rsidRPr="004C4A5C">
              <w:br/>
              <w:t>Deductible</w:t>
            </w:r>
          </w:p>
        </w:tc>
        <w:tc>
          <w:tcPr>
            <w:tcW w:w="6790" w:type="dxa"/>
            <w:gridSpan w:val="5"/>
            <w:tcBorders>
              <w:top w:val="single" w:sz="6" w:space="0" w:color="auto"/>
              <w:left w:val="single" w:sz="6" w:space="0" w:color="auto"/>
              <w:bottom w:val="single" w:sz="6" w:space="0" w:color="auto"/>
              <w:right w:val="single" w:sz="6" w:space="0" w:color="auto"/>
            </w:tcBorders>
          </w:tcPr>
          <w:p w14:paraId="1A6265E9" w14:textId="77777777" w:rsidR="007C1AB9" w:rsidRPr="004C4A5C" w:rsidRDefault="007C1AB9" w:rsidP="000C04ED">
            <w:pPr>
              <w:pStyle w:val="tablehead"/>
              <w:rPr>
                <w:b w:val="0"/>
              </w:rPr>
            </w:pPr>
            <w:r w:rsidRPr="004C4A5C">
              <w:br/>
              <w:t>Structure</w:t>
            </w:r>
          </w:p>
        </w:tc>
      </w:tr>
      <w:tr w:rsidR="007C1AB9" w:rsidRPr="004C4A5C" w14:paraId="05786F19" w14:textId="77777777" w:rsidTr="005A0184">
        <w:trPr>
          <w:cantSplit/>
          <w:trHeight w:val="190"/>
        </w:trPr>
        <w:tc>
          <w:tcPr>
            <w:tcW w:w="200" w:type="dxa"/>
            <w:tcBorders>
              <w:top w:val="nil"/>
              <w:left w:val="nil"/>
              <w:bottom w:val="nil"/>
              <w:right w:val="single" w:sz="6" w:space="0" w:color="auto"/>
            </w:tcBorders>
          </w:tcPr>
          <w:p w14:paraId="462AECD6" w14:textId="77777777" w:rsidR="007C1AB9" w:rsidRPr="004C4A5C" w:rsidRDefault="007C1AB9" w:rsidP="000C04ED">
            <w:pPr>
              <w:pStyle w:val="tabletext11"/>
            </w:pPr>
          </w:p>
        </w:tc>
        <w:tc>
          <w:tcPr>
            <w:tcW w:w="1610" w:type="dxa"/>
            <w:tcBorders>
              <w:top w:val="single" w:sz="6" w:space="0" w:color="auto"/>
              <w:left w:val="single" w:sz="6" w:space="0" w:color="auto"/>
              <w:right w:val="single" w:sz="6" w:space="0" w:color="auto"/>
            </w:tcBorders>
          </w:tcPr>
          <w:p w14:paraId="77CCA09C" w14:textId="77777777" w:rsidR="007C1AB9" w:rsidRPr="004C4A5C" w:rsidRDefault="007C1AB9" w:rsidP="000C04ED">
            <w:pPr>
              <w:pStyle w:val="tabletext11"/>
              <w:jc w:val="center"/>
            </w:pPr>
            <w:r w:rsidRPr="004C4A5C">
              <w:t>E3</w:t>
            </w:r>
          </w:p>
        </w:tc>
        <w:tc>
          <w:tcPr>
            <w:tcW w:w="900" w:type="dxa"/>
            <w:tcBorders>
              <w:top w:val="single" w:sz="6" w:space="0" w:color="auto"/>
              <w:left w:val="single" w:sz="6" w:space="0" w:color="auto"/>
              <w:bottom w:val="nil"/>
              <w:right w:val="nil"/>
            </w:tcBorders>
          </w:tcPr>
          <w:p w14:paraId="003A7CD5" w14:textId="77777777" w:rsidR="007C1AB9" w:rsidRPr="004C4A5C" w:rsidRDefault="007C1AB9" w:rsidP="000C04ED">
            <w:pPr>
              <w:pStyle w:val="tabletext11"/>
              <w:jc w:val="right"/>
            </w:pPr>
            <w:r w:rsidRPr="004C4A5C">
              <w:t>5</w:t>
            </w:r>
          </w:p>
        </w:tc>
        <w:tc>
          <w:tcPr>
            <w:tcW w:w="780" w:type="dxa"/>
            <w:tcBorders>
              <w:top w:val="single" w:sz="6" w:space="0" w:color="auto"/>
              <w:left w:val="nil"/>
              <w:bottom w:val="nil"/>
              <w:right w:val="single" w:sz="6" w:space="0" w:color="auto"/>
            </w:tcBorders>
          </w:tcPr>
          <w:p w14:paraId="5ED3AA1B" w14:textId="77777777" w:rsidR="007C1AB9" w:rsidRPr="004C4A5C" w:rsidRDefault="007C1AB9" w:rsidP="000C04ED">
            <w:pPr>
              <w:pStyle w:val="tabletext11"/>
            </w:pPr>
            <w:r w:rsidRPr="004C4A5C">
              <w:t>%</w:t>
            </w:r>
          </w:p>
        </w:tc>
        <w:tc>
          <w:tcPr>
            <w:tcW w:w="420" w:type="dxa"/>
            <w:tcBorders>
              <w:top w:val="single" w:sz="6" w:space="0" w:color="auto"/>
              <w:left w:val="single" w:sz="6" w:space="0" w:color="auto"/>
              <w:bottom w:val="nil"/>
              <w:right w:val="nil"/>
            </w:tcBorders>
          </w:tcPr>
          <w:p w14:paraId="7931A686" w14:textId="77777777" w:rsidR="007C1AB9" w:rsidRPr="004C4A5C" w:rsidRDefault="007C1AB9" w:rsidP="000C04ED">
            <w:pPr>
              <w:pStyle w:val="tabletext11"/>
              <w:jc w:val="right"/>
              <w:rPr>
                <w:b/>
              </w:rPr>
            </w:pPr>
            <w:r w:rsidRPr="004C4A5C">
              <w:rPr>
                <w:b/>
              </w:rPr>
              <w:t>1.</w:t>
            </w:r>
          </w:p>
        </w:tc>
        <w:tc>
          <w:tcPr>
            <w:tcW w:w="6370" w:type="dxa"/>
            <w:gridSpan w:val="4"/>
            <w:tcBorders>
              <w:top w:val="single" w:sz="6" w:space="0" w:color="auto"/>
              <w:left w:val="nil"/>
              <w:bottom w:val="nil"/>
              <w:right w:val="single" w:sz="6" w:space="0" w:color="auto"/>
            </w:tcBorders>
          </w:tcPr>
          <w:p w14:paraId="00CE4D4F" w14:textId="77777777" w:rsidR="007C1AB9" w:rsidRPr="004C4A5C" w:rsidRDefault="007C1AB9" w:rsidP="000C04ED">
            <w:pPr>
              <w:pStyle w:val="tabletext11"/>
            </w:pPr>
            <w:r w:rsidRPr="004C4A5C">
              <w:t>Bridges</w:t>
            </w:r>
          </w:p>
        </w:tc>
      </w:tr>
      <w:tr w:rsidR="007C1AB9" w:rsidRPr="004C4A5C" w14:paraId="41E58035" w14:textId="77777777" w:rsidTr="005A0184">
        <w:trPr>
          <w:cantSplit/>
          <w:trHeight w:val="190"/>
        </w:trPr>
        <w:tc>
          <w:tcPr>
            <w:tcW w:w="200" w:type="dxa"/>
            <w:tcBorders>
              <w:top w:val="nil"/>
              <w:left w:val="nil"/>
              <w:bottom w:val="nil"/>
              <w:right w:val="single" w:sz="6" w:space="0" w:color="auto"/>
            </w:tcBorders>
          </w:tcPr>
          <w:p w14:paraId="784AC9AD"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6827F501" w14:textId="77777777" w:rsidR="007C1AB9" w:rsidRPr="004C4A5C" w:rsidRDefault="007C1AB9" w:rsidP="000C04ED">
            <w:pPr>
              <w:pStyle w:val="tabletext11"/>
              <w:jc w:val="center"/>
            </w:pPr>
            <w:r w:rsidRPr="004C4A5C">
              <w:t>E3</w:t>
            </w:r>
          </w:p>
        </w:tc>
        <w:tc>
          <w:tcPr>
            <w:tcW w:w="900" w:type="dxa"/>
            <w:tcBorders>
              <w:top w:val="nil"/>
              <w:left w:val="single" w:sz="6" w:space="0" w:color="auto"/>
              <w:bottom w:val="nil"/>
              <w:right w:val="nil"/>
            </w:tcBorders>
          </w:tcPr>
          <w:p w14:paraId="5FEF0B64"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7094E7F9"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1B9423D6" w14:textId="77777777" w:rsidR="007C1AB9" w:rsidRPr="004C4A5C" w:rsidRDefault="007C1AB9" w:rsidP="000C04ED">
            <w:pPr>
              <w:pStyle w:val="tabletext11"/>
              <w:jc w:val="right"/>
              <w:rPr>
                <w:b/>
              </w:rPr>
            </w:pPr>
            <w:r w:rsidRPr="004C4A5C">
              <w:rPr>
                <w:b/>
              </w:rPr>
              <w:t>2.</w:t>
            </w:r>
          </w:p>
        </w:tc>
        <w:tc>
          <w:tcPr>
            <w:tcW w:w="6370" w:type="dxa"/>
            <w:gridSpan w:val="4"/>
            <w:tcBorders>
              <w:top w:val="nil"/>
              <w:left w:val="nil"/>
              <w:bottom w:val="nil"/>
              <w:right w:val="single" w:sz="6" w:space="0" w:color="auto"/>
            </w:tcBorders>
          </w:tcPr>
          <w:p w14:paraId="1D2F7D45" w14:textId="77777777" w:rsidR="007C1AB9" w:rsidRPr="004C4A5C" w:rsidRDefault="007C1AB9" w:rsidP="000C04ED">
            <w:pPr>
              <w:pStyle w:val="tabletext11"/>
            </w:pPr>
            <w:r w:rsidRPr="004C4A5C">
              <w:t>Dams</w:t>
            </w:r>
          </w:p>
        </w:tc>
      </w:tr>
      <w:tr w:rsidR="007C1AB9" w:rsidRPr="004C4A5C" w14:paraId="2643B4F7" w14:textId="77777777" w:rsidTr="005A0184">
        <w:trPr>
          <w:cantSplit/>
          <w:trHeight w:val="190"/>
        </w:trPr>
        <w:tc>
          <w:tcPr>
            <w:tcW w:w="200" w:type="dxa"/>
            <w:tcBorders>
              <w:top w:val="nil"/>
              <w:left w:val="nil"/>
              <w:bottom w:val="nil"/>
              <w:right w:val="single" w:sz="6" w:space="0" w:color="auto"/>
            </w:tcBorders>
          </w:tcPr>
          <w:p w14:paraId="1C743750"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317ACB89" w14:textId="77777777" w:rsidR="007C1AB9" w:rsidRPr="004C4A5C" w:rsidRDefault="007C1AB9" w:rsidP="000C04ED">
            <w:pPr>
              <w:pStyle w:val="tabletext11"/>
              <w:jc w:val="center"/>
            </w:pPr>
            <w:r w:rsidRPr="004C4A5C">
              <w:t>C1</w:t>
            </w:r>
          </w:p>
        </w:tc>
        <w:tc>
          <w:tcPr>
            <w:tcW w:w="900" w:type="dxa"/>
            <w:tcBorders>
              <w:top w:val="nil"/>
              <w:left w:val="single" w:sz="6" w:space="0" w:color="auto"/>
              <w:bottom w:val="nil"/>
              <w:right w:val="nil"/>
            </w:tcBorders>
          </w:tcPr>
          <w:p w14:paraId="4EDF0795"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5D32BD89"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7E9E2BE0" w14:textId="77777777" w:rsidR="007C1AB9" w:rsidRPr="004C4A5C" w:rsidRDefault="007C1AB9" w:rsidP="000C04ED">
            <w:pPr>
              <w:pStyle w:val="tabletext11"/>
              <w:jc w:val="right"/>
              <w:rPr>
                <w:b/>
              </w:rPr>
            </w:pPr>
            <w:r w:rsidRPr="004C4A5C">
              <w:rPr>
                <w:b/>
              </w:rPr>
              <w:t>3.</w:t>
            </w:r>
          </w:p>
        </w:tc>
        <w:tc>
          <w:tcPr>
            <w:tcW w:w="6370" w:type="dxa"/>
            <w:gridSpan w:val="4"/>
            <w:tcBorders>
              <w:top w:val="nil"/>
              <w:left w:val="nil"/>
              <w:bottom w:val="nil"/>
              <w:right w:val="single" w:sz="6" w:space="0" w:color="auto"/>
            </w:tcBorders>
          </w:tcPr>
          <w:p w14:paraId="15061AED" w14:textId="77777777" w:rsidR="007C1AB9" w:rsidRPr="004C4A5C" w:rsidRDefault="007C1AB9" w:rsidP="000C04ED">
            <w:pPr>
              <w:pStyle w:val="tabletext11"/>
            </w:pPr>
            <w:r w:rsidRPr="004C4A5C">
              <w:t>Greenhouses or Cannabis Greenhouses with glass walls and roofs</w:t>
            </w:r>
          </w:p>
        </w:tc>
      </w:tr>
      <w:tr w:rsidR="007C1AB9" w:rsidRPr="004C4A5C" w14:paraId="44A01FC7" w14:textId="77777777" w:rsidTr="005A0184">
        <w:trPr>
          <w:cantSplit/>
          <w:trHeight w:val="190"/>
        </w:trPr>
        <w:tc>
          <w:tcPr>
            <w:tcW w:w="200" w:type="dxa"/>
            <w:tcBorders>
              <w:top w:val="nil"/>
              <w:left w:val="nil"/>
              <w:bottom w:val="nil"/>
              <w:right w:val="single" w:sz="6" w:space="0" w:color="auto"/>
            </w:tcBorders>
          </w:tcPr>
          <w:p w14:paraId="0E822A6C"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32A217AC" w14:textId="77777777" w:rsidR="007C1AB9" w:rsidRPr="004C4A5C" w:rsidRDefault="007C1AB9" w:rsidP="000C04ED">
            <w:pPr>
              <w:pStyle w:val="tabletext11"/>
              <w:jc w:val="center"/>
            </w:pPr>
            <w:r w:rsidRPr="004C4A5C">
              <w:t>A1</w:t>
            </w:r>
          </w:p>
        </w:tc>
        <w:tc>
          <w:tcPr>
            <w:tcW w:w="900" w:type="dxa"/>
            <w:tcBorders>
              <w:top w:val="nil"/>
              <w:left w:val="single" w:sz="6" w:space="0" w:color="auto"/>
              <w:bottom w:val="nil"/>
              <w:right w:val="nil"/>
            </w:tcBorders>
          </w:tcPr>
          <w:p w14:paraId="0F73024C"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4A2BC4CC"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0C299FE1" w14:textId="77777777" w:rsidR="007C1AB9" w:rsidRPr="004C4A5C" w:rsidRDefault="007C1AB9" w:rsidP="000C04ED">
            <w:pPr>
              <w:pStyle w:val="tabletext11"/>
              <w:jc w:val="right"/>
              <w:rPr>
                <w:b/>
              </w:rPr>
            </w:pPr>
            <w:r w:rsidRPr="004C4A5C">
              <w:rPr>
                <w:b/>
              </w:rPr>
              <w:t>4.</w:t>
            </w:r>
          </w:p>
        </w:tc>
        <w:tc>
          <w:tcPr>
            <w:tcW w:w="6370" w:type="dxa"/>
            <w:gridSpan w:val="4"/>
            <w:tcBorders>
              <w:top w:val="nil"/>
              <w:left w:val="nil"/>
              <w:bottom w:val="nil"/>
              <w:right w:val="single" w:sz="6" w:space="0" w:color="auto"/>
            </w:tcBorders>
          </w:tcPr>
          <w:p w14:paraId="33E71F14" w14:textId="77777777" w:rsidR="007C1AB9" w:rsidRPr="004C4A5C" w:rsidRDefault="007C1AB9" w:rsidP="000C04ED">
            <w:pPr>
              <w:pStyle w:val="tabletext11"/>
            </w:pPr>
            <w:r w:rsidRPr="004C4A5C">
              <w:t>Open</w:t>
            </w:r>
            <w:ins w:id="22" w:author="Author">
              <w:r w:rsidRPr="004C4A5C">
                <w:t>-</w:t>
              </w:r>
            </w:ins>
            <w:del w:id="23" w:author="Author">
              <w:r w:rsidRPr="004C4A5C" w:rsidDel="003D2690">
                <w:delText xml:space="preserve"> </w:delText>
              </w:r>
            </w:del>
            <w:r w:rsidRPr="004C4A5C">
              <w:t>air swimming pools in excavations in the ground</w:t>
            </w:r>
          </w:p>
        </w:tc>
      </w:tr>
      <w:tr w:rsidR="007C1AB9" w:rsidRPr="004C4A5C" w14:paraId="2241C9BA" w14:textId="77777777" w:rsidTr="005A0184">
        <w:trPr>
          <w:cantSplit/>
          <w:trHeight w:val="190"/>
        </w:trPr>
        <w:tc>
          <w:tcPr>
            <w:tcW w:w="200" w:type="dxa"/>
            <w:tcBorders>
              <w:top w:val="nil"/>
              <w:left w:val="nil"/>
              <w:bottom w:val="nil"/>
              <w:right w:val="single" w:sz="6" w:space="0" w:color="auto"/>
            </w:tcBorders>
          </w:tcPr>
          <w:p w14:paraId="4DEFE325"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06E9D1B8" w14:textId="77777777" w:rsidR="007C1AB9" w:rsidRPr="004C4A5C" w:rsidRDefault="007C1AB9" w:rsidP="000C04ED">
            <w:pPr>
              <w:pStyle w:val="tabletext11"/>
              <w:jc w:val="center"/>
            </w:pPr>
          </w:p>
        </w:tc>
        <w:tc>
          <w:tcPr>
            <w:tcW w:w="900" w:type="dxa"/>
            <w:tcBorders>
              <w:top w:val="nil"/>
              <w:left w:val="single" w:sz="6" w:space="0" w:color="auto"/>
              <w:bottom w:val="nil"/>
              <w:right w:val="nil"/>
            </w:tcBorders>
          </w:tcPr>
          <w:p w14:paraId="531F3A10" w14:textId="77777777" w:rsidR="007C1AB9" w:rsidRPr="004C4A5C" w:rsidRDefault="007C1AB9" w:rsidP="000C04ED">
            <w:pPr>
              <w:pStyle w:val="tabletext11"/>
              <w:jc w:val="right"/>
            </w:pPr>
          </w:p>
        </w:tc>
        <w:tc>
          <w:tcPr>
            <w:tcW w:w="780" w:type="dxa"/>
            <w:tcBorders>
              <w:top w:val="nil"/>
              <w:left w:val="nil"/>
              <w:bottom w:val="nil"/>
              <w:right w:val="single" w:sz="6" w:space="0" w:color="auto"/>
            </w:tcBorders>
          </w:tcPr>
          <w:p w14:paraId="700356D2"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4B269C6A" w14:textId="77777777" w:rsidR="007C1AB9" w:rsidRPr="004C4A5C" w:rsidRDefault="007C1AB9" w:rsidP="000C04ED">
            <w:pPr>
              <w:pStyle w:val="tabletext11"/>
              <w:jc w:val="right"/>
              <w:rPr>
                <w:b/>
              </w:rPr>
            </w:pPr>
            <w:r w:rsidRPr="004C4A5C">
              <w:rPr>
                <w:b/>
              </w:rPr>
              <w:t>5.</w:t>
            </w:r>
          </w:p>
        </w:tc>
        <w:tc>
          <w:tcPr>
            <w:tcW w:w="6370" w:type="dxa"/>
            <w:gridSpan w:val="4"/>
            <w:tcBorders>
              <w:top w:val="nil"/>
              <w:left w:val="nil"/>
              <w:bottom w:val="nil"/>
              <w:right w:val="single" w:sz="6" w:space="0" w:color="auto"/>
            </w:tcBorders>
          </w:tcPr>
          <w:p w14:paraId="234B7E87" w14:textId="77777777" w:rsidR="007C1AB9" w:rsidRPr="004C4A5C" w:rsidRDefault="007C1AB9" w:rsidP="000C04ED">
            <w:pPr>
              <w:pStyle w:val="tabletext11"/>
            </w:pPr>
            <w:r w:rsidRPr="004C4A5C">
              <w:t>Radio and TV towers (steel)</w:t>
            </w:r>
          </w:p>
        </w:tc>
      </w:tr>
      <w:tr w:rsidR="007C1AB9" w:rsidRPr="004C4A5C" w14:paraId="5B775260" w14:textId="77777777" w:rsidTr="005A0184">
        <w:trPr>
          <w:cantSplit/>
          <w:trHeight w:val="190"/>
        </w:trPr>
        <w:tc>
          <w:tcPr>
            <w:tcW w:w="200" w:type="dxa"/>
            <w:tcBorders>
              <w:top w:val="nil"/>
              <w:left w:val="nil"/>
              <w:bottom w:val="nil"/>
              <w:right w:val="single" w:sz="6" w:space="0" w:color="auto"/>
            </w:tcBorders>
          </w:tcPr>
          <w:p w14:paraId="50E49F63"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6DC3895B" w14:textId="77777777" w:rsidR="007C1AB9" w:rsidRPr="004C4A5C" w:rsidRDefault="007C1AB9" w:rsidP="000C04ED">
            <w:pPr>
              <w:pStyle w:val="tabletext11"/>
              <w:jc w:val="center"/>
            </w:pPr>
            <w:r w:rsidRPr="004C4A5C">
              <w:t>C1</w:t>
            </w:r>
          </w:p>
        </w:tc>
        <w:tc>
          <w:tcPr>
            <w:tcW w:w="900" w:type="dxa"/>
            <w:tcBorders>
              <w:top w:val="nil"/>
              <w:left w:val="single" w:sz="6" w:space="0" w:color="auto"/>
              <w:bottom w:val="nil"/>
              <w:right w:val="nil"/>
            </w:tcBorders>
          </w:tcPr>
          <w:p w14:paraId="01795396"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268847C8"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55369687" w14:textId="77777777" w:rsidR="007C1AB9" w:rsidRPr="004C4A5C" w:rsidRDefault="007C1AB9" w:rsidP="000C04ED">
            <w:pPr>
              <w:pStyle w:val="tabletext11"/>
              <w:jc w:val="right"/>
            </w:pPr>
          </w:p>
        </w:tc>
        <w:tc>
          <w:tcPr>
            <w:tcW w:w="300" w:type="dxa"/>
            <w:tcBorders>
              <w:top w:val="nil"/>
              <w:left w:val="nil"/>
              <w:bottom w:val="nil"/>
              <w:right w:val="nil"/>
            </w:tcBorders>
          </w:tcPr>
          <w:p w14:paraId="2A399A57" w14:textId="77777777" w:rsidR="007C1AB9" w:rsidRPr="004C4A5C" w:rsidRDefault="007C1AB9" w:rsidP="000C04ED">
            <w:pPr>
              <w:pStyle w:val="tabletext11"/>
              <w:jc w:val="right"/>
              <w:rPr>
                <w:b/>
              </w:rPr>
            </w:pPr>
            <w:r w:rsidRPr="004C4A5C">
              <w:rPr>
                <w:b/>
              </w:rPr>
              <w:t>a.</w:t>
            </w:r>
          </w:p>
        </w:tc>
        <w:tc>
          <w:tcPr>
            <w:tcW w:w="6070" w:type="dxa"/>
            <w:gridSpan w:val="3"/>
            <w:tcBorders>
              <w:top w:val="nil"/>
              <w:left w:val="nil"/>
              <w:bottom w:val="nil"/>
              <w:right w:val="single" w:sz="6" w:space="0" w:color="auto"/>
            </w:tcBorders>
          </w:tcPr>
          <w:p w14:paraId="7EE2BCF0" w14:textId="77777777" w:rsidR="007C1AB9" w:rsidRPr="004C4A5C" w:rsidRDefault="007C1AB9" w:rsidP="000C04ED">
            <w:pPr>
              <w:pStyle w:val="tabletext11"/>
            </w:pPr>
            <w:r w:rsidRPr="004C4A5C">
              <w:t>Not located on buildings</w:t>
            </w:r>
          </w:p>
        </w:tc>
      </w:tr>
      <w:tr w:rsidR="007C1AB9" w:rsidRPr="004C4A5C" w14:paraId="609624B1" w14:textId="77777777" w:rsidTr="005A0184">
        <w:trPr>
          <w:cantSplit/>
          <w:trHeight w:val="190"/>
        </w:trPr>
        <w:tc>
          <w:tcPr>
            <w:tcW w:w="200" w:type="dxa"/>
            <w:tcBorders>
              <w:top w:val="nil"/>
              <w:left w:val="nil"/>
              <w:bottom w:val="nil"/>
              <w:right w:val="single" w:sz="6" w:space="0" w:color="auto"/>
            </w:tcBorders>
          </w:tcPr>
          <w:p w14:paraId="0BA00B37"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15DAE465" w14:textId="77777777" w:rsidR="007C1AB9" w:rsidRPr="004C4A5C" w:rsidRDefault="007C1AB9" w:rsidP="000C04ED">
            <w:pPr>
              <w:pStyle w:val="tabletext11"/>
              <w:jc w:val="center"/>
            </w:pPr>
            <w:r w:rsidRPr="004C4A5C">
              <w:t>C1</w:t>
            </w:r>
          </w:p>
        </w:tc>
        <w:tc>
          <w:tcPr>
            <w:tcW w:w="900" w:type="dxa"/>
            <w:tcBorders>
              <w:top w:val="nil"/>
              <w:left w:val="single" w:sz="6" w:space="0" w:color="auto"/>
              <w:bottom w:val="nil"/>
              <w:right w:val="nil"/>
            </w:tcBorders>
          </w:tcPr>
          <w:p w14:paraId="0978BF00"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78442156"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68BFE53D" w14:textId="77777777" w:rsidR="007C1AB9" w:rsidRPr="004C4A5C" w:rsidRDefault="007C1AB9" w:rsidP="000C04ED">
            <w:pPr>
              <w:pStyle w:val="tabletext11"/>
              <w:jc w:val="right"/>
            </w:pPr>
          </w:p>
        </w:tc>
        <w:tc>
          <w:tcPr>
            <w:tcW w:w="300" w:type="dxa"/>
            <w:tcBorders>
              <w:top w:val="nil"/>
              <w:left w:val="nil"/>
              <w:bottom w:val="nil"/>
              <w:right w:val="nil"/>
            </w:tcBorders>
          </w:tcPr>
          <w:p w14:paraId="24CA3EE3" w14:textId="77777777" w:rsidR="007C1AB9" w:rsidRPr="004C4A5C" w:rsidRDefault="007C1AB9" w:rsidP="000C04ED">
            <w:pPr>
              <w:pStyle w:val="tabletext11"/>
              <w:jc w:val="right"/>
              <w:rPr>
                <w:b/>
              </w:rPr>
            </w:pPr>
            <w:r w:rsidRPr="004C4A5C">
              <w:rPr>
                <w:b/>
              </w:rPr>
              <w:t>b.</w:t>
            </w:r>
          </w:p>
        </w:tc>
        <w:tc>
          <w:tcPr>
            <w:tcW w:w="6070" w:type="dxa"/>
            <w:gridSpan w:val="3"/>
            <w:tcBorders>
              <w:top w:val="nil"/>
              <w:left w:val="nil"/>
              <w:bottom w:val="nil"/>
              <w:right w:val="single" w:sz="6" w:space="0" w:color="auto"/>
            </w:tcBorders>
          </w:tcPr>
          <w:p w14:paraId="7DDB4940" w14:textId="77777777" w:rsidR="007C1AB9" w:rsidRPr="004C4A5C" w:rsidRDefault="007C1AB9" w:rsidP="000C04ED">
            <w:pPr>
              <w:pStyle w:val="tabletext11"/>
            </w:pPr>
            <w:r w:rsidRPr="004C4A5C">
              <w:t>Over 75 feet in height located on buildings</w:t>
            </w:r>
          </w:p>
        </w:tc>
      </w:tr>
      <w:tr w:rsidR="007C1AB9" w:rsidRPr="004C4A5C" w14:paraId="07C2F424" w14:textId="77777777" w:rsidTr="005A0184">
        <w:trPr>
          <w:cantSplit/>
          <w:trHeight w:val="190"/>
        </w:trPr>
        <w:tc>
          <w:tcPr>
            <w:tcW w:w="200" w:type="dxa"/>
            <w:tcBorders>
              <w:top w:val="nil"/>
              <w:left w:val="nil"/>
              <w:bottom w:val="nil"/>
              <w:right w:val="single" w:sz="6" w:space="0" w:color="auto"/>
            </w:tcBorders>
          </w:tcPr>
          <w:p w14:paraId="7B0A91A9"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5F82E7CB" w14:textId="77777777" w:rsidR="007C1AB9" w:rsidRPr="004C4A5C" w:rsidRDefault="007C1AB9" w:rsidP="000C04ED">
            <w:pPr>
              <w:pStyle w:val="tabletext11"/>
              <w:jc w:val="center"/>
            </w:pPr>
            <w:del w:id="24" w:author="Author">
              <w:r w:rsidRPr="004C4A5C" w:rsidDel="00B97D77">
                <w:delText>C1</w:delText>
              </w:r>
            </w:del>
          </w:p>
        </w:tc>
        <w:tc>
          <w:tcPr>
            <w:tcW w:w="900" w:type="dxa"/>
            <w:tcBorders>
              <w:top w:val="nil"/>
              <w:left w:val="single" w:sz="6" w:space="0" w:color="auto"/>
              <w:bottom w:val="nil"/>
              <w:right w:val="nil"/>
            </w:tcBorders>
          </w:tcPr>
          <w:p w14:paraId="3C034A10" w14:textId="77777777" w:rsidR="007C1AB9" w:rsidRPr="004C4A5C" w:rsidRDefault="007C1AB9" w:rsidP="000C04ED">
            <w:pPr>
              <w:pStyle w:val="tabletext11"/>
              <w:jc w:val="right"/>
            </w:pPr>
            <w:del w:id="25" w:author="Author">
              <w:r w:rsidRPr="004C4A5C" w:rsidDel="00B97D77">
                <w:delText>5</w:delText>
              </w:r>
            </w:del>
          </w:p>
        </w:tc>
        <w:tc>
          <w:tcPr>
            <w:tcW w:w="780" w:type="dxa"/>
            <w:tcBorders>
              <w:top w:val="nil"/>
              <w:left w:val="nil"/>
              <w:bottom w:val="nil"/>
              <w:right w:val="single" w:sz="6" w:space="0" w:color="auto"/>
            </w:tcBorders>
          </w:tcPr>
          <w:p w14:paraId="653D1031"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72A31378" w14:textId="77777777" w:rsidR="007C1AB9" w:rsidRPr="004C4A5C" w:rsidRDefault="007C1AB9" w:rsidP="000C04ED">
            <w:pPr>
              <w:pStyle w:val="tabletext11"/>
              <w:jc w:val="right"/>
            </w:pPr>
          </w:p>
        </w:tc>
        <w:tc>
          <w:tcPr>
            <w:tcW w:w="300" w:type="dxa"/>
            <w:tcBorders>
              <w:top w:val="nil"/>
              <w:left w:val="nil"/>
              <w:bottom w:val="nil"/>
              <w:right w:val="nil"/>
            </w:tcBorders>
          </w:tcPr>
          <w:p w14:paraId="752EE378" w14:textId="77777777" w:rsidR="007C1AB9" w:rsidRPr="004C4A5C" w:rsidRDefault="007C1AB9" w:rsidP="000C04ED">
            <w:pPr>
              <w:pStyle w:val="tabletext11"/>
              <w:jc w:val="right"/>
              <w:rPr>
                <w:b/>
              </w:rPr>
            </w:pPr>
            <w:r w:rsidRPr="004C4A5C">
              <w:rPr>
                <w:b/>
              </w:rPr>
              <w:t>c.</w:t>
            </w:r>
          </w:p>
        </w:tc>
        <w:tc>
          <w:tcPr>
            <w:tcW w:w="6070" w:type="dxa"/>
            <w:gridSpan w:val="3"/>
            <w:tcBorders>
              <w:top w:val="nil"/>
              <w:left w:val="nil"/>
              <w:bottom w:val="nil"/>
              <w:right w:val="single" w:sz="6" w:space="0" w:color="auto"/>
            </w:tcBorders>
          </w:tcPr>
          <w:p w14:paraId="22D95C9F" w14:textId="77777777" w:rsidR="007C1AB9" w:rsidRPr="004C4A5C" w:rsidRDefault="007C1AB9" w:rsidP="000C04ED">
            <w:pPr>
              <w:pStyle w:val="tabletext11"/>
            </w:pPr>
            <w:r w:rsidRPr="004C4A5C">
              <w:t>Not over 75 feet in height located on buildings</w:t>
            </w:r>
            <w:ins w:id="26" w:author="Author">
              <w:r w:rsidRPr="004C4A5C">
                <w:t>;</w:t>
              </w:r>
              <w:del w:id="27" w:author="Author">
                <w:r w:rsidRPr="004C4A5C" w:rsidDel="003D2690">
                  <w:delText>,</w:delText>
                </w:r>
              </w:del>
              <w:r w:rsidRPr="004C4A5C">
                <w:t xml:space="preserve"> </w:t>
              </w:r>
              <w:r w:rsidRPr="004C4A5C">
                <w:rPr>
                  <w:b/>
                  <w:bCs/>
                </w:rPr>
                <w:t>Note:</w:t>
              </w:r>
              <w:r w:rsidRPr="004C4A5C">
                <w:t xml:space="preserve"> Building Class &amp; Building Deductible Applies</w:t>
              </w:r>
            </w:ins>
          </w:p>
        </w:tc>
      </w:tr>
      <w:tr w:rsidR="007C1AB9" w:rsidRPr="004C4A5C" w:rsidDel="00085FAF" w14:paraId="0E3FCF4E" w14:textId="77777777" w:rsidTr="005A0184">
        <w:trPr>
          <w:cantSplit/>
          <w:trHeight w:val="190"/>
          <w:del w:id="28" w:author="Author"/>
        </w:trPr>
        <w:tc>
          <w:tcPr>
            <w:tcW w:w="200" w:type="dxa"/>
            <w:tcBorders>
              <w:top w:val="nil"/>
              <w:left w:val="nil"/>
              <w:bottom w:val="nil"/>
              <w:right w:val="single" w:sz="6" w:space="0" w:color="auto"/>
            </w:tcBorders>
          </w:tcPr>
          <w:p w14:paraId="5D1CBB47" w14:textId="77777777" w:rsidR="007C1AB9" w:rsidRPr="004C4A5C" w:rsidDel="00085FAF" w:rsidRDefault="007C1AB9" w:rsidP="000C04ED">
            <w:pPr>
              <w:pStyle w:val="tabletext11"/>
              <w:rPr>
                <w:del w:id="29" w:author="Author"/>
              </w:rPr>
            </w:pPr>
          </w:p>
        </w:tc>
        <w:tc>
          <w:tcPr>
            <w:tcW w:w="1610" w:type="dxa"/>
            <w:tcBorders>
              <w:left w:val="single" w:sz="6" w:space="0" w:color="auto"/>
              <w:right w:val="single" w:sz="6" w:space="0" w:color="auto"/>
            </w:tcBorders>
          </w:tcPr>
          <w:p w14:paraId="32498775" w14:textId="77777777" w:rsidR="007C1AB9" w:rsidRPr="004C4A5C" w:rsidDel="00085FAF" w:rsidRDefault="007C1AB9" w:rsidP="000C04ED">
            <w:pPr>
              <w:pStyle w:val="tabletext11"/>
              <w:jc w:val="center"/>
              <w:rPr>
                <w:del w:id="30" w:author="Author"/>
              </w:rPr>
            </w:pPr>
          </w:p>
        </w:tc>
        <w:tc>
          <w:tcPr>
            <w:tcW w:w="900" w:type="dxa"/>
            <w:tcBorders>
              <w:top w:val="nil"/>
              <w:left w:val="single" w:sz="6" w:space="0" w:color="auto"/>
              <w:bottom w:val="nil"/>
              <w:right w:val="nil"/>
            </w:tcBorders>
          </w:tcPr>
          <w:p w14:paraId="49DE6639" w14:textId="77777777" w:rsidR="007C1AB9" w:rsidRPr="004C4A5C" w:rsidDel="00085FAF" w:rsidRDefault="007C1AB9" w:rsidP="000C04ED">
            <w:pPr>
              <w:pStyle w:val="tabletext11"/>
              <w:jc w:val="right"/>
              <w:rPr>
                <w:del w:id="31" w:author="Author"/>
              </w:rPr>
            </w:pPr>
          </w:p>
        </w:tc>
        <w:tc>
          <w:tcPr>
            <w:tcW w:w="780" w:type="dxa"/>
            <w:tcBorders>
              <w:top w:val="nil"/>
              <w:left w:val="nil"/>
              <w:bottom w:val="nil"/>
              <w:right w:val="single" w:sz="6" w:space="0" w:color="auto"/>
            </w:tcBorders>
          </w:tcPr>
          <w:p w14:paraId="740486EC" w14:textId="77777777" w:rsidR="007C1AB9" w:rsidRPr="004C4A5C" w:rsidDel="00085FAF" w:rsidRDefault="007C1AB9" w:rsidP="000C04ED">
            <w:pPr>
              <w:pStyle w:val="tabletext11"/>
              <w:rPr>
                <w:del w:id="32" w:author="Author"/>
              </w:rPr>
            </w:pPr>
          </w:p>
        </w:tc>
        <w:tc>
          <w:tcPr>
            <w:tcW w:w="420" w:type="dxa"/>
            <w:tcBorders>
              <w:top w:val="nil"/>
              <w:left w:val="single" w:sz="6" w:space="0" w:color="auto"/>
              <w:bottom w:val="nil"/>
              <w:right w:val="nil"/>
            </w:tcBorders>
          </w:tcPr>
          <w:p w14:paraId="6CB9135A" w14:textId="77777777" w:rsidR="007C1AB9" w:rsidRPr="004C4A5C" w:rsidDel="00085FAF" w:rsidRDefault="007C1AB9" w:rsidP="000C04ED">
            <w:pPr>
              <w:pStyle w:val="tabletext11"/>
              <w:jc w:val="right"/>
              <w:rPr>
                <w:del w:id="33" w:author="Author"/>
              </w:rPr>
            </w:pPr>
          </w:p>
        </w:tc>
        <w:tc>
          <w:tcPr>
            <w:tcW w:w="6370" w:type="dxa"/>
            <w:gridSpan w:val="4"/>
            <w:tcBorders>
              <w:top w:val="nil"/>
              <w:left w:val="nil"/>
              <w:bottom w:val="nil"/>
              <w:right w:val="single" w:sz="6" w:space="0" w:color="auto"/>
            </w:tcBorders>
          </w:tcPr>
          <w:p w14:paraId="13285B36" w14:textId="77777777" w:rsidR="007C1AB9" w:rsidRPr="004C4A5C" w:rsidDel="00085FAF" w:rsidRDefault="007C1AB9" w:rsidP="000C04ED">
            <w:pPr>
              <w:pStyle w:val="tabletext11"/>
              <w:rPr>
                <w:del w:id="34" w:author="Author"/>
              </w:rPr>
            </w:pPr>
            <w:del w:id="35" w:author="Author">
              <w:r w:rsidRPr="004C4A5C" w:rsidDel="00085FAF">
                <w:delText>Bldg Ded &amp; Rate Grade Applies</w:delText>
              </w:r>
            </w:del>
          </w:p>
        </w:tc>
      </w:tr>
      <w:tr w:rsidR="007C1AB9" w:rsidRPr="004C4A5C" w14:paraId="64A93472" w14:textId="77777777" w:rsidTr="005A0184">
        <w:trPr>
          <w:cantSplit/>
          <w:trHeight w:val="190"/>
        </w:trPr>
        <w:tc>
          <w:tcPr>
            <w:tcW w:w="200" w:type="dxa"/>
            <w:tcBorders>
              <w:top w:val="nil"/>
              <w:left w:val="nil"/>
              <w:bottom w:val="nil"/>
              <w:right w:val="single" w:sz="6" w:space="0" w:color="auto"/>
            </w:tcBorders>
          </w:tcPr>
          <w:p w14:paraId="4100AF04"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5246F176" w14:textId="77777777" w:rsidR="007C1AB9" w:rsidRPr="004C4A5C" w:rsidRDefault="007C1AB9" w:rsidP="000C04ED">
            <w:pPr>
              <w:pStyle w:val="tabletext11"/>
              <w:jc w:val="center"/>
            </w:pPr>
          </w:p>
        </w:tc>
        <w:tc>
          <w:tcPr>
            <w:tcW w:w="900" w:type="dxa"/>
            <w:tcBorders>
              <w:top w:val="nil"/>
              <w:left w:val="single" w:sz="6" w:space="0" w:color="auto"/>
              <w:bottom w:val="nil"/>
              <w:right w:val="nil"/>
            </w:tcBorders>
          </w:tcPr>
          <w:p w14:paraId="06AA20E0" w14:textId="77777777" w:rsidR="007C1AB9" w:rsidRPr="004C4A5C" w:rsidRDefault="007C1AB9" w:rsidP="000C04ED">
            <w:pPr>
              <w:pStyle w:val="tabletext11"/>
              <w:jc w:val="right"/>
            </w:pPr>
          </w:p>
        </w:tc>
        <w:tc>
          <w:tcPr>
            <w:tcW w:w="780" w:type="dxa"/>
            <w:tcBorders>
              <w:top w:val="nil"/>
              <w:left w:val="nil"/>
              <w:bottom w:val="nil"/>
              <w:right w:val="single" w:sz="6" w:space="0" w:color="auto"/>
            </w:tcBorders>
          </w:tcPr>
          <w:p w14:paraId="47BBDF28"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0D6CDAB3" w14:textId="77777777" w:rsidR="007C1AB9" w:rsidRPr="004C4A5C" w:rsidRDefault="007C1AB9" w:rsidP="000C04ED">
            <w:pPr>
              <w:pStyle w:val="tabletext11"/>
              <w:jc w:val="right"/>
            </w:pPr>
            <w:r w:rsidRPr="004C4A5C">
              <w:rPr>
                <w:b/>
              </w:rPr>
              <w:t>6.</w:t>
            </w:r>
          </w:p>
        </w:tc>
        <w:tc>
          <w:tcPr>
            <w:tcW w:w="6370" w:type="dxa"/>
            <w:gridSpan w:val="4"/>
            <w:tcBorders>
              <w:top w:val="nil"/>
              <w:left w:val="nil"/>
              <w:bottom w:val="nil"/>
              <w:right w:val="single" w:sz="6" w:space="0" w:color="auto"/>
            </w:tcBorders>
          </w:tcPr>
          <w:p w14:paraId="240EBE59" w14:textId="77777777" w:rsidR="007C1AB9" w:rsidRPr="004C4A5C" w:rsidRDefault="007C1AB9" w:rsidP="000C04ED">
            <w:pPr>
              <w:pStyle w:val="tabletext11"/>
            </w:pPr>
            <w:r w:rsidRPr="004C4A5C">
              <w:t>Reservoirs – See "Dams"</w:t>
            </w:r>
          </w:p>
        </w:tc>
      </w:tr>
      <w:tr w:rsidR="007C1AB9" w:rsidRPr="004C4A5C" w14:paraId="3720A9C9" w14:textId="77777777" w:rsidTr="005A0184">
        <w:trPr>
          <w:cantSplit/>
          <w:trHeight w:val="190"/>
        </w:trPr>
        <w:tc>
          <w:tcPr>
            <w:tcW w:w="200" w:type="dxa"/>
            <w:tcBorders>
              <w:top w:val="nil"/>
              <w:left w:val="nil"/>
              <w:bottom w:val="nil"/>
              <w:right w:val="single" w:sz="6" w:space="0" w:color="auto"/>
            </w:tcBorders>
          </w:tcPr>
          <w:p w14:paraId="4A4DEAA1"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2A2F0DF0" w14:textId="77777777" w:rsidR="007C1AB9" w:rsidRPr="004C4A5C" w:rsidRDefault="007C1AB9" w:rsidP="000C04ED">
            <w:pPr>
              <w:pStyle w:val="tabletext11"/>
              <w:jc w:val="center"/>
            </w:pPr>
            <w:r w:rsidRPr="004C4A5C">
              <w:t>C1</w:t>
            </w:r>
          </w:p>
        </w:tc>
        <w:tc>
          <w:tcPr>
            <w:tcW w:w="900" w:type="dxa"/>
            <w:tcBorders>
              <w:top w:val="nil"/>
              <w:left w:val="single" w:sz="6" w:space="0" w:color="auto"/>
              <w:bottom w:val="nil"/>
              <w:right w:val="nil"/>
            </w:tcBorders>
          </w:tcPr>
          <w:p w14:paraId="6A3675CB"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4651E322"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4E8368E4" w14:textId="77777777" w:rsidR="007C1AB9" w:rsidRPr="004C4A5C" w:rsidRDefault="007C1AB9" w:rsidP="000C04ED">
            <w:pPr>
              <w:pStyle w:val="tabletext11"/>
              <w:jc w:val="right"/>
            </w:pPr>
            <w:r w:rsidRPr="004C4A5C">
              <w:rPr>
                <w:b/>
              </w:rPr>
              <w:t>7.</w:t>
            </w:r>
          </w:p>
        </w:tc>
        <w:tc>
          <w:tcPr>
            <w:tcW w:w="6370" w:type="dxa"/>
            <w:gridSpan w:val="4"/>
            <w:tcBorders>
              <w:top w:val="nil"/>
              <w:left w:val="nil"/>
              <w:bottom w:val="nil"/>
              <w:right w:val="single" w:sz="6" w:space="0" w:color="auto"/>
            </w:tcBorders>
          </w:tcPr>
          <w:p w14:paraId="225BCEFE" w14:textId="77777777" w:rsidR="007C1AB9" w:rsidRPr="004C4A5C" w:rsidRDefault="007C1AB9" w:rsidP="000C04ED">
            <w:pPr>
              <w:pStyle w:val="tabletext11"/>
            </w:pPr>
            <w:r w:rsidRPr="004C4A5C">
              <w:t>Sewage Treatment Plants</w:t>
            </w:r>
          </w:p>
        </w:tc>
      </w:tr>
      <w:tr w:rsidR="007C1AB9" w:rsidRPr="004C4A5C" w14:paraId="54CA6F11" w14:textId="77777777" w:rsidTr="005A0184">
        <w:trPr>
          <w:cantSplit/>
          <w:trHeight w:val="190"/>
        </w:trPr>
        <w:tc>
          <w:tcPr>
            <w:tcW w:w="200" w:type="dxa"/>
            <w:tcBorders>
              <w:top w:val="nil"/>
              <w:left w:val="nil"/>
              <w:bottom w:val="nil"/>
              <w:right w:val="single" w:sz="6" w:space="0" w:color="auto"/>
            </w:tcBorders>
          </w:tcPr>
          <w:p w14:paraId="7B1E50BE"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550C893A" w14:textId="77777777" w:rsidR="007C1AB9" w:rsidRPr="004C4A5C" w:rsidRDefault="007C1AB9" w:rsidP="000C04ED">
            <w:pPr>
              <w:pStyle w:val="tabletext11"/>
              <w:jc w:val="center"/>
            </w:pPr>
          </w:p>
        </w:tc>
        <w:tc>
          <w:tcPr>
            <w:tcW w:w="900" w:type="dxa"/>
            <w:tcBorders>
              <w:top w:val="nil"/>
              <w:left w:val="single" w:sz="6" w:space="0" w:color="auto"/>
              <w:bottom w:val="nil"/>
              <w:right w:val="nil"/>
            </w:tcBorders>
          </w:tcPr>
          <w:p w14:paraId="5CF947D1" w14:textId="77777777" w:rsidR="007C1AB9" w:rsidRPr="004C4A5C" w:rsidRDefault="007C1AB9" w:rsidP="000C04ED">
            <w:pPr>
              <w:pStyle w:val="tabletext11"/>
              <w:jc w:val="right"/>
            </w:pPr>
          </w:p>
        </w:tc>
        <w:tc>
          <w:tcPr>
            <w:tcW w:w="780" w:type="dxa"/>
            <w:tcBorders>
              <w:top w:val="nil"/>
              <w:left w:val="nil"/>
              <w:bottom w:val="nil"/>
              <w:right w:val="single" w:sz="6" w:space="0" w:color="auto"/>
            </w:tcBorders>
          </w:tcPr>
          <w:p w14:paraId="6244FD48"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0BB5A3A1" w14:textId="77777777" w:rsidR="007C1AB9" w:rsidRPr="004C4A5C" w:rsidRDefault="007C1AB9" w:rsidP="000C04ED">
            <w:pPr>
              <w:pStyle w:val="tabletext11"/>
              <w:jc w:val="right"/>
            </w:pPr>
            <w:r w:rsidRPr="004C4A5C">
              <w:rPr>
                <w:b/>
              </w:rPr>
              <w:t>8.</w:t>
            </w:r>
          </w:p>
        </w:tc>
        <w:tc>
          <w:tcPr>
            <w:tcW w:w="6370" w:type="dxa"/>
            <w:gridSpan w:val="4"/>
            <w:tcBorders>
              <w:top w:val="nil"/>
              <w:left w:val="nil"/>
              <w:bottom w:val="nil"/>
              <w:right w:val="single" w:sz="6" w:space="0" w:color="auto"/>
            </w:tcBorders>
          </w:tcPr>
          <w:p w14:paraId="5252FD40" w14:textId="77777777" w:rsidR="007C1AB9" w:rsidRPr="004C4A5C" w:rsidRDefault="007C1AB9" w:rsidP="000C04ED">
            <w:pPr>
              <w:pStyle w:val="tabletext11"/>
            </w:pPr>
            <w:r w:rsidRPr="004C4A5C">
              <w:t>Silos – See "Tanks at Ground Level"</w:t>
            </w:r>
          </w:p>
        </w:tc>
      </w:tr>
      <w:tr w:rsidR="007C1AB9" w:rsidRPr="004C4A5C" w14:paraId="1A9F8401" w14:textId="77777777" w:rsidTr="005A0184">
        <w:trPr>
          <w:cantSplit/>
          <w:trHeight w:val="190"/>
        </w:trPr>
        <w:tc>
          <w:tcPr>
            <w:tcW w:w="200" w:type="dxa"/>
            <w:tcBorders>
              <w:top w:val="nil"/>
              <w:left w:val="nil"/>
              <w:bottom w:val="nil"/>
              <w:right w:val="single" w:sz="6" w:space="0" w:color="auto"/>
            </w:tcBorders>
          </w:tcPr>
          <w:p w14:paraId="7513D1D0"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14651552" w14:textId="77777777" w:rsidR="007C1AB9" w:rsidRPr="004C4A5C" w:rsidRDefault="007C1AB9" w:rsidP="000C04ED">
            <w:pPr>
              <w:pStyle w:val="tabletext11"/>
              <w:jc w:val="center"/>
            </w:pPr>
          </w:p>
        </w:tc>
        <w:tc>
          <w:tcPr>
            <w:tcW w:w="900" w:type="dxa"/>
            <w:tcBorders>
              <w:top w:val="nil"/>
              <w:left w:val="single" w:sz="6" w:space="0" w:color="auto"/>
              <w:bottom w:val="nil"/>
              <w:right w:val="nil"/>
            </w:tcBorders>
          </w:tcPr>
          <w:p w14:paraId="04EFAEE7" w14:textId="77777777" w:rsidR="007C1AB9" w:rsidRPr="004C4A5C" w:rsidRDefault="007C1AB9" w:rsidP="000C04ED">
            <w:pPr>
              <w:pStyle w:val="tabletext11"/>
              <w:jc w:val="right"/>
            </w:pPr>
          </w:p>
        </w:tc>
        <w:tc>
          <w:tcPr>
            <w:tcW w:w="780" w:type="dxa"/>
            <w:tcBorders>
              <w:top w:val="nil"/>
              <w:left w:val="nil"/>
              <w:bottom w:val="nil"/>
              <w:right w:val="single" w:sz="6" w:space="0" w:color="auto"/>
            </w:tcBorders>
          </w:tcPr>
          <w:p w14:paraId="7A158BA9"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279BD7FE" w14:textId="77777777" w:rsidR="007C1AB9" w:rsidRPr="004C4A5C" w:rsidRDefault="007C1AB9" w:rsidP="000C04ED">
            <w:pPr>
              <w:pStyle w:val="tabletext11"/>
              <w:jc w:val="right"/>
            </w:pPr>
            <w:r w:rsidRPr="004C4A5C">
              <w:rPr>
                <w:b/>
              </w:rPr>
              <w:t>9.</w:t>
            </w:r>
          </w:p>
        </w:tc>
        <w:tc>
          <w:tcPr>
            <w:tcW w:w="6370" w:type="dxa"/>
            <w:gridSpan w:val="4"/>
            <w:tcBorders>
              <w:top w:val="nil"/>
              <w:left w:val="nil"/>
              <w:bottom w:val="nil"/>
              <w:right w:val="single" w:sz="6" w:space="0" w:color="auto"/>
            </w:tcBorders>
          </w:tcPr>
          <w:p w14:paraId="20BA0005" w14:textId="77777777" w:rsidR="007C1AB9" w:rsidRPr="004C4A5C" w:rsidRDefault="007C1AB9" w:rsidP="000C04ED">
            <w:pPr>
              <w:pStyle w:val="tabletext11"/>
            </w:pPr>
            <w:r w:rsidRPr="004C4A5C">
              <w:t>Stacks</w:t>
            </w:r>
          </w:p>
        </w:tc>
      </w:tr>
      <w:tr w:rsidR="007C1AB9" w:rsidRPr="004C4A5C" w14:paraId="1134AA89" w14:textId="77777777" w:rsidTr="005A0184">
        <w:trPr>
          <w:cantSplit/>
          <w:trHeight w:val="190"/>
        </w:trPr>
        <w:tc>
          <w:tcPr>
            <w:tcW w:w="200" w:type="dxa"/>
            <w:tcBorders>
              <w:top w:val="nil"/>
              <w:left w:val="nil"/>
              <w:bottom w:val="nil"/>
              <w:right w:val="single" w:sz="6" w:space="0" w:color="auto"/>
            </w:tcBorders>
          </w:tcPr>
          <w:p w14:paraId="7497D913"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006FAF62" w14:textId="77777777" w:rsidR="007C1AB9" w:rsidRPr="004C4A5C" w:rsidRDefault="007C1AB9" w:rsidP="000C04ED">
            <w:pPr>
              <w:pStyle w:val="tabletext11"/>
              <w:jc w:val="center"/>
            </w:pPr>
            <w:r w:rsidRPr="004C4A5C">
              <w:t>C1</w:t>
            </w:r>
          </w:p>
        </w:tc>
        <w:tc>
          <w:tcPr>
            <w:tcW w:w="900" w:type="dxa"/>
            <w:tcBorders>
              <w:top w:val="nil"/>
              <w:left w:val="single" w:sz="6" w:space="0" w:color="auto"/>
              <w:bottom w:val="nil"/>
              <w:right w:val="nil"/>
            </w:tcBorders>
          </w:tcPr>
          <w:p w14:paraId="57A7F148"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60E03737"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14B3190B" w14:textId="77777777" w:rsidR="007C1AB9" w:rsidRPr="004C4A5C" w:rsidRDefault="007C1AB9" w:rsidP="000C04ED">
            <w:pPr>
              <w:pStyle w:val="tabletext11"/>
              <w:jc w:val="right"/>
              <w:rPr>
                <w:b/>
              </w:rPr>
            </w:pPr>
          </w:p>
        </w:tc>
        <w:tc>
          <w:tcPr>
            <w:tcW w:w="300" w:type="dxa"/>
            <w:tcBorders>
              <w:top w:val="nil"/>
              <w:left w:val="nil"/>
              <w:bottom w:val="nil"/>
              <w:right w:val="nil"/>
            </w:tcBorders>
          </w:tcPr>
          <w:p w14:paraId="35D4693A" w14:textId="77777777" w:rsidR="007C1AB9" w:rsidRPr="004C4A5C" w:rsidRDefault="007C1AB9" w:rsidP="000C04ED">
            <w:pPr>
              <w:pStyle w:val="tabletext11"/>
              <w:jc w:val="right"/>
              <w:rPr>
                <w:b/>
              </w:rPr>
            </w:pPr>
            <w:r w:rsidRPr="004C4A5C">
              <w:rPr>
                <w:b/>
              </w:rPr>
              <w:t>a.</w:t>
            </w:r>
          </w:p>
        </w:tc>
        <w:tc>
          <w:tcPr>
            <w:tcW w:w="6070" w:type="dxa"/>
            <w:gridSpan w:val="3"/>
            <w:tcBorders>
              <w:top w:val="nil"/>
              <w:left w:val="nil"/>
              <w:bottom w:val="nil"/>
              <w:right w:val="single" w:sz="6" w:space="0" w:color="auto"/>
            </w:tcBorders>
          </w:tcPr>
          <w:p w14:paraId="30D5B2AF" w14:textId="77777777" w:rsidR="007C1AB9" w:rsidRPr="004C4A5C" w:rsidRDefault="007C1AB9" w:rsidP="000C04ED">
            <w:pPr>
              <w:pStyle w:val="tabletext11"/>
            </w:pPr>
            <w:r w:rsidRPr="004C4A5C">
              <w:t>Steel</w:t>
            </w:r>
          </w:p>
        </w:tc>
      </w:tr>
      <w:tr w:rsidR="007C1AB9" w:rsidRPr="004C4A5C" w14:paraId="746F1F08" w14:textId="77777777" w:rsidTr="005A0184">
        <w:trPr>
          <w:cantSplit/>
          <w:trHeight w:val="190"/>
        </w:trPr>
        <w:tc>
          <w:tcPr>
            <w:tcW w:w="200" w:type="dxa"/>
            <w:tcBorders>
              <w:top w:val="nil"/>
              <w:left w:val="nil"/>
              <w:bottom w:val="nil"/>
              <w:right w:val="single" w:sz="6" w:space="0" w:color="auto"/>
            </w:tcBorders>
          </w:tcPr>
          <w:p w14:paraId="2C7EFDC5"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1EDA4AA8" w14:textId="77777777" w:rsidR="007C1AB9" w:rsidRPr="004C4A5C" w:rsidRDefault="007C1AB9" w:rsidP="000C04ED">
            <w:pPr>
              <w:pStyle w:val="tabletext11"/>
              <w:jc w:val="center"/>
            </w:pPr>
            <w:r w:rsidRPr="004C4A5C">
              <w:t>C1</w:t>
            </w:r>
          </w:p>
        </w:tc>
        <w:tc>
          <w:tcPr>
            <w:tcW w:w="900" w:type="dxa"/>
            <w:tcBorders>
              <w:top w:val="nil"/>
              <w:left w:val="single" w:sz="6" w:space="0" w:color="auto"/>
              <w:bottom w:val="nil"/>
              <w:right w:val="nil"/>
            </w:tcBorders>
          </w:tcPr>
          <w:p w14:paraId="376ECB93"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30849740"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69AB4BB6" w14:textId="77777777" w:rsidR="007C1AB9" w:rsidRPr="004C4A5C" w:rsidRDefault="007C1AB9" w:rsidP="000C04ED">
            <w:pPr>
              <w:pStyle w:val="tabletext11"/>
              <w:jc w:val="right"/>
              <w:rPr>
                <w:b/>
              </w:rPr>
            </w:pPr>
          </w:p>
        </w:tc>
        <w:tc>
          <w:tcPr>
            <w:tcW w:w="300" w:type="dxa"/>
            <w:tcBorders>
              <w:top w:val="nil"/>
              <w:left w:val="nil"/>
              <w:bottom w:val="nil"/>
              <w:right w:val="nil"/>
            </w:tcBorders>
          </w:tcPr>
          <w:p w14:paraId="6B8480AC" w14:textId="77777777" w:rsidR="007C1AB9" w:rsidRPr="004C4A5C" w:rsidRDefault="007C1AB9" w:rsidP="000C04ED">
            <w:pPr>
              <w:pStyle w:val="tabletext11"/>
              <w:jc w:val="right"/>
              <w:rPr>
                <w:b/>
              </w:rPr>
            </w:pPr>
            <w:r w:rsidRPr="004C4A5C">
              <w:rPr>
                <w:b/>
              </w:rPr>
              <w:t>b.</w:t>
            </w:r>
          </w:p>
        </w:tc>
        <w:tc>
          <w:tcPr>
            <w:tcW w:w="6070" w:type="dxa"/>
            <w:gridSpan w:val="3"/>
            <w:tcBorders>
              <w:top w:val="nil"/>
              <w:left w:val="nil"/>
              <w:bottom w:val="nil"/>
              <w:right w:val="single" w:sz="6" w:space="0" w:color="auto"/>
            </w:tcBorders>
          </w:tcPr>
          <w:p w14:paraId="5549347A" w14:textId="77777777" w:rsidR="007C1AB9" w:rsidRPr="004C4A5C" w:rsidRDefault="007C1AB9" w:rsidP="000C04ED">
            <w:pPr>
              <w:pStyle w:val="tabletext11"/>
            </w:pPr>
            <w:r w:rsidRPr="004C4A5C">
              <w:t>Reinforced concrete</w:t>
            </w:r>
          </w:p>
        </w:tc>
      </w:tr>
      <w:tr w:rsidR="007C1AB9" w:rsidRPr="004C4A5C" w14:paraId="00ADFD83" w14:textId="77777777" w:rsidTr="005A0184">
        <w:trPr>
          <w:cantSplit/>
          <w:trHeight w:val="190"/>
        </w:trPr>
        <w:tc>
          <w:tcPr>
            <w:tcW w:w="200" w:type="dxa"/>
            <w:tcBorders>
              <w:top w:val="nil"/>
              <w:left w:val="nil"/>
              <w:bottom w:val="nil"/>
              <w:right w:val="single" w:sz="6" w:space="0" w:color="auto"/>
            </w:tcBorders>
          </w:tcPr>
          <w:p w14:paraId="660679A1"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2174FBEB" w14:textId="77777777" w:rsidR="007C1AB9" w:rsidRPr="004C4A5C" w:rsidRDefault="007C1AB9" w:rsidP="000C04ED">
            <w:pPr>
              <w:pStyle w:val="tabletext11"/>
              <w:jc w:val="center"/>
            </w:pPr>
            <w:r w:rsidRPr="004C4A5C">
              <w:t>E3</w:t>
            </w:r>
          </w:p>
        </w:tc>
        <w:tc>
          <w:tcPr>
            <w:tcW w:w="900" w:type="dxa"/>
            <w:tcBorders>
              <w:top w:val="nil"/>
              <w:left w:val="single" w:sz="6" w:space="0" w:color="auto"/>
              <w:bottom w:val="nil"/>
              <w:right w:val="nil"/>
            </w:tcBorders>
          </w:tcPr>
          <w:p w14:paraId="1FF12577"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0136F776"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34C02A4E" w14:textId="77777777" w:rsidR="007C1AB9" w:rsidRPr="004C4A5C" w:rsidRDefault="007C1AB9" w:rsidP="000C04ED">
            <w:pPr>
              <w:pStyle w:val="tabletext11"/>
              <w:jc w:val="right"/>
              <w:rPr>
                <w:b/>
              </w:rPr>
            </w:pPr>
          </w:p>
        </w:tc>
        <w:tc>
          <w:tcPr>
            <w:tcW w:w="300" w:type="dxa"/>
            <w:tcBorders>
              <w:top w:val="nil"/>
              <w:left w:val="nil"/>
              <w:bottom w:val="nil"/>
              <w:right w:val="nil"/>
            </w:tcBorders>
          </w:tcPr>
          <w:p w14:paraId="4B23D445" w14:textId="77777777" w:rsidR="007C1AB9" w:rsidRPr="004C4A5C" w:rsidRDefault="007C1AB9" w:rsidP="000C04ED">
            <w:pPr>
              <w:pStyle w:val="tabletext11"/>
              <w:jc w:val="right"/>
              <w:rPr>
                <w:b/>
              </w:rPr>
            </w:pPr>
            <w:r w:rsidRPr="004C4A5C">
              <w:rPr>
                <w:b/>
              </w:rPr>
              <w:t>c.</w:t>
            </w:r>
          </w:p>
        </w:tc>
        <w:tc>
          <w:tcPr>
            <w:tcW w:w="6070" w:type="dxa"/>
            <w:gridSpan w:val="3"/>
            <w:tcBorders>
              <w:top w:val="nil"/>
              <w:left w:val="nil"/>
              <w:bottom w:val="nil"/>
              <w:right w:val="single" w:sz="6" w:space="0" w:color="auto"/>
            </w:tcBorders>
          </w:tcPr>
          <w:p w14:paraId="3893298E" w14:textId="77777777" w:rsidR="007C1AB9" w:rsidRPr="004C4A5C" w:rsidRDefault="007C1AB9" w:rsidP="000C04ED">
            <w:pPr>
              <w:pStyle w:val="tabletext11"/>
            </w:pPr>
            <w:r w:rsidRPr="004C4A5C">
              <w:t>Brick</w:t>
            </w:r>
          </w:p>
        </w:tc>
      </w:tr>
      <w:tr w:rsidR="007C1AB9" w:rsidRPr="004C4A5C" w14:paraId="1B49A524" w14:textId="77777777" w:rsidTr="005A0184">
        <w:trPr>
          <w:cantSplit/>
          <w:trHeight w:val="190"/>
        </w:trPr>
        <w:tc>
          <w:tcPr>
            <w:tcW w:w="200" w:type="dxa"/>
            <w:tcBorders>
              <w:top w:val="nil"/>
              <w:left w:val="nil"/>
              <w:bottom w:val="nil"/>
              <w:right w:val="single" w:sz="6" w:space="0" w:color="auto"/>
            </w:tcBorders>
          </w:tcPr>
          <w:p w14:paraId="2DE344A9"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02CDD879" w14:textId="77777777" w:rsidR="007C1AB9" w:rsidRPr="004C4A5C" w:rsidRDefault="007C1AB9" w:rsidP="000C04ED">
            <w:pPr>
              <w:pStyle w:val="tabletext11"/>
              <w:jc w:val="center"/>
            </w:pPr>
          </w:p>
        </w:tc>
        <w:tc>
          <w:tcPr>
            <w:tcW w:w="900" w:type="dxa"/>
            <w:tcBorders>
              <w:top w:val="nil"/>
              <w:left w:val="single" w:sz="6" w:space="0" w:color="auto"/>
              <w:bottom w:val="nil"/>
              <w:right w:val="nil"/>
            </w:tcBorders>
          </w:tcPr>
          <w:p w14:paraId="2DF6471A" w14:textId="77777777" w:rsidR="007C1AB9" w:rsidRPr="004C4A5C" w:rsidRDefault="007C1AB9" w:rsidP="000C04ED">
            <w:pPr>
              <w:pStyle w:val="tabletext11"/>
              <w:jc w:val="right"/>
            </w:pPr>
          </w:p>
        </w:tc>
        <w:tc>
          <w:tcPr>
            <w:tcW w:w="780" w:type="dxa"/>
            <w:tcBorders>
              <w:top w:val="nil"/>
              <w:left w:val="nil"/>
              <w:bottom w:val="nil"/>
              <w:right w:val="single" w:sz="6" w:space="0" w:color="auto"/>
            </w:tcBorders>
          </w:tcPr>
          <w:p w14:paraId="5C1287ED"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4DF56F45" w14:textId="77777777" w:rsidR="007C1AB9" w:rsidRPr="004C4A5C" w:rsidRDefault="007C1AB9" w:rsidP="000C04ED">
            <w:pPr>
              <w:pStyle w:val="tabletext11"/>
              <w:jc w:val="right"/>
              <w:rPr>
                <w:b/>
              </w:rPr>
            </w:pPr>
            <w:r w:rsidRPr="004C4A5C">
              <w:rPr>
                <w:b/>
              </w:rPr>
              <w:t>10.</w:t>
            </w:r>
          </w:p>
        </w:tc>
        <w:tc>
          <w:tcPr>
            <w:tcW w:w="6370" w:type="dxa"/>
            <w:gridSpan w:val="4"/>
            <w:tcBorders>
              <w:top w:val="nil"/>
              <w:left w:val="nil"/>
              <w:bottom w:val="nil"/>
              <w:right w:val="single" w:sz="6" w:space="0" w:color="auto"/>
            </w:tcBorders>
          </w:tcPr>
          <w:p w14:paraId="5BBA75E4" w14:textId="77777777" w:rsidR="007C1AB9" w:rsidRPr="004C4A5C" w:rsidRDefault="007C1AB9" w:rsidP="000C04ED">
            <w:pPr>
              <w:pStyle w:val="tabletext11"/>
            </w:pPr>
            <w:r w:rsidRPr="004C4A5C">
              <w:t>Tanks</w:t>
            </w:r>
          </w:p>
        </w:tc>
      </w:tr>
      <w:tr w:rsidR="007C1AB9" w:rsidRPr="004C4A5C" w14:paraId="7C98CCD9" w14:textId="77777777" w:rsidTr="005A0184">
        <w:trPr>
          <w:cantSplit/>
          <w:trHeight w:val="190"/>
        </w:trPr>
        <w:tc>
          <w:tcPr>
            <w:tcW w:w="200" w:type="dxa"/>
            <w:tcBorders>
              <w:top w:val="nil"/>
              <w:left w:val="nil"/>
              <w:bottom w:val="nil"/>
              <w:right w:val="single" w:sz="6" w:space="0" w:color="auto"/>
            </w:tcBorders>
          </w:tcPr>
          <w:p w14:paraId="73510C79"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07587938" w14:textId="77777777" w:rsidR="007C1AB9" w:rsidRPr="004C4A5C" w:rsidRDefault="007C1AB9" w:rsidP="000C04ED">
            <w:pPr>
              <w:pStyle w:val="tabletext11"/>
              <w:jc w:val="center"/>
            </w:pPr>
          </w:p>
        </w:tc>
        <w:tc>
          <w:tcPr>
            <w:tcW w:w="900" w:type="dxa"/>
            <w:tcBorders>
              <w:top w:val="nil"/>
              <w:left w:val="single" w:sz="6" w:space="0" w:color="auto"/>
              <w:bottom w:val="nil"/>
              <w:right w:val="nil"/>
            </w:tcBorders>
          </w:tcPr>
          <w:p w14:paraId="682F052D" w14:textId="77777777" w:rsidR="007C1AB9" w:rsidRPr="004C4A5C" w:rsidRDefault="007C1AB9" w:rsidP="000C04ED">
            <w:pPr>
              <w:pStyle w:val="tabletext11"/>
              <w:jc w:val="right"/>
            </w:pPr>
          </w:p>
        </w:tc>
        <w:tc>
          <w:tcPr>
            <w:tcW w:w="780" w:type="dxa"/>
            <w:tcBorders>
              <w:top w:val="nil"/>
              <w:left w:val="nil"/>
              <w:bottom w:val="nil"/>
              <w:right w:val="single" w:sz="6" w:space="0" w:color="auto"/>
            </w:tcBorders>
          </w:tcPr>
          <w:p w14:paraId="6EE67326"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19DC76E9" w14:textId="77777777" w:rsidR="007C1AB9" w:rsidRPr="004C4A5C" w:rsidRDefault="007C1AB9" w:rsidP="000C04ED">
            <w:pPr>
              <w:pStyle w:val="tabletext11"/>
              <w:jc w:val="right"/>
              <w:rPr>
                <w:b/>
              </w:rPr>
            </w:pPr>
          </w:p>
        </w:tc>
        <w:tc>
          <w:tcPr>
            <w:tcW w:w="300" w:type="dxa"/>
            <w:tcBorders>
              <w:top w:val="nil"/>
              <w:left w:val="nil"/>
              <w:bottom w:val="nil"/>
              <w:right w:val="nil"/>
            </w:tcBorders>
          </w:tcPr>
          <w:p w14:paraId="39CA9718" w14:textId="77777777" w:rsidR="007C1AB9" w:rsidRPr="004C4A5C" w:rsidRDefault="007C1AB9" w:rsidP="000C04ED">
            <w:pPr>
              <w:pStyle w:val="tabletext11"/>
              <w:jc w:val="right"/>
            </w:pPr>
            <w:r w:rsidRPr="004C4A5C">
              <w:rPr>
                <w:b/>
              </w:rPr>
              <w:t>a.</w:t>
            </w:r>
          </w:p>
        </w:tc>
        <w:tc>
          <w:tcPr>
            <w:tcW w:w="6070" w:type="dxa"/>
            <w:gridSpan w:val="3"/>
            <w:tcBorders>
              <w:top w:val="nil"/>
              <w:left w:val="nil"/>
              <w:bottom w:val="nil"/>
              <w:right w:val="single" w:sz="6" w:space="0" w:color="auto"/>
            </w:tcBorders>
          </w:tcPr>
          <w:p w14:paraId="2C135461" w14:textId="77777777" w:rsidR="007C1AB9" w:rsidRPr="004C4A5C" w:rsidRDefault="007C1AB9" w:rsidP="000C04ED">
            <w:pPr>
              <w:pStyle w:val="tabletext11"/>
            </w:pPr>
            <w:r w:rsidRPr="004C4A5C">
              <w:t>Tanks at ground level</w:t>
            </w:r>
          </w:p>
        </w:tc>
      </w:tr>
      <w:tr w:rsidR="007C1AB9" w:rsidRPr="004C4A5C" w14:paraId="401ECAC3" w14:textId="77777777" w:rsidTr="005A0184">
        <w:trPr>
          <w:cantSplit/>
          <w:trHeight w:val="190"/>
        </w:trPr>
        <w:tc>
          <w:tcPr>
            <w:tcW w:w="200" w:type="dxa"/>
            <w:tcBorders>
              <w:top w:val="nil"/>
              <w:left w:val="nil"/>
              <w:bottom w:val="nil"/>
              <w:right w:val="single" w:sz="6" w:space="0" w:color="auto"/>
            </w:tcBorders>
          </w:tcPr>
          <w:p w14:paraId="0CF7A934"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1422F9D9" w14:textId="77777777" w:rsidR="007C1AB9" w:rsidRPr="004C4A5C" w:rsidRDefault="007C1AB9" w:rsidP="000C04ED">
            <w:pPr>
              <w:pStyle w:val="tabletext11"/>
              <w:jc w:val="center"/>
            </w:pPr>
          </w:p>
        </w:tc>
        <w:tc>
          <w:tcPr>
            <w:tcW w:w="900" w:type="dxa"/>
            <w:tcBorders>
              <w:top w:val="nil"/>
              <w:left w:val="single" w:sz="6" w:space="0" w:color="auto"/>
              <w:bottom w:val="nil"/>
              <w:right w:val="nil"/>
            </w:tcBorders>
          </w:tcPr>
          <w:p w14:paraId="1CD7B806" w14:textId="77777777" w:rsidR="007C1AB9" w:rsidRPr="004C4A5C" w:rsidRDefault="007C1AB9" w:rsidP="000C04ED">
            <w:pPr>
              <w:pStyle w:val="tabletext11"/>
              <w:jc w:val="right"/>
            </w:pPr>
          </w:p>
        </w:tc>
        <w:tc>
          <w:tcPr>
            <w:tcW w:w="780" w:type="dxa"/>
            <w:tcBorders>
              <w:top w:val="nil"/>
              <w:left w:val="nil"/>
              <w:bottom w:val="nil"/>
              <w:right w:val="single" w:sz="6" w:space="0" w:color="auto"/>
            </w:tcBorders>
          </w:tcPr>
          <w:p w14:paraId="1ABB8EE1" w14:textId="77777777" w:rsidR="007C1AB9" w:rsidRPr="004C4A5C" w:rsidRDefault="007C1AB9" w:rsidP="000C04ED">
            <w:pPr>
              <w:pStyle w:val="tabletext11"/>
            </w:pPr>
          </w:p>
        </w:tc>
        <w:tc>
          <w:tcPr>
            <w:tcW w:w="720" w:type="dxa"/>
            <w:gridSpan w:val="2"/>
            <w:tcBorders>
              <w:top w:val="nil"/>
              <w:left w:val="single" w:sz="6" w:space="0" w:color="auto"/>
              <w:bottom w:val="nil"/>
              <w:right w:val="nil"/>
            </w:tcBorders>
          </w:tcPr>
          <w:p w14:paraId="28651945" w14:textId="77777777" w:rsidR="007C1AB9" w:rsidRPr="004C4A5C" w:rsidRDefault="007C1AB9" w:rsidP="000C04ED">
            <w:pPr>
              <w:pStyle w:val="tabletext11"/>
              <w:jc w:val="right"/>
              <w:rPr>
                <w:b/>
              </w:rPr>
            </w:pPr>
          </w:p>
        </w:tc>
        <w:tc>
          <w:tcPr>
            <w:tcW w:w="320" w:type="dxa"/>
            <w:tcBorders>
              <w:top w:val="nil"/>
              <w:left w:val="nil"/>
              <w:bottom w:val="nil"/>
              <w:right w:val="nil"/>
            </w:tcBorders>
          </w:tcPr>
          <w:p w14:paraId="49872323" w14:textId="77777777" w:rsidR="007C1AB9" w:rsidRPr="004C4A5C" w:rsidRDefault="007C1AB9" w:rsidP="000C04ED">
            <w:pPr>
              <w:pStyle w:val="tabletext11"/>
              <w:jc w:val="right"/>
              <w:rPr>
                <w:b/>
              </w:rPr>
            </w:pPr>
            <w:r w:rsidRPr="004C4A5C">
              <w:rPr>
                <w:b/>
              </w:rPr>
              <w:t>(1)</w:t>
            </w:r>
          </w:p>
        </w:tc>
        <w:tc>
          <w:tcPr>
            <w:tcW w:w="5750" w:type="dxa"/>
            <w:gridSpan w:val="2"/>
            <w:tcBorders>
              <w:top w:val="nil"/>
              <w:left w:val="nil"/>
              <w:bottom w:val="nil"/>
              <w:right w:val="single" w:sz="6" w:space="0" w:color="auto"/>
            </w:tcBorders>
          </w:tcPr>
          <w:p w14:paraId="605BE2F5" w14:textId="77777777" w:rsidR="007C1AB9" w:rsidRPr="004C4A5C" w:rsidRDefault="007C1AB9" w:rsidP="000C04ED">
            <w:pPr>
              <w:pStyle w:val="tabletext11"/>
            </w:pPr>
            <w:r w:rsidRPr="004C4A5C">
              <w:t>Steel and reinforced concrete tanks</w:t>
            </w:r>
          </w:p>
        </w:tc>
      </w:tr>
      <w:tr w:rsidR="007C1AB9" w:rsidRPr="004C4A5C" w14:paraId="642A2079" w14:textId="77777777" w:rsidTr="005A0184">
        <w:trPr>
          <w:cantSplit/>
          <w:trHeight w:val="190"/>
        </w:trPr>
        <w:tc>
          <w:tcPr>
            <w:tcW w:w="200" w:type="dxa"/>
            <w:tcBorders>
              <w:top w:val="nil"/>
              <w:left w:val="nil"/>
              <w:bottom w:val="nil"/>
              <w:right w:val="single" w:sz="6" w:space="0" w:color="auto"/>
            </w:tcBorders>
          </w:tcPr>
          <w:p w14:paraId="78557B0B"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025E5DE5" w14:textId="77777777" w:rsidR="007C1AB9" w:rsidRPr="004C4A5C" w:rsidRDefault="007C1AB9" w:rsidP="000C04ED">
            <w:pPr>
              <w:pStyle w:val="tabletext11"/>
              <w:jc w:val="center"/>
            </w:pPr>
            <w:r w:rsidRPr="004C4A5C">
              <w:t>A1</w:t>
            </w:r>
          </w:p>
        </w:tc>
        <w:tc>
          <w:tcPr>
            <w:tcW w:w="900" w:type="dxa"/>
            <w:tcBorders>
              <w:top w:val="nil"/>
              <w:left w:val="single" w:sz="6" w:space="0" w:color="auto"/>
              <w:bottom w:val="nil"/>
              <w:right w:val="nil"/>
            </w:tcBorders>
          </w:tcPr>
          <w:p w14:paraId="7944C845"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5EC3F41B" w14:textId="77777777" w:rsidR="007C1AB9" w:rsidRPr="004C4A5C" w:rsidRDefault="007C1AB9" w:rsidP="000C04ED">
            <w:pPr>
              <w:pStyle w:val="tabletext11"/>
            </w:pPr>
          </w:p>
        </w:tc>
        <w:tc>
          <w:tcPr>
            <w:tcW w:w="720" w:type="dxa"/>
            <w:gridSpan w:val="2"/>
            <w:tcBorders>
              <w:top w:val="nil"/>
              <w:left w:val="single" w:sz="6" w:space="0" w:color="auto"/>
              <w:bottom w:val="nil"/>
              <w:right w:val="nil"/>
            </w:tcBorders>
          </w:tcPr>
          <w:p w14:paraId="1E789617" w14:textId="77777777" w:rsidR="007C1AB9" w:rsidRPr="004C4A5C" w:rsidRDefault="007C1AB9" w:rsidP="000C04ED">
            <w:pPr>
              <w:pStyle w:val="tabletext11"/>
              <w:jc w:val="right"/>
              <w:rPr>
                <w:b/>
              </w:rPr>
            </w:pPr>
          </w:p>
        </w:tc>
        <w:tc>
          <w:tcPr>
            <w:tcW w:w="320" w:type="dxa"/>
            <w:tcBorders>
              <w:top w:val="nil"/>
              <w:left w:val="nil"/>
              <w:bottom w:val="nil"/>
              <w:right w:val="nil"/>
            </w:tcBorders>
          </w:tcPr>
          <w:p w14:paraId="1322A183" w14:textId="77777777" w:rsidR="007C1AB9" w:rsidRPr="004C4A5C" w:rsidRDefault="007C1AB9" w:rsidP="000C04ED">
            <w:pPr>
              <w:pStyle w:val="tabletext11"/>
              <w:jc w:val="right"/>
            </w:pPr>
          </w:p>
        </w:tc>
        <w:tc>
          <w:tcPr>
            <w:tcW w:w="340" w:type="dxa"/>
            <w:tcBorders>
              <w:top w:val="nil"/>
              <w:left w:val="nil"/>
              <w:bottom w:val="nil"/>
              <w:right w:val="nil"/>
            </w:tcBorders>
          </w:tcPr>
          <w:p w14:paraId="329AD810" w14:textId="77777777" w:rsidR="007C1AB9" w:rsidRPr="004C4A5C" w:rsidRDefault="007C1AB9" w:rsidP="000C04ED">
            <w:pPr>
              <w:pStyle w:val="tabletext11"/>
              <w:jc w:val="right"/>
              <w:rPr>
                <w:b/>
              </w:rPr>
            </w:pPr>
            <w:r w:rsidRPr="004C4A5C">
              <w:rPr>
                <w:b/>
              </w:rPr>
              <w:t>(a)</w:t>
            </w:r>
          </w:p>
        </w:tc>
        <w:tc>
          <w:tcPr>
            <w:tcW w:w="5410" w:type="dxa"/>
            <w:tcBorders>
              <w:top w:val="nil"/>
              <w:left w:val="nil"/>
              <w:bottom w:val="nil"/>
              <w:right w:val="single" w:sz="6" w:space="0" w:color="auto"/>
            </w:tcBorders>
          </w:tcPr>
          <w:p w14:paraId="795F9D80" w14:textId="77777777" w:rsidR="007C1AB9" w:rsidRPr="004C4A5C" w:rsidRDefault="007C1AB9" w:rsidP="000C04ED">
            <w:pPr>
              <w:pStyle w:val="tabletext11"/>
            </w:pPr>
            <w:r w:rsidRPr="004C4A5C">
              <w:t>Height-to-diameter ratio less than 1</w:t>
            </w:r>
          </w:p>
        </w:tc>
      </w:tr>
      <w:tr w:rsidR="007C1AB9" w:rsidRPr="004C4A5C" w14:paraId="13BDB1FD" w14:textId="77777777" w:rsidTr="005A0184">
        <w:trPr>
          <w:cantSplit/>
          <w:trHeight w:val="190"/>
        </w:trPr>
        <w:tc>
          <w:tcPr>
            <w:tcW w:w="200" w:type="dxa"/>
            <w:tcBorders>
              <w:top w:val="nil"/>
              <w:left w:val="nil"/>
              <w:bottom w:val="nil"/>
              <w:right w:val="single" w:sz="6" w:space="0" w:color="auto"/>
            </w:tcBorders>
          </w:tcPr>
          <w:p w14:paraId="3F2CAE3B"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3024D2F8" w14:textId="77777777" w:rsidR="007C1AB9" w:rsidRPr="004C4A5C" w:rsidRDefault="007C1AB9" w:rsidP="000C04ED">
            <w:pPr>
              <w:pStyle w:val="tabletext11"/>
              <w:jc w:val="center"/>
            </w:pPr>
            <w:r w:rsidRPr="004C4A5C">
              <w:t>C1</w:t>
            </w:r>
          </w:p>
        </w:tc>
        <w:tc>
          <w:tcPr>
            <w:tcW w:w="900" w:type="dxa"/>
            <w:tcBorders>
              <w:top w:val="nil"/>
              <w:left w:val="single" w:sz="6" w:space="0" w:color="auto"/>
              <w:bottom w:val="nil"/>
              <w:right w:val="nil"/>
            </w:tcBorders>
          </w:tcPr>
          <w:p w14:paraId="0FBE3D27"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103CB878" w14:textId="77777777" w:rsidR="007C1AB9" w:rsidRPr="004C4A5C" w:rsidRDefault="007C1AB9" w:rsidP="000C04ED">
            <w:pPr>
              <w:pStyle w:val="tabletext11"/>
            </w:pPr>
          </w:p>
        </w:tc>
        <w:tc>
          <w:tcPr>
            <w:tcW w:w="720" w:type="dxa"/>
            <w:gridSpan w:val="2"/>
            <w:tcBorders>
              <w:top w:val="nil"/>
              <w:left w:val="single" w:sz="6" w:space="0" w:color="auto"/>
              <w:bottom w:val="nil"/>
              <w:right w:val="nil"/>
            </w:tcBorders>
          </w:tcPr>
          <w:p w14:paraId="047D8906" w14:textId="77777777" w:rsidR="007C1AB9" w:rsidRPr="004C4A5C" w:rsidRDefault="007C1AB9" w:rsidP="000C04ED">
            <w:pPr>
              <w:pStyle w:val="tabletext11"/>
              <w:jc w:val="right"/>
              <w:rPr>
                <w:b/>
              </w:rPr>
            </w:pPr>
          </w:p>
        </w:tc>
        <w:tc>
          <w:tcPr>
            <w:tcW w:w="320" w:type="dxa"/>
            <w:tcBorders>
              <w:top w:val="nil"/>
              <w:left w:val="nil"/>
              <w:bottom w:val="nil"/>
              <w:right w:val="nil"/>
            </w:tcBorders>
          </w:tcPr>
          <w:p w14:paraId="5EFE4BD9" w14:textId="77777777" w:rsidR="007C1AB9" w:rsidRPr="004C4A5C" w:rsidRDefault="007C1AB9" w:rsidP="000C04ED">
            <w:pPr>
              <w:pStyle w:val="tabletext11"/>
              <w:jc w:val="right"/>
            </w:pPr>
          </w:p>
        </w:tc>
        <w:tc>
          <w:tcPr>
            <w:tcW w:w="340" w:type="dxa"/>
            <w:tcBorders>
              <w:top w:val="nil"/>
              <w:left w:val="nil"/>
              <w:bottom w:val="nil"/>
              <w:right w:val="nil"/>
            </w:tcBorders>
          </w:tcPr>
          <w:p w14:paraId="5CB0A52A" w14:textId="77777777" w:rsidR="007C1AB9" w:rsidRPr="004C4A5C" w:rsidRDefault="007C1AB9" w:rsidP="000C04ED">
            <w:pPr>
              <w:pStyle w:val="tabletext11"/>
              <w:jc w:val="right"/>
              <w:rPr>
                <w:b/>
              </w:rPr>
            </w:pPr>
            <w:r w:rsidRPr="004C4A5C">
              <w:rPr>
                <w:b/>
              </w:rPr>
              <w:t>(b)</w:t>
            </w:r>
          </w:p>
        </w:tc>
        <w:tc>
          <w:tcPr>
            <w:tcW w:w="5410" w:type="dxa"/>
            <w:tcBorders>
              <w:top w:val="nil"/>
              <w:left w:val="nil"/>
              <w:bottom w:val="nil"/>
              <w:right w:val="single" w:sz="6" w:space="0" w:color="auto"/>
            </w:tcBorders>
          </w:tcPr>
          <w:p w14:paraId="7FBD1438" w14:textId="77777777" w:rsidR="007C1AB9" w:rsidRPr="004C4A5C" w:rsidRDefault="007C1AB9" w:rsidP="000C04ED">
            <w:pPr>
              <w:pStyle w:val="tabletext11"/>
            </w:pPr>
            <w:r w:rsidRPr="004C4A5C">
              <w:t>Height-to-diameter ratio less than 1 to 2.5</w:t>
            </w:r>
          </w:p>
        </w:tc>
      </w:tr>
      <w:tr w:rsidR="007C1AB9" w:rsidRPr="004C4A5C" w14:paraId="0C9DF97A" w14:textId="77777777" w:rsidTr="005A0184">
        <w:trPr>
          <w:cantSplit/>
          <w:trHeight w:val="190"/>
        </w:trPr>
        <w:tc>
          <w:tcPr>
            <w:tcW w:w="200" w:type="dxa"/>
            <w:tcBorders>
              <w:top w:val="nil"/>
              <w:left w:val="nil"/>
              <w:bottom w:val="nil"/>
              <w:right w:val="single" w:sz="6" w:space="0" w:color="auto"/>
            </w:tcBorders>
          </w:tcPr>
          <w:p w14:paraId="6F62044F"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1E4C3CE4" w14:textId="77777777" w:rsidR="007C1AB9" w:rsidRPr="004C4A5C" w:rsidRDefault="007C1AB9" w:rsidP="000C04ED">
            <w:pPr>
              <w:pStyle w:val="tabletext11"/>
              <w:jc w:val="center"/>
            </w:pPr>
            <w:r w:rsidRPr="004C4A5C">
              <w:t>E2</w:t>
            </w:r>
          </w:p>
        </w:tc>
        <w:tc>
          <w:tcPr>
            <w:tcW w:w="900" w:type="dxa"/>
            <w:tcBorders>
              <w:top w:val="nil"/>
              <w:left w:val="single" w:sz="6" w:space="0" w:color="auto"/>
              <w:bottom w:val="nil"/>
              <w:right w:val="nil"/>
            </w:tcBorders>
          </w:tcPr>
          <w:p w14:paraId="6DC8C9C5"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4AF18DB1" w14:textId="77777777" w:rsidR="007C1AB9" w:rsidRPr="004C4A5C" w:rsidRDefault="007C1AB9" w:rsidP="000C04ED">
            <w:pPr>
              <w:pStyle w:val="tabletext11"/>
            </w:pPr>
          </w:p>
        </w:tc>
        <w:tc>
          <w:tcPr>
            <w:tcW w:w="720" w:type="dxa"/>
            <w:gridSpan w:val="2"/>
            <w:tcBorders>
              <w:top w:val="nil"/>
              <w:left w:val="single" w:sz="6" w:space="0" w:color="auto"/>
              <w:bottom w:val="nil"/>
              <w:right w:val="nil"/>
            </w:tcBorders>
          </w:tcPr>
          <w:p w14:paraId="2FD59459" w14:textId="77777777" w:rsidR="007C1AB9" w:rsidRPr="004C4A5C" w:rsidRDefault="007C1AB9" w:rsidP="000C04ED">
            <w:pPr>
              <w:pStyle w:val="tabletext11"/>
              <w:jc w:val="right"/>
              <w:rPr>
                <w:b/>
              </w:rPr>
            </w:pPr>
          </w:p>
        </w:tc>
        <w:tc>
          <w:tcPr>
            <w:tcW w:w="320" w:type="dxa"/>
            <w:tcBorders>
              <w:top w:val="nil"/>
              <w:left w:val="nil"/>
              <w:bottom w:val="nil"/>
              <w:right w:val="nil"/>
            </w:tcBorders>
          </w:tcPr>
          <w:p w14:paraId="2FA8D407" w14:textId="77777777" w:rsidR="007C1AB9" w:rsidRPr="004C4A5C" w:rsidRDefault="007C1AB9" w:rsidP="000C04ED">
            <w:pPr>
              <w:pStyle w:val="tabletext11"/>
              <w:jc w:val="right"/>
            </w:pPr>
          </w:p>
        </w:tc>
        <w:tc>
          <w:tcPr>
            <w:tcW w:w="340" w:type="dxa"/>
            <w:tcBorders>
              <w:top w:val="nil"/>
              <w:left w:val="nil"/>
              <w:bottom w:val="nil"/>
              <w:right w:val="nil"/>
            </w:tcBorders>
          </w:tcPr>
          <w:p w14:paraId="7ADAE522" w14:textId="77777777" w:rsidR="007C1AB9" w:rsidRPr="004C4A5C" w:rsidRDefault="007C1AB9" w:rsidP="000C04ED">
            <w:pPr>
              <w:pStyle w:val="tabletext11"/>
              <w:jc w:val="right"/>
              <w:rPr>
                <w:b/>
              </w:rPr>
            </w:pPr>
            <w:r w:rsidRPr="004C4A5C">
              <w:rPr>
                <w:b/>
              </w:rPr>
              <w:t>(c)</w:t>
            </w:r>
          </w:p>
        </w:tc>
        <w:tc>
          <w:tcPr>
            <w:tcW w:w="5410" w:type="dxa"/>
            <w:tcBorders>
              <w:top w:val="nil"/>
              <w:left w:val="nil"/>
              <w:bottom w:val="nil"/>
              <w:right w:val="single" w:sz="6" w:space="0" w:color="auto"/>
            </w:tcBorders>
          </w:tcPr>
          <w:p w14:paraId="3A954C54" w14:textId="77777777" w:rsidR="007C1AB9" w:rsidRPr="004C4A5C" w:rsidRDefault="007C1AB9" w:rsidP="000C04ED">
            <w:pPr>
              <w:pStyle w:val="tabletext11"/>
            </w:pPr>
            <w:r w:rsidRPr="004C4A5C">
              <w:t>Height-to-diameter ratio over 2.5</w:t>
            </w:r>
          </w:p>
        </w:tc>
      </w:tr>
      <w:tr w:rsidR="007C1AB9" w:rsidRPr="004C4A5C" w14:paraId="0D0E1C9B" w14:textId="77777777" w:rsidTr="005A0184">
        <w:trPr>
          <w:cantSplit/>
          <w:trHeight w:val="190"/>
        </w:trPr>
        <w:tc>
          <w:tcPr>
            <w:tcW w:w="200" w:type="dxa"/>
            <w:tcBorders>
              <w:top w:val="nil"/>
              <w:left w:val="nil"/>
              <w:bottom w:val="nil"/>
              <w:right w:val="single" w:sz="6" w:space="0" w:color="auto"/>
            </w:tcBorders>
          </w:tcPr>
          <w:p w14:paraId="23787153"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5EA032E0" w14:textId="77777777" w:rsidR="007C1AB9" w:rsidRPr="004C4A5C" w:rsidRDefault="007C1AB9" w:rsidP="000C04ED">
            <w:pPr>
              <w:pStyle w:val="tabletext11"/>
              <w:jc w:val="center"/>
            </w:pPr>
          </w:p>
        </w:tc>
        <w:tc>
          <w:tcPr>
            <w:tcW w:w="900" w:type="dxa"/>
            <w:tcBorders>
              <w:top w:val="nil"/>
              <w:left w:val="single" w:sz="6" w:space="0" w:color="auto"/>
              <w:bottom w:val="nil"/>
              <w:right w:val="nil"/>
            </w:tcBorders>
          </w:tcPr>
          <w:p w14:paraId="42CC9E48" w14:textId="77777777" w:rsidR="007C1AB9" w:rsidRPr="004C4A5C" w:rsidRDefault="007C1AB9" w:rsidP="000C04ED">
            <w:pPr>
              <w:pStyle w:val="tabletext11"/>
              <w:jc w:val="right"/>
            </w:pPr>
          </w:p>
        </w:tc>
        <w:tc>
          <w:tcPr>
            <w:tcW w:w="780" w:type="dxa"/>
            <w:tcBorders>
              <w:top w:val="nil"/>
              <w:left w:val="nil"/>
              <w:bottom w:val="nil"/>
              <w:right w:val="single" w:sz="6" w:space="0" w:color="auto"/>
            </w:tcBorders>
          </w:tcPr>
          <w:p w14:paraId="3EE10101" w14:textId="77777777" w:rsidR="007C1AB9" w:rsidRPr="004C4A5C" w:rsidRDefault="007C1AB9" w:rsidP="000C04ED">
            <w:pPr>
              <w:pStyle w:val="tabletext11"/>
            </w:pPr>
          </w:p>
        </w:tc>
        <w:tc>
          <w:tcPr>
            <w:tcW w:w="720" w:type="dxa"/>
            <w:gridSpan w:val="2"/>
            <w:tcBorders>
              <w:top w:val="nil"/>
              <w:left w:val="single" w:sz="6" w:space="0" w:color="auto"/>
              <w:bottom w:val="nil"/>
              <w:right w:val="nil"/>
            </w:tcBorders>
          </w:tcPr>
          <w:p w14:paraId="58F05CD4" w14:textId="77777777" w:rsidR="007C1AB9" w:rsidRPr="004C4A5C" w:rsidRDefault="007C1AB9" w:rsidP="000C04ED">
            <w:pPr>
              <w:pStyle w:val="tabletext11"/>
              <w:jc w:val="right"/>
              <w:rPr>
                <w:b/>
              </w:rPr>
            </w:pPr>
          </w:p>
        </w:tc>
        <w:tc>
          <w:tcPr>
            <w:tcW w:w="320" w:type="dxa"/>
            <w:tcBorders>
              <w:top w:val="nil"/>
              <w:left w:val="nil"/>
              <w:bottom w:val="nil"/>
              <w:right w:val="nil"/>
            </w:tcBorders>
          </w:tcPr>
          <w:p w14:paraId="18260636" w14:textId="77777777" w:rsidR="007C1AB9" w:rsidRPr="004C4A5C" w:rsidRDefault="007C1AB9" w:rsidP="000C04ED">
            <w:pPr>
              <w:pStyle w:val="tabletext11"/>
              <w:jc w:val="right"/>
              <w:rPr>
                <w:b/>
              </w:rPr>
            </w:pPr>
            <w:r w:rsidRPr="004C4A5C">
              <w:rPr>
                <w:b/>
              </w:rPr>
              <w:t>(2)</w:t>
            </w:r>
          </w:p>
        </w:tc>
        <w:tc>
          <w:tcPr>
            <w:tcW w:w="5750" w:type="dxa"/>
            <w:gridSpan w:val="2"/>
            <w:tcBorders>
              <w:top w:val="nil"/>
              <w:left w:val="nil"/>
              <w:bottom w:val="nil"/>
              <w:right w:val="single" w:sz="6" w:space="0" w:color="auto"/>
            </w:tcBorders>
          </w:tcPr>
          <w:p w14:paraId="05C90D41" w14:textId="77777777" w:rsidR="007C1AB9" w:rsidRPr="004C4A5C" w:rsidRDefault="007C1AB9" w:rsidP="000C04ED">
            <w:pPr>
              <w:pStyle w:val="tabletext11"/>
            </w:pPr>
            <w:r w:rsidRPr="004C4A5C">
              <w:t>Wood tanks</w:t>
            </w:r>
          </w:p>
        </w:tc>
      </w:tr>
      <w:tr w:rsidR="007C1AB9" w:rsidRPr="004C4A5C" w14:paraId="298A5430" w14:textId="77777777" w:rsidTr="005A0184">
        <w:trPr>
          <w:cantSplit/>
          <w:trHeight w:val="190"/>
        </w:trPr>
        <w:tc>
          <w:tcPr>
            <w:tcW w:w="200" w:type="dxa"/>
            <w:tcBorders>
              <w:top w:val="nil"/>
              <w:left w:val="nil"/>
              <w:bottom w:val="nil"/>
              <w:right w:val="single" w:sz="6" w:space="0" w:color="auto"/>
            </w:tcBorders>
          </w:tcPr>
          <w:p w14:paraId="716C1D4E"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5BAD1F9D" w14:textId="77777777" w:rsidR="007C1AB9" w:rsidRPr="004C4A5C" w:rsidRDefault="007C1AB9" w:rsidP="000C04ED">
            <w:pPr>
              <w:pStyle w:val="tabletext11"/>
              <w:jc w:val="center"/>
            </w:pPr>
            <w:r w:rsidRPr="004C4A5C">
              <w:t>C1</w:t>
            </w:r>
          </w:p>
        </w:tc>
        <w:tc>
          <w:tcPr>
            <w:tcW w:w="900" w:type="dxa"/>
            <w:tcBorders>
              <w:top w:val="nil"/>
              <w:left w:val="single" w:sz="6" w:space="0" w:color="auto"/>
              <w:bottom w:val="nil"/>
              <w:right w:val="nil"/>
            </w:tcBorders>
          </w:tcPr>
          <w:p w14:paraId="1BA2A1A1"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491F5DED" w14:textId="77777777" w:rsidR="007C1AB9" w:rsidRPr="004C4A5C" w:rsidRDefault="007C1AB9" w:rsidP="000C04ED">
            <w:pPr>
              <w:pStyle w:val="tabletext11"/>
            </w:pPr>
          </w:p>
        </w:tc>
        <w:tc>
          <w:tcPr>
            <w:tcW w:w="1040" w:type="dxa"/>
            <w:gridSpan w:val="3"/>
            <w:tcBorders>
              <w:top w:val="nil"/>
              <w:left w:val="single" w:sz="6" w:space="0" w:color="auto"/>
              <w:bottom w:val="nil"/>
              <w:right w:val="nil"/>
            </w:tcBorders>
          </w:tcPr>
          <w:p w14:paraId="53632F07" w14:textId="77777777" w:rsidR="007C1AB9" w:rsidRPr="004C4A5C" w:rsidRDefault="007C1AB9" w:rsidP="000C04ED">
            <w:pPr>
              <w:pStyle w:val="tabletext11"/>
              <w:jc w:val="right"/>
              <w:rPr>
                <w:b/>
              </w:rPr>
            </w:pPr>
          </w:p>
        </w:tc>
        <w:tc>
          <w:tcPr>
            <w:tcW w:w="340" w:type="dxa"/>
            <w:tcBorders>
              <w:top w:val="nil"/>
              <w:left w:val="nil"/>
              <w:bottom w:val="nil"/>
              <w:right w:val="nil"/>
            </w:tcBorders>
          </w:tcPr>
          <w:p w14:paraId="1F1008E5" w14:textId="77777777" w:rsidR="007C1AB9" w:rsidRPr="004C4A5C" w:rsidRDefault="007C1AB9" w:rsidP="000C04ED">
            <w:pPr>
              <w:pStyle w:val="tabletext11"/>
              <w:jc w:val="right"/>
              <w:rPr>
                <w:b/>
              </w:rPr>
            </w:pPr>
            <w:r w:rsidRPr="004C4A5C">
              <w:rPr>
                <w:b/>
              </w:rPr>
              <w:t>(a)</w:t>
            </w:r>
          </w:p>
        </w:tc>
        <w:tc>
          <w:tcPr>
            <w:tcW w:w="5410" w:type="dxa"/>
            <w:tcBorders>
              <w:top w:val="nil"/>
              <w:left w:val="nil"/>
              <w:bottom w:val="nil"/>
              <w:right w:val="single" w:sz="6" w:space="0" w:color="auto"/>
            </w:tcBorders>
          </w:tcPr>
          <w:p w14:paraId="4531FB81" w14:textId="77777777" w:rsidR="007C1AB9" w:rsidRPr="004C4A5C" w:rsidRDefault="007C1AB9" w:rsidP="000C04ED">
            <w:pPr>
              <w:pStyle w:val="tabletext11"/>
            </w:pPr>
            <w:r w:rsidRPr="004C4A5C">
              <w:t>Height-to-diameter ratio less than 1</w:t>
            </w:r>
          </w:p>
        </w:tc>
      </w:tr>
      <w:tr w:rsidR="007C1AB9" w:rsidRPr="004C4A5C" w14:paraId="169D924E" w14:textId="77777777" w:rsidTr="005A0184">
        <w:trPr>
          <w:cantSplit/>
          <w:trHeight w:val="190"/>
        </w:trPr>
        <w:tc>
          <w:tcPr>
            <w:tcW w:w="200" w:type="dxa"/>
            <w:tcBorders>
              <w:top w:val="nil"/>
              <w:left w:val="nil"/>
              <w:bottom w:val="nil"/>
              <w:right w:val="single" w:sz="6" w:space="0" w:color="auto"/>
            </w:tcBorders>
          </w:tcPr>
          <w:p w14:paraId="3ACC847D"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53037B16" w14:textId="77777777" w:rsidR="007C1AB9" w:rsidRPr="004C4A5C" w:rsidRDefault="007C1AB9" w:rsidP="000C04ED">
            <w:pPr>
              <w:pStyle w:val="tabletext11"/>
              <w:jc w:val="center"/>
            </w:pPr>
            <w:r w:rsidRPr="004C4A5C">
              <w:t>E2</w:t>
            </w:r>
          </w:p>
        </w:tc>
        <w:tc>
          <w:tcPr>
            <w:tcW w:w="900" w:type="dxa"/>
            <w:tcBorders>
              <w:top w:val="nil"/>
              <w:left w:val="single" w:sz="6" w:space="0" w:color="auto"/>
              <w:bottom w:val="nil"/>
              <w:right w:val="nil"/>
            </w:tcBorders>
          </w:tcPr>
          <w:p w14:paraId="4795E65D"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5CB362C9" w14:textId="77777777" w:rsidR="007C1AB9" w:rsidRPr="004C4A5C" w:rsidRDefault="007C1AB9" w:rsidP="000C04ED">
            <w:pPr>
              <w:pStyle w:val="tabletext11"/>
            </w:pPr>
          </w:p>
        </w:tc>
        <w:tc>
          <w:tcPr>
            <w:tcW w:w="1040" w:type="dxa"/>
            <w:gridSpan w:val="3"/>
            <w:tcBorders>
              <w:top w:val="nil"/>
              <w:left w:val="single" w:sz="6" w:space="0" w:color="auto"/>
              <w:bottom w:val="nil"/>
              <w:right w:val="nil"/>
            </w:tcBorders>
          </w:tcPr>
          <w:p w14:paraId="68E1B386" w14:textId="77777777" w:rsidR="007C1AB9" w:rsidRPr="004C4A5C" w:rsidRDefault="007C1AB9" w:rsidP="000C04ED">
            <w:pPr>
              <w:pStyle w:val="tabletext11"/>
              <w:jc w:val="right"/>
              <w:rPr>
                <w:b/>
              </w:rPr>
            </w:pPr>
          </w:p>
        </w:tc>
        <w:tc>
          <w:tcPr>
            <w:tcW w:w="340" w:type="dxa"/>
            <w:tcBorders>
              <w:top w:val="nil"/>
              <w:left w:val="nil"/>
              <w:bottom w:val="nil"/>
              <w:right w:val="nil"/>
            </w:tcBorders>
          </w:tcPr>
          <w:p w14:paraId="35B11B35" w14:textId="77777777" w:rsidR="007C1AB9" w:rsidRPr="004C4A5C" w:rsidRDefault="007C1AB9" w:rsidP="000C04ED">
            <w:pPr>
              <w:pStyle w:val="tabletext11"/>
              <w:jc w:val="right"/>
              <w:rPr>
                <w:b/>
              </w:rPr>
            </w:pPr>
            <w:r w:rsidRPr="004C4A5C">
              <w:rPr>
                <w:b/>
              </w:rPr>
              <w:t>(b)</w:t>
            </w:r>
          </w:p>
        </w:tc>
        <w:tc>
          <w:tcPr>
            <w:tcW w:w="5410" w:type="dxa"/>
            <w:tcBorders>
              <w:top w:val="nil"/>
              <w:left w:val="nil"/>
              <w:bottom w:val="nil"/>
              <w:right w:val="single" w:sz="6" w:space="0" w:color="auto"/>
            </w:tcBorders>
          </w:tcPr>
          <w:p w14:paraId="666D9FEF" w14:textId="77777777" w:rsidR="007C1AB9" w:rsidRPr="004C4A5C" w:rsidRDefault="007C1AB9" w:rsidP="000C04ED">
            <w:pPr>
              <w:pStyle w:val="tabletext11"/>
            </w:pPr>
            <w:r w:rsidRPr="004C4A5C">
              <w:t>Height-to-diameter ratio 1 and over</w:t>
            </w:r>
          </w:p>
        </w:tc>
      </w:tr>
      <w:tr w:rsidR="007C1AB9" w:rsidRPr="004C4A5C" w14:paraId="3B211F7A" w14:textId="77777777" w:rsidTr="005A0184">
        <w:trPr>
          <w:cantSplit/>
          <w:trHeight w:val="190"/>
        </w:trPr>
        <w:tc>
          <w:tcPr>
            <w:tcW w:w="200" w:type="dxa"/>
            <w:tcBorders>
              <w:top w:val="nil"/>
              <w:left w:val="nil"/>
              <w:bottom w:val="nil"/>
              <w:right w:val="single" w:sz="6" w:space="0" w:color="auto"/>
            </w:tcBorders>
          </w:tcPr>
          <w:p w14:paraId="36028531"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19BC6DE3" w14:textId="77777777" w:rsidR="007C1AB9" w:rsidRPr="004C4A5C" w:rsidRDefault="007C1AB9" w:rsidP="000C04ED">
            <w:pPr>
              <w:pStyle w:val="tabletext11"/>
              <w:jc w:val="center"/>
            </w:pPr>
          </w:p>
        </w:tc>
        <w:tc>
          <w:tcPr>
            <w:tcW w:w="900" w:type="dxa"/>
            <w:tcBorders>
              <w:top w:val="nil"/>
              <w:left w:val="single" w:sz="6" w:space="0" w:color="auto"/>
              <w:bottom w:val="nil"/>
              <w:right w:val="nil"/>
            </w:tcBorders>
          </w:tcPr>
          <w:p w14:paraId="6CD06312" w14:textId="77777777" w:rsidR="007C1AB9" w:rsidRPr="004C4A5C" w:rsidRDefault="007C1AB9" w:rsidP="000C04ED">
            <w:pPr>
              <w:pStyle w:val="tabletext11"/>
              <w:jc w:val="right"/>
            </w:pPr>
          </w:p>
        </w:tc>
        <w:tc>
          <w:tcPr>
            <w:tcW w:w="780" w:type="dxa"/>
            <w:tcBorders>
              <w:top w:val="nil"/>
              <w:left w:val="nil"/>
              <w:bottom w:val="nil"/>
              <w:right w:val="single" w:sz="6" w:space="0" w:color="auto"/>
            </w:tcBorders>
          </w:tcPr>
          <w:p w14:paraId="11759FEE"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688520A3" w14:textId="77777777" w:rsidR="007C1AB9" w:rsidRPr="004C4A5C" w:rsidRDefault="007C1AB9" w:rsidP="000C04ED">
            <w:pPr>
              <w:pStyle w:val="tabletext11"/>
              <w:jc w:val="right"/>
              <w:rPr>
                <w:b/>
              </w:rPr>
            </w:pPr>
          </w:p>
        </w:tc>
        <w:tc>
          <w:tcPr>
            <w:tcW w:w="300" w:type="dxa"/>
            <w:tcBorders>
              <w:top w:val="nil"/>
              <w:left w:val="nil"/>
              <w:bottom w:val="nil"/>
              <w:right w:val="nil"/>
            </w:tcBorders>
          </w:tcPr>
          <w:p w14:paraId="5641E960" w14:textId="77777777" w:rsidR="007C1AB9" w:rsidRPr="004C4A5C" w:rsidRDefault="007C1AB9" w:rsidP="000C04ED">
            <w:pPr>
              <w:pStyle w:val="tabletext11"/>
              <w:jc w:val="right"/>
            </w:pPr>
            <w:r w:rsidRPr="004C4A5C">
              <w:rPr>
                <w:b/>
              </w:rPr>
              <w:t>b.</w:t>
            </w:r>
          </w:p>
        </w:tc>
        <w:tc>
          <w:tcPr>
            <w:tcW w:w="6070" w:type="dxa"/>
            <w:gridSpan w:val="3"/>
            <w:tcBorders>
              <w:top w:val="nil"/>
              <w:left w:val="nil"/>
              <w:bottom w:val="nil"/>
              <w:right w:val="single" w:sz="6" w:space="0" w:color="auto"/>
            </w:tcBorders>
          </w:tcPr>
          <w:p w14:paraId="39A2F1C0" w14:textId="77777777" w:rsidR="007C1AB9" w:rsidRPr="004C4A5C" w:rsidRDefault="007C1AB9" w:rsidP="000C04ED">
            <w:pPr>
              <w:pStyle w:val="tabletext11"/>
            </w:pPr>
            <w:r w:rsidRPr="004C4A5C">
              <w:t>Tanks on elevated towers</w:t>
            </w:r>
          </w:p>
        </w:tc>
      </w:tr>
      <w:tr w:rsidR="007C1AB9" w:rsidRPr="004C4A5C" w14:paraId="789C6C02" w14:textId="77777777" w:rsidTr="005A0184">
        <w:trPr>
          <w:cantSplit/>
          <w:trHeight w:val="190"/>
        </w:trPr>
        <w:tc>
          <w:tcPr>
            <w:tcW w:w="200" w:type="dxa"/>
            <w:tcBorders>
              <w:top w:val="nil"/>
              <w:left w:val="nil"/>
              <w:bottom w:val="nil"/>
              <w:right w:val="single" w:sz="6" w:space="0" w:color="auto"/>
            </w:tcBorders>
          </w:tcPr>
          <w:p w14:paraId="00C1652A"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1652A792" w14:textId="77777777" w:rsidR="007C1AB9" w:rsidRPr="004C4A5C" w:rsidRDefault="007C1AB9" w:rsidP="000C04ED">
            <w:pPr>
              <w:pStyle w:val="tabletext11"/>
              <w:jc w:val="center"/>
            </w:pPr>
            <w:r w:rsidRPr="004C4A5C">
              <w:t>E2</w:t>
            </w:r>
          </w:p>
        </w:tc>
        <w:tc>
          <w:tcPr>
            <w:tcW w:w="900" w:type="dxa"/>
            <w:tcBorders>
              <w:top w:val="nil"/>
              <w:left w:val="single" w:sz="6" w:space="0" w:color="auto"/>
              <w:bottom w:val="nil"/>
              <w:right w:val="nil"/>
            </w:tcBorders>
          </w:tcPr>
          <w:p w14:paraId="7BF33F10"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3DC748E7" w14:textId="77777777" w:rsidR="007C1AB9" w:rsidRPr="004C4A5C" w:rsidRDefault="007C1AB9" w:rsidP="000C04ED">
            <w:pPr>
              <w:pStyle w:val="tabletext11"/>
            </w:pPr>
          </w:p>
        </w:tc>
        <w:tc>
          <w:tcPr>
            <w:tcW w:w="720" w:type="dxa"/>
            <w:gridSpan w:val="2"/>
            <w:tcBorders>
              <w:top w:val="nil"/>
              <w:left w:val="single" w:sz="6" w:space="0" w:color="auto"/>
              <w:bottom w:val="nil"/>
              <w:right w:val="nil"/>
            </w:tcBorders>
          </w:tcPr>
          <w:p w14:paraId="2144A05C" w14:textId="77777777" w:rsidR="007C1AB9" w:rsidRPr="004C4A5C" w:rsidRDefault="007C1AB9" w:rsidP="000C04ED">
            <w:pPr>
              <w:pStyle w:val="tabletext11"/>
              <w:jc w:val="right"/>
              <w:rPr>
                <w:b/>
              </w:rPr>
            </w:pPr>
          </w:p>
        </w:tc>
        <w:tc>
          <w:tcPr>
            <w:tcW w:w="320" w:type="dxa"/>
            <w:tcBorders>
              <w:top w:val="nil"/>
              <w:left w:val="nil"/>
              <w:bottom w:val="nil"/>
              <w:right w:val="nil"/>
            </w:tcBorders>
          </w:tcPr>
          <w:p w14:paraId="60C8A61D" w14:textId="77777777" w:rsidR="007C1AB9" w:rsidRPr="004C4A5C" w:rsidRDefault="007C1AB9" w:rsidP="000C04ED">
            <w:pPr>
              <w:pStyle w:val="tabletext11"/>
              <w:jc w:val="right"/>
              <w:rPr>
                <w:b/>
              </w:rPr>
            </w:pPr>
            <w:r w:rsidRPr="004C4A5C">
              <w:rPr>
                <w:b/>
              </w:rPr>
              <w:t>(1)</w:t>
            </w:r>
          </w:p>
        </w:tc>
        <w:tc>
          <w:tcPr>
            <w:tcW w:w="5750" w:type="dxa"/>
            <w:gridSpan w:val="2"/>
            <w:tcBorders>
              <w:top w:val="nil"/>
              <w:left w:val="nil"/>
              <w:bottom w:val="nil"/>
              <w:right w:val="single" w:sz="6" w:space="0" w:color="auto"/>
            </w:tcBorders>
          </w:tcPr>
          <w:p w14:paraId="0C998553" w14:textId="77777777" w:rsidR="007C1AB9" w:rsidRPr="004C4A5C" w:rsidRDefault="007C1AB9" w:rsidP="000C04ED">
            <w:pPr>
              <w:pStyle w:val="tabletext11"/>
            </w:pPr>
            <w:r w:rsidRPr="004C4A5C">
              <w:t>Steel tank and tower</w:t>
            </w:r>
          </w:p>
        </w:tc>
      </w:tr>
      <w:tr w:rsidR="007C1AB9" w:rsidRPr="004C4A5C" w14:paraId="5F2A7B15" w14:textId="77777777" w:rsidTr="005A0184">
        <w:trPr>
          <w:cantSplit/>
          <w:trHeight w:val="190"/>
        </w:trPr>
        <w:tc>
          <w:tcPr>
            <w:tcW w:w="200" w:type="dxa"/>
            <w:tcBorders>
              <w:top w:val="nil"/>
              <w:left w:val="nil"/>
              <w:bottom w:val="nil"/>
              <w:right w:val="single" w:sz="6" w:space="0" w:color="auto"/>
            </w:tcBorders>
          </w:tcPr>
          <w:p w14:paraId="23E88509"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2A446AEF" w14:textId="77777777" w:rsidR="007C1AB9" w:rsidRPr="004C4A5C" w:rsidRDefault="007C1AB9" w:rsidP="000C04ED">
            <w:pPr>
              <w:pStyle w:val="tabletext11"/>
              <w:jc w:val="center"/>
            </w:pPr>
            <w:r w:rsidRPr="004C4A5C">
              <w:t>E2</w:t>
            </w:r>
          </w:p>
        </w:tc>
        <w:tc>
          <w:tcPr>
            <w:tcW w:w="900" w:type="dxa"/>
            <w:tcBorders>
              <w:top w:val="nil"/>
              <w:left w:val="single" w:sz="6" w:space="0" w:color="auto"/>
              <w:bottom w:val="nil"/>
              <w:right w:val="nil"/>
            </w:tcBorders>
          </w:tcPr>
          <w:p w14:paraId="1DC7234D"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7BA1F798" w14:textId="77777777" w:rsidR="007C1AB9" w:rsidRPr="004C4A5C" w:rsidRDefault="007C1AB9" w:rsidP="000C04ED">
            <w:pPr>
              <w:pStyle w:val="tabletext11"/>
            </w:pPr>
          </w:p>
        </w:tc>
        <w:tc>
          <w:tcPr>
            <w:tcW w:w="720" w:type="dxa"/>
            <w:gridSpan w:val="2"/>
            <w:tcBorders>
              <w:top w:val="nil"/>
              <w:left w:val="single" w:sz="6" w:space="0" w:color="auto"/>
              <w:bottom w:val="nil"/>
              <w:right w:val="nil"/>
            </w:tcBorders>
          </w:tcPr>
          <w:p w14:paraId="0FA46C05" w14:textId="77777777" w:rsidR="007C1AB9" w:rsidRPr="004C4A5C" w:rsidRDefault="007C1AB9" w:rsidP="000C04ED">
            <w:pPr>
              <w:pStyle w:val="tabletext11"/>
              <w:jc w:val="right"/>
              <w:rPr>
                <w:b/>
              </w:rPr>
            </w:pPr>
          </w:p>
        </w:tc>
        <w:tc>
          <w:tcPr>
            <w:tcW w:w="320" w:type="dxa"/>
            <w:tcBorders>
              <w:top w:val="nil"/>
              <w:left w:val="nil"/>
              <w:bottom w:val="nil"/>
              <w:right w:val="nil"/>
            </w:tcBorders>
          </w:tcPr>
          <w:p w14:paraId="31D0C193" w14:textId="77777777" w:rsidR="007C1AB9" w:rsidRPr="004C4A5C" w:rsidRDefault="007C1AB9" w:rsidP="000C04ED">
            <w:pPr>
              <w:pStyle w:val="tabletext11"/>
              <w:jc w:val="right"/>
              <w:rPr>
                <w:b/>
              </w:rPr>
            </w:pPr>
            <w:r w:rsidRPr="004C4A5C">
              <w:rPr>
                <w:b/>
              </w:rPr>
              <w:t>(2)</w:t>
            </w:r>
          </w:p>
        </w:tc>
        <w:tc>
          <w:tcPr>
            <w:tcW w:w="5750" w:type="dxa"/>
            <w:gridSpan w:val="2"/>
            <w:tcBorders>
              <w:top w:val="nil"/>
              <w:left w:val="nil"/>
              <w:bottom w:val="nil"/>
              <w:right w:val="single" w:sz="6" w:space="0" w:color="auto"/>
            </w:tcBorders>
          </w:tcPr>
          <w:p w14:paraId="309F025D" w14:textId="77777777" w:rsidR="007C1AB9" w:rsidRPr="004C4A5C" w:rsidRDefault="007C1AB9" w:rsidP="000C04ED">
            <w:pPr>
              <w:pStyle w:val="tabletext11"/>
            </w:pPr>
            <w:r w:rsidRPr="004C4A5C">
              <w:t>Reinforced concrete tank and tower</w:t>
            </w:r>
          </w:p>
        </w:tc>
      </w:tr>
      <w:tr w:rsidR="007C1AB9" w:rsidRPr="004C4A5C" w14:paraId="3F1CDA27" w14:textId="77777777" w:rsidTr="005A0184">
        <w:trPr>
          <w:cantSplit/>
          <w:trHeight w:val="190"/>
        </w:trPr>
        <w:tc>
          <w:tcPr>
            <w:tcW w:w="200" w:type="dxa"/>
            <w:tcBorders>
              <w:top w:val="nil"/>
              <w:left w:val="nil"/>
              <w:bottom w:val="nil"/>
              <w:right w:val="single" w:sz="6" w:space="0" w:color="auto"/>
            </w:tcBorders>
          </w:tcPr>
          <w:p w14:paraId="7BC0B189"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2A67DDF7" w14:textId="77777777" w:rsidR="007C1AB9" w:rsidRPr="004C4A5C" w:rsidRDefault="007C1AB9" w:rsidP="000C04ED">
            <w:pPr>
              <w:pStyle w:val="tabletext11"/>
              <w:jc w:val="center"/>
            </w:pPr>
            <w:r w:rsidRPr="004C4A5C">
              <w:t>E3</w:t>
            </w:r>
          </w:p>
        </w:tc>
        <w:tc>
          <w:tcPr>
            <w:tcW w:w="900" w:type="dxa"/>
            <w:tcBorders>
              <w:top w:val="nil"/>
              <w:left w:val="single" w:sz="6" w:space="0" w:color="auto"/>
              <w:bottom w:val="nil"/>
              <w:right w:val="nil"/>
            </w:tcBorders>
          </w:tcPr>
          <w:p w14:paraId="6DBB16AF"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3D621C21" w14:textId="77777777" w:rsidR="007C1AB9" w:rsidRPr="004C4A5C" w:rsidRDefault="007C1AB9" w:rsidP="000C04ED">
            <w:pPr>
              <w:pStyle w:val="tabletext11"/>
            </w:pPr>
          </w:p>
        </w:tc>
        <w:tc>
          <w:tcPr>
            <w:tcW w:w="720" w:type="dxa"/>
            <w:gridSpan w:val="2"/>
            <w:tcBorders>
              <w:top w:val="nil"/>
              <w:left w:val="single" w:sz="6" w:space="0" w:color="auto"/>
              <w:bottom w:val="nil"/>
              <w:right w:val="nil"/>
            </w:tcBorders>
          </w:tcPr>
          <w:p w14:paraId="77DDEED5" w14:textId="77777777" w:rsidR="007C1AB9" w:rsidRPr="004C4A5C" w:rsidRDefault="007C1AB9" w:rsidP="000C04ED">
            <w:pPr>
              <w:pStyle w:val="tabletext11"/>
              <w:jc w:val="right"/>
              <w:rPr>
                <w:b/>
              </w:rPr>
            </w:pPr>
          </w:p>
        </w:tc>
        <w:tc>
          <w:tcPr>
            <w:tcW w:w="320" w:type="dxa"/>
            <w:tcBorders>
              <w:top w:val="nil"/>
              <w:left w:val="nil"/>
              <w:bottom w:val="nil"/>
              <w:right w:val="nil"/>
            </w:tcBorders>
          </w:tcPr>
          <w:p w14:paraId="18206136" w14:textId="77777777" w:rsidR="007C1AB9" w:rsidRPr="004C4A5C" w:rsidRDefault="007C1AB9" w:rsidP="000C04ED">
            <w:pPr>
              <w:pStyle w:val="tabletext11"/>
              <w:jc w:val="right"/>
              <w:rPr>
                <w:b/>
              </w:rPr>
            </w:pPr>
            <w:r w:rsidRPr="004C4A5C">
              <w:rPr>
                <w:b/>
              </w:rPr>
              <w:t>(3)</w:t>
            </w:r>
          </w:p>
        </w:tc>
        <w:tc>
          <w:tcPr>
            <w:tcW w:w="5750" w:type="dxa"/>
            <w:gridSpan w:val="2"/>
            <w:tcBorders>
              <w:top w:val="nil"/>
              <w:left w:val="nil"/>
              <w:bottom w:val="nil"/>
              <w:right w:val="single" w:sz="6" w:space="0" w:color="auto"/>
            </w:tcBorders>
          </w:tcPr>
          <w:p w14:paraId="2D3E0399" w14:textId="77777777" w:rsidR="007C1AB9" w:rsidRPr="004C4A5C" w:rsidRDefault="007C1AB9" w:rsidP="000C04ED">
            <w:pPr>
              <w:pStyle w:val="tabletext11"/>
            </w:pPr>
            <w:r w:rsidRPr="004C4A5C">
              <w:t>Wood tank and tower</w:t>
            </w:r>
          </w:p>
        </w:tc>
      </w:tr>
      <w:tr w:rsidR="007C1AB9" w:rsidRPr="004C4A5C" w14:paraId="6403E5A1" w14:textId="77777777" w:rsidTr="005A0184">
        <w:trPr>
          <w:cantSplit/>
          <w:trHeight w:val="190"/>
        </w:trPr>
        <w:tc>
          <w:tcPr>
            <w:tcW w:w="200" w:type="dxa"/>
            <w:tcBorders>
              <w:top w:val="nil"/>
              <w:left w:val="nil"/>
              <w:bottom w:val="nil"/>
              <w:right w:val="single" w:sz="6" w:space="0" w:color="auto"/>
            </w:tcBorders>
          </w:tcPr>
          <w:p w14:paraId="50E9CE47"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349B57E7" w14:textId="77777777" w:rsidR="007C1AB9" w:rsidRPr="004C4A5C" w:rsidRDefault="007C1AB9" w:rsidP="000C04ED">
            <w:pPr>
              <w:pStyle w:val="tabletext11"/>
              <w:jc w:val="center"/>
            </w:pPr>
            <w:r w:rsidRPr="004C4A5C">
              <w:t>E3</w:t>
            </w:r>
          </w:p>
        </w:tc>
        <w:tc>
          <w:tcPr>
            <w:tcW w:w="900" w:type="dxa"/>
            <w:tcBorders>
              <w:top w:val="nil"/>
              <w:left w:val="single" w:sz="6" w:space="0" w:color="auto"/>
              <w:right w:val="nil"/>
            </w:tcBorders>
          </w:tcPr>
          <w:p w14:paraId="46881827" w14:textId="77777777" w:rsidR="007C1AB9" w:rsidRPr="004C4A5C" w:rsidRDefault="007C1AB9" w:rsidP="000C04ED">
            <w:pPr>
              <w:pStyle w:val="tabletext11"/>
              <w:jc w:val="right"/>
            </w:pPr>
            <w:r w:rsidRPr="004C4A5C">
              <w:t>5</w:t>
            </w:r>
          </w:p>
        </w:tc>
        <w:tc>
          <w:tcPr>
            <w:tcW w:w="780" w:type="dxa"/>
            <w:tcBorders>
              <w:top w:val="nil"/>
              <w:left w:val="nil"/>
              <w:right w:val="single" w:sz="6" w:space="0" w:color="auto"/>
            </w:tcBorders>
          </w:tcPr>
          <w:p w14:paraId="6E1364D6" w14:textId="77777777" w:rsidR="007C1AB9" w:rsidRPr="004C4A5C" w:rsidRDefault="007C1AB9" w:rsidP="000C04ED">
            <w:pPr>
              <w:pStyle w:val="tabletext11"/>
            </w:pPr>
          </w:p>
        </w:tc>
        <w:tc>
          <w:tcPr>
            <w:tcW w:w="720" w:type="dxa"/>
            <w:gridSpan w:val="2"/>
            <w:tcBorders>
              <w:top w:val="nil"/>
              <w:left w:val="single" w:sz="6" w:space="0" w:color="auto"/>
              <w:right w:val="nil"/>
            </w:tcBorders>
          </w:tcPr>
          <w:p w14:paraId="79104952" w14:textId="77777777" w:rsidR="007C1AB9" w:rsidRPr="004C4A5C" w:rsidRDefault="007C1AB9" w:rsidP="000C04ED">
            <w:pPr>
              <w:pStyle w:val="tabletext11"/>
              <w:jc w:val="right"/>
              <w:rPr>
                <w:b/>
              </w:rPr>
            </w:pPr>
          </w:p>
        </w:tc>
        <w:tc>
          <w:tcPr>
            <w:tcW w:w="320" w:type="dxa"/>
            <w:tcBorders>
              <w:top w:val="nil"/>
              <w:left w:val="nil"/>
              <w:right w:val="nil"/>
            </w:tcBorders>
          </w:tcPr>
          <w:p w14:paraId="00D9B811" w14:textId="77777777" w:rsidR="007C1AB9" w:rsidRPr="004C4A5C" w:rsidRDefault="007C1AB9" w:rsidP="000C04ED">
            <w:pPr>
              <w:pStyle w:val="tabletext11"/>
              <w:jc w:val="right"/>
              <w:rPr>
                <w:b/>
              </w:rPr>
            </w:pPr>
            <w:r w:rsidRPr="004C4A5C">
              <w:rPr>
                <w:b/>
              </w:rPr>
              <w:t>(4)</w:t>
            </w:r>
          </w:p>
        </w:tc>
        <w:tc>
          <w:tcPr>
            <w:tcW w:w="5750" w:type="dxa"/>
            <w:gridSpan w:val="2"/>
            <w:tcBorders>
              <w:top w:val="nil"/>
              <w:left w:val="nil"/>
              <w:right w:val="single" w:sz="6" w:space="0" w:color="auto"/>
            </w:tcBorders>
          </w:tcPr>
          <w:p w14:paraId="3B771F98" w14:textId="77777777" w:rsidR="007C1AB9" w:rsidRPr="004C4A5C" w:rsidRDefault="007C1AB9" w:rsidP="000C04ED">
            <w:pPr>
              <w:pStyle w:val="tabletext11"/>
            </w:pPr>
            <w:r w:rsidRPr="004C4A5C">
              <w:t>Mixed construction</w:t>
            </w:r>
          </w:p>
        </w:tc>
      </w:tr>
      <w:tr w:rsidR="007C1AB9" w:rsidRPr="004C4A5C" w14:paraId="67D28AA7" w14:textId="77777777" w:rsidTr="005A0184">
        <w:trPr>
          <w:cantSplit/>
          <w:trHeight w:val="190"/>
        </w:trPr>
        <w:tc>
          <w:tcPr>
            <w:tcW w:w="200" w:type="dxa"/>
            <w:tcBorders>
              <w:top w:val="nil"/>
              <w:left w:val="nil"/>
              <w:bottom w:val="nil"/>
              <w:right w:val="single" w:sz="6" w:space="0" w:color="auto"/>
            </w:tcBorders>
          </w:tcPr>
          <w:p w14:paraId="048D4DE0" w14:textId="77777777" w:rsidR="007C1AB9" w:rsidRPr="004C4A5C" w:rsidRDefault="007C1AB9" w:rsidP="000C04ED">
            <w:pPr>
              <w:pStyle w:val="tabletext11"/>
            </w:pPr>
          </w:p>
        </w:tc>
        <w:tc>
          <w:tcPr>
            <w:tcW w:w="1610" w:type="dxa"/>
            <w:tcBorders>
              <w:left w:val="single" w:sz="6" w:space="0" w:color="auto"/>
              <w:right w:val="single" w:sz="6" w:space="0" w:color="auto"/>
            </w:tcBorders>
          </w:tcPr>
          <w:p w14:paraId="3BF12B92" w14:textId="77777777" w:rsidR="007C1AB9" w:rsidRPr="004C4A5C" w:rsidRDefault="007C1AB9" w:rsidP="000C04ED">
            <w:pPr>
              <w:pStyle w:val="tabletext11"/>
              <w:jc w:val="center"/>
            </w:pPr>
            <w:r w:rsidRPr="004C4A5C">
              <w:t>A1</w:t>
            </w:r>
          </w:p>
        </w:tc>
        <w:tc>
          <w:tcPr>
            <w:tcW w:w="900" w:type="dxa"/>
            <w:tcBorders>
              <w:top w:val="nil"/>
              <w:left w:val="single" w:sz="6" w:space="0" w:color="auto"/>
              <w:bottom w:val="nil"/>
              <w:right w:val="nil"/>
            </w:tcBorders>
          </w:tcPr>
          <w:p w14:paraId="2E21456D" w14:textId="77777777" w:rsidR="007C1AB9" w:rsidRPr="004C4A5C" w:rsidRDefault="007C1AB9" w:rsidP="000C04ED">
            <w:pPr>
              <w:pStyle w:val="tabletext11"/>
              <w:jc w:val="right"/>
            </w:pPr>
            <w:r w:rsidRPr="004C4A5C">
              <w:t>5</w:t>
            </w:r>
          </w:p>
        </w:tc>
        <w:tc>
          <w:tcPr>
            <w:tcW w:w="780" w:type="dxa"/>
            <w:tcBorders>
              <w:top w:val="nil"/>
              <w:left w:val="nil"/>
              <w:bottom w:val="nil"/>
              <w:right w:val="single" w:sz="6" w:space="0" w:color="auto"/>
            </w:tcBorders>
          </w:tcPr>
          <w:p w14:paraId="4D7121B7" w14:textId="77777777" w:rsidR="007C1AB9" w:rsidRPr="004C4A5C" w:rsidRDefault="007C1AB9" w:rsidP="000C04ED">
            <w:pPr>
              <w:pStyle w:val="tabletext11"/>
            </w:pPr>
          </w:p>
        </w:tc>
        <w:tc>
          <w:tcPr>
            <w:tcW w:w="420" w:type="dxa"/>
            <w:tcBorders>
              <w:top w:val="nil"/>
              <w:left w:val="single" w:sz="6" w:space="0" w:color="auto"/>
              <w:bottom w:val="nil"/>
              <w:right w:val="nil"/>
            </w:tcBorders>
          </w:tcPr>
          <w:p w14:paraId="08274F63" w14:textId="77777777" w:rsidR="007C1AB9" w:rsidRPr="004C4A5C" w:rsidRDefault="007C1AB9" w:rsidP="000C04ED">
            <w:pPr>
              <w:pStyle w:val="tabletext11"/>
              <w:jc w:val="right"/>
              <w:rPr>
                <w:b/>
              </w:rPr>
            </w:pPr>
            <w:r w:rsidRPr="004C4A5C">
              <w:rPr>
                <w:b/>
              </w:rPr>
              <w:t>11.</w:t>
            </w:r>
          </w:p>
        </w:tc>
        <w:tc>
          <w:tcPr>
            <w:tcW w:w="6370" w:type="dxa"/>
            <w:gridSpan w:val="4"/>
            <w:tcBorders>
              <w:top w:val="nil"/>
              <w:left w:val="nil"/>
              <w:bottom w:val="nil"/>
              <w:right w:val="single" w:sz="6" w:space="0" w:color="auto"/>
            </w:tcBorders>
          </w:tcPr>
          <w:p w14:paraId="671D3DA3" w14:textId="77777777" w:rsidR="007C1AB9" w:rsidRPr="004C4A5C" w:rsidRDefault="007C1AB9" w:rsidP="000C04ED">
            <w:pPr>
              <w:pStyle w:val="tabletext11"/>
            </w:pPr>
            <w:r w:rsidRPr="004C4A5C">
              <w:t>Transmission lines</w:t>
            </w:r>
            <w:del w:id="36" w:author="Author">
              <w:r w:rsidRPr="004C4A5C" w:rsidDel="003D2690">
                <w:delText>,</w:delText>
              </w:r>
            </w:del>
            <w:r w:rsidRPr="004C4A5C">
              <w:t xml:space="preserve"> </w:t>
            </w:r>
            <w:ins w:id="37" w:author="Author">
              <w:r w:rsidRPr="004C4A5C">
                <w:t xml:space="preserve">or </w:t>
              </w:r>
            </w:ins>
            <w:r w:rsidRPr="004C4A5C">
              <w:t>tramway tower</w:t>
            </w:r>
          </w:p>
        </w:tc>
      </w:tr>
      <w:tr w:rsidR="007C1AB9" w:rsidRPr="004C4A5C" w14:paraId="68F578B0" w14:textId="77777777" w:rsidTr="005A0184">
        <w:trPr>
          <w:cantSplit/>
          <w:trHeight w:val="190"/>
        </w:trPr>
        <w:tc>
          <w:tcPr>
            <w:tcW w:w="200" w:type="dxa"/>
            <w:tcBorders>
              <w:top w:val="nil"/>
              <w:left w:val="nil"/>
              <w:bottom w:val="nil"/>
              <w:right w:val="single" w:sz="6" w:space="0" w:color="auto"/>
            </w:tcBorders>
          </w:tcPr>
          <w:p w14:paraId="131E0CDA" w14:textId="77777777" w:rsidR="007C1AB9" w:rsidRPr="004C4A5C" w:rsidRDefault="007C1AB9" w:rsidP="000C04ED">
            <w:pPr>
              <w:pStyle w:val="tabletext11"/>
            </w:pPr>
          </w:p>
        </w:tc>
        <w:tc>
          <w:tcPr>
            <w:tcW w:w="1610" w:type="dxa"/>
            <w:tcBorders>
              <w:left w:val="single" w:sz="6" w:space="0" w:color="auto"/>
              <w:bottom w:val="single" w:sz="6" w:space="0" w:color="auto"/>
              <w:right w:val="single" w:sz="6" w:space="0" w:color="auto"/>
            </w:tcBorders>
          </w:tcPr>
          <w:p w14:paraId="02DFB50E" w14:textId="77777777" w:rsidR="007C1AB9" w:rsidRPr="004C4A5C" w:rsidRDefault="007C1AB9" w:rsidP="000C04ED">
            <w:pPr>
              <w:pStyle w:val="tabletext11"/>
              <w:jc w:val="center"/>
            </w:pPr>
            <w:r w:rsidRPr="004C4A5C">
              <w:t>E3</w:t>
            </w:r>
          </w:p>
        </w:tc>
        <w:tc>
          <w:tcPr>
            <w:tcW w:w="900" w:type="dxa"/>
            <w:tcBorders>
              <w:top w:val="nil"/>
              <w:left w:val="single" w:sz="6" w:space="0" w:color="auto"/>
              <w:bottom w:val="single" w:sz="6" w:space="0" w:color="auto"/>
              <w:right w:val="nil"/>
            </w:tcBorders>
          </w:tcPr>
          <w:p w14:paraId="5B3193DB" w14:textId="77777777" w:rsidR="007C1AB9" w:rsidRPr="004C4A5C" w:rsidRDefault="007C1AB9" w:rsidP="000C04ED">
            <w:pPr>
              <w:pStyle w:val="tabletext11"/>
              <w:jc w:val="right"/>
            </w:pPr>
            <w:r w:rsidRPr="004C4A5C">
              <w:t>5</w:t>
            </w:r>
          </w:p>
        </w:tc>
        <w:tc>
          <w:tcPr>
            <w:tcW w:w="780" w:type="dxa"/>
            <w:tcBorders>
              <w:top w:val="nil"/>
              <w:left w:val="nil"/>
              <w:bottom w:val="single" w:sz="6" w:space="0" w:color="auto"/>
              <w:right w:val="single" w:sz="6" w:space="0" w:color="auto"/>
            </w:tcBorders>
          </w:tcPr>
          <w:p w14:paraId="18021420" w14:textId="77777777" w:rsidR="007C1AB9" w:rsidRPr="004C4A5C" w:rsidRDefault="007C1AB9" w:rsidP="000C04ED">
            <w:pPr>
              <w:pStyle w:val="tabletext11"/>
            </w:pPr>
          </w:p>
        </w:tc>
        <w:tc>
          <w:tcPr>
            <w:tcW w:w="420" w:type="dxa"/>
            <w:tcBorders>
              <w:top w:val="nil"/>
              <w:left w:val="single" w:sz="6" w:space="0" w:color="auto"/>
              <w:bottom w:val="single" w:sz="6" w:space="0" w:color="auto"/>
              <w:right w:val="nil"/>
            </w:tcBorders>
          </w:tcPr>
          <w:p w14:paraId="22CAD8C2" w14:textId="77777777" w:rsidR="007C1AB9" w:rsidRPr="004C4A5C" w:rsidRDefault="007C1AB9" w:rsidP="000C04ED">
            <w:pPr>
              <w:pStyle w:val="tabletext11"/>
              <w:jc w:val="right"/>
              <w:rPr>
                <w:b/>
              </w:rPr>
            </w:pPr>
            <w:r w:rsidRPr="004C4A5C">
              <w:rPr>
                <w:b/>
              </w:rPr>
              <w:t>12.</w:t>
            </w:r>
          </w:p>
        </w:tc>
        <w:tc>
          <w:tcPr>
            <w:tcW w:w="6370" w:type="dxa"/>
            <w:gridSpan w:val="4"/>
            <w:tcBorders>
              <w:top w:val="nil"/>
              <w:left w:val="nil"/>
              <w:bottom w:val="single" w:sz="6" w:space="0" w:color="auto"/>
              <w:right w:val="single" w:sz="6" w:space="0" w:color="auto"/>
            </w:tcBorders>
          </w:tcPr>
          <w:p w14:paraId="5AEA48BE" w14:textId="77777777" w:rsidR="007C1AB9" w:rsidRPr="004C4A5C" w:rsidRDefault="007C1AB9" w:rsidP="000C04ED">
            <w:pPr>
              <w:pStyle w:val="tabletext11"/>
            </w:pPr>
            <w:r w:rsidRPr="004C4A5C">
              <w:t>Any structure not included above</w:t>
            </w:r>
          </w:p>
        </w:tc>
      </w:tr>
    </w:tbl>
    <w:p w14:paraId="2C23E5B5" w14:textId="77777777" w:rsidR="007C1AB9" w:rsidRPr="004C4A5C" w:rsidRDefault="007C1AB9" w:rsidP="000C04ED">
      <w:pPr>
        <w:pStyle w:val="tablecaption"/>
      </w:pPr>
      <w:r w:rsidRPr="004C4A5C">
        <w:t xml:space="preserve">Table 73.D.4.c. Class 7 </w:t>
      </w:r>
      <w:r w:rsidRPr="004C4A5C">
        <w:rPr>
          <w:rFonts w:cs="Arial"/>
        </w:rPr>
        <w:t>–</w:t>
      </w:r>
      <w:r w:rsidRPr="004C4A5C">
        <w:t xml:space="preserve"> Special Structures</w:t>
      </w:r>
    </w:p>
    <w:p w14:paraId="78302E90" w14:textId="77777777" w:rsidR="007C1AB9" w:rsidRPr="004C4A5C" w:rsidRDefault="007C1AB9" w:rsidP="000C04ED">
      <w:pPr>
        <w:pStyle w:val="isonormal"/>
      </w:pPr>
    </w:p>
    <w:p w14:paraId="6B773409" w14:textId="77777777" w:rsidR="007C1AB9" w:rsidRPr="004C4A5C" w:rsidRDefault="007C1AB9" w:rsidP="000C04ED">
      <w:pPr>
        <w:pStyle w:val="outlinehd4"/>
      </w:pPr>
      <w:r w:rsidRPr="004C4A5C">
        <w:tab/>
        <w:t>d.</w:t>
      </w:r>
      <w:r w:rsidRPr="004C4A5C">
        <w:tab/>
        <w:t>Masonry Veneer Limitation</w:t>
      </w:r>
    </w:p>
    <w:p w14:paraId="5714227F" w14:textId="77777777" w:rsidR="007C1AB9" w:rsidRPr="004C4A5C" w:rsidRDefault="007C1AB9" w:rsidP="000C04ED">
      <w:pPr>
        <w:pStyle w:val="blocktext5"/>
      </w:pPr>
      <w:r w:rsidRPr="004C4A5C">
        <w:t xml:space="preserve">The masonry veneer limitation of </w:t>
      </w:r>
      <w:del w:id="38" w:author="Author">
        <w:r w:rsidRPr="004C4A5C" w:rsidDel="003D2690">
          <w:delText xml:space="preserve">Form </w:delText>
        </w:r>
      </w:del>
      <w:ins w:id="39" w:author="Author">
        <w:r w:rsidRPr="004C4A5C">
          <w:t xml:space="preserve">Endorsement </w:t>
        </w:r>
      </w:ins>
      <w:r w:rsidRPr="004C4A5C">
        <w:rPr>
          <w:rStyle w:val="formlink"/>
        </w:rPr>
        <w:t>CP 10 40</w:t>
      </w:r>
      <w:r w:rsidRPr="004C4A5C">
        <w:t xml:space="preserve"> (which excludes loss to exterior masonry veneer on wood frame walls but includes stucco on wood frame walls) may be deleted by entering the words "Including Masonry Veneer" in the Premises Description in the Declarations. Multiply the Class A1 building rate by the appropriate factor from Table </w:t>
      </w:r>
      <w:r w:rsidRPr="004C4A5C">
        <w:rPr>
          <w:b/>
        </w:rPr>
        <w:t>73.D.4.d.</w:t>
      </w:r>
    </w:p>
    <w:p w14:paraId="3A7C4B43" w14:textId="77777777" w:rsidR="007C1AB9" w:rsidRPr="004C4A5C" w:rsidRDefault="007C1AB9" w:rsidP="000C04E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00"/>
        <w:gridCol w:w="310"/>
        <w:gridCol w:w="1300"/>
        <w:gridCol w:w="1890"/>
      </w:tblGrid>
      <w:tr w:rsidR="007C1AB9" w:rsidRPr="004C4A5C" w14:paraId="104E7B14" w14:textId="77777777" w:rsidTr="005A0184">
        <w:trPr>
          <w:cantSplit/>
          <w:trHeight w:val="190"/>
        </w:trPr>
        <w:tc>
          <w:tcPr>
            <w:tcW w:w="200" w:type="dxa"/>
            <w:tcBorders>
              <w:top w:val="nil"/>
              <w:left w:val="nil"/>
              <w:bottom w:val="nil"/>
              <w:right w:val="single" w:sz="6" w:space="0" w:color="auto"/>
            </w:tcBorders>
          </w:tcPr>
          <w:p w14:paraId="4D601D1C" w14:textId="77777777" w:rsidR="007C1AB9" w:rsidRPr="004C4A5C" w:rsidRDefault="007C1AB9" w:rsidP="000C04ED">
            <w:pPr>
              <w:pStyle w:val="tablehead"/>
            </w:pPr>
            <w:r w:rsidRPr="004C4A5C">
              <w:br/>
            </w:r>
            <w:r w:rsidRPr="004C4A5C">
              <w:br/>
            </w:r>
          </w:p>
        </w:tc>
        <w:tc>
          <w:tcPr>
            <w:tcW w:w="2910" w:type="dxa"/>
            <w:gridSpan w:val="3"/>
            <w:tcBorders>
              <w:top w:val="single" w:sz="6" w:space="0" w:color="auto"/>
              <w:left w:val="single" w:sz="6" w:space="0" w:color="auto"/>
              <w:bottom w:val="single" w:sz="6" w:space="0" w:color="auto"/>
              <w:right w:val="single" w:sz="6" w:space="0" w:color="auto"/>
            </w:tcBorders>
          </w:tcPr>
          <w:p w14:paraId="7B4997DB" w14:textId="77777777" w:rsidR="007C1AB9" w:rsidRPr="004C4A5C" w:rsidRDefault="007C1AB9" w:rsidP="000C04ED">
            <w:pPr>
              <w:pStyle w:val="tablehead"/>
            </w:pPr>
            <w:r w:rsidRPr="004C4A5C">
              <w:t>Percentage Of Total</w:t>
            </w:r>
            <w:r w:rsidRPr="004C4A5C">
              <w:br/>
              <w:t>Exterior Wall Areas</w:t>
            </w:r>
            <w:r w:rsidRPr="004C4A5C">
              <w:br/>
              <w:t>Faced With Masonry Veneer</w:t>
            </w:r>
          </w:p>
        </w:tc>
        <w:tc>
          <w:tcPr>
            <w:tcW w:w="1890" w:type="dxa"/>
            <w:tcBorders>
              <w:top w:val="single" w:sz="6" w:space="0" w:color="auto"/>
              <w:left w:val="single" w:sz="6" w:space="0" w:color="auto"/>
              <w:bottom w:val="single" w:sz="6" w:space="0" w:color="auto"/>
              <w:right w:val="single" w:sz="6" w:space="0" w:color="auto"/>
            </w:tcBorders>
          </w:tcPr>
          <w:p w14:paraId="5153A0D9" w14:textId="77777777" w:rsidR="007C1AB9" w:rsidRPr="004C4A5C" w:rsidRDefault="007C1AB9" w:rsidP="000C04ED">
            <w:pPr>
              <w:pStyle w:val="tablehead"/>
            </w:pPr>
            <w:r w:rsidRPr="004C4A5C">
              <w:br/>
            </w:r>
            <w:r w:rsidRPr="004C4A5C">
              <w:br/>
              <w:t>Factor</w:t>
            </w:r>
          </w:p>
        </w:tc>
      </w:tr>
      <w:tr w:rsidR="007C1AB9" w:rsidRPr="004C4A5C" w14:paraId="55E11FA1" w14:textId="77777777" w:rsidTr="005A0184">
        <w:trPr>
          <w:cantSplit/>
          <w:trHeight w:val="190"/>
        </w:trPr>
        <w:tc>
          <w:tcPr>
            <w:tcW w:w="200" w:type="dxa"/>
            <w:tcBorders>
              <w:top w:val="nil"/>
              <w:left w:val="nil"/>
              <w:bottom w:val="nil"/>
              <w:right w:val="nil"/>
            </w:tcBorders>
          </w:tcPr>
          <w:p w14:paraId="2DD4645E" w14:textId="77777777" w:rsidR="007C1AB9" w:rsidRPr="004C4A5C" w:rsidRDefault="007C1AB9" w:rsidP="000C04ED">
            <w:pPr>
              <w:pStyle w:val="tabletext11"/>
            </w:pPr>
          </w:p>
        </w:tc>
        <w:tc>
          <w:tcPr>
            <w:tcW w:w="1300" w:type="dxa"/>
            <w:tcBorders>
              <w:top w:val="single" w:sz="6" w:space="0" w:color="auto"/>
              <w:left w:val="single" w:sz="6" w:space="0" w:color="auto"/>
              <w:bottom w:val="nil"/>
              <w:right w:val="nil"/>
            </w:tcBorders>
          </w:tcPr>
          <w:p w14:paraId="481B232B" w14:textId="77777777" w:rsidR="007C1AB9" w:rsidRPr="004C4A5C" w:rsidRDefault="007C1AB9" w:rsidP="000C04ED">
            <w:pPr>
              <w:pStyle w:val="tabletext11"/>
              <w:jc w:val="right"/>
            </w:pPr>
            <w:r w:rsidRPr="004C4A5C">
              <w:t>10%</w:t>
            </w:r>
          </w:p>
        </w:tc>
        <w:tc>
          <w:tcPr>
            <w:tcW w:w="310" w:type="dxa"/>
            <w:tcBorders>
              <w:top w:val="single" w:sz="6" w:space="0" w:color="auto"/>
              <w:left w:val="nil"/>
              <w:bottom w:val="nil"/>
              <w:right w:val="nil"/>
            </w:tcBorders>
          </w:tcPr>
          <w:p w14:paraId="54210B3A" w14:textId="77777777" w:rsidR="007C1AB9" w:rsidRPr="004C4A5C" w:rsidRDefault="007C1AB9" w:rsidP="000C04ED">
            <w:pPr>
              <w:pStyle w:val="tabletext11"/>
            </w:pPr>
            <w:r w:rsidRPr="004C4A5C">
              <w:t xml:space="preserve"> </w:t>
            </w:r>
            <w:r w:rsidRPr="004C4A5C">
              <w:rPr>
                <w:rFonts w:cs="Arial"/>
              </w:rPr>
              <w:t>–</w:t>
            </w:r>
            <w:r w:rsidRPr="004C4A5C">
              <w:t xml:space="preserve"> </w:t>
            </w:r>
          </w:p>
        </w:tc>
        <w:tc>
          <w:tcPr>
            <w:tcW w:w="1300" w:type="dxa"/>
            <w:tcBorders>
              <w:top w:val="single" w:sz="6" w:space="0" w:color="auto"/>
              <w:left w:val="nil"/>
              <w:bottom w:val="nil"/>
              <w:right w:val="single" w:sz="6" w:space="0" w:color="auto"/>
            </w:tcBorders>
          </w:tcPr>
          <w:p w14:paraId="12B88B69" w14:textId="77777777" w:rsidR="007C1AB9" w:rsidRPr="004C4A5C" w:rsidRDefault="007C1AB9" w:rsidP="000C04ED">
            <w:pPr>
              <w:pStyle w:val="tabletext11"/>
            </w:pPr>
            <w:r w:rsidRPr="004C4A5C">
              <w:t>50%</w:t>
            </w:r>
          </w:p>
        </w:tc>
        <w:tc>
          <w:tcPr>
            <w:tcW w:w="1890" w:type="dxa"/>
            <w:tcBorders>
              <w:top w:val="single" w:sz="6" w:space="0" w:color="auto"/>
              <w:left w:val="single" w:sz="6" w:space="0" w:color="auto"/>
              <w:bottom w:val="nil"/>
              <w:right w:val="single" w:sz="6" w:space="0" w:color="auto"/>
            </w:tcBorders>
          </w:tcPr>
          <w:p w14:paraId="4CC8FEBB" w14:textId="77777777" w:rsidR="007C1AB9" w:rsidRPr="004C4A5C" w:rsidRDefault="007C1AB9" w:rsidP="000C04ED">
            <w:pPr>
              <w:pStyle w:val="tabletext11"/>
              <w:tabs>
                <w:tab w:val="decimal" w:pos="820"/>
              </w:tabs>
            </w:pPr>
            <w:r w:rsidRPr="004C4A5C">
              <w:t>1.10</w:t>
            </w:r>
          </w:p>
        </w:tc>
      </w:tr>
      <w:tr w:rsidR="007C1AB9" w:rsidRPr="004C4A5C" w14:paraId="5F91D316" w14:textId="77777777" w:rsidTr="005A0184">
        <w:trPr>
          <w:cantSplit/>
          <w:trHeight w:val="190"/>
        </w:trPr>
        <w:tc>
          <w:tcPr>
            <w:tcW w:w="200" w:type="dxa"/>
            <w:tcBorders>
              <w:top w:val="nil"/>
              <w:left w:val="nil"/>
              <w:bottom w:val="nil"/>
              <w:right w:val="nil"/>
            </w:tcBorders>
          </w:tcPr>
          <w:p w14:paraId="38873935" w14:textId="77777777" w:rsidR="007C1AB9" w:rsidRPr="004C4A5C" w:rsidRDefault="007C1AB9" w:rsidP="000C04ED">
            <w:pPr>
              <w:pStyle w:val="tabletext11"/>
            </w:pPr>
          </w:p>
        </w:tc>
        <w:tc>
          <w:tcPr>
            <w:tcW w:w="2910" w:type="dxa"/>
            <w:gridSpan w:val="3"/>
            <w:tcBorders>
              <w:top w:val="nil"/>
              <w:left w:val="single" w:sz="6" w:space="0" w:color="auto"/>
              <w:bottom w:val="single" w:sz="6" w:space="0" w:color="auto"/>
              <w:right w:val="single" w:sz="6" w:space="0" w:color="auto"/>
            </w:tcBorders>
          </w:tcPr>
          <w:p w14:paraId="36AA784D" w14:textId="77777777" w:rsidR="007C1AB9" w:rsidRPr="004C4A5C" w:rsidRDefault="007C1AB9" w:rsidP="000C04ED">
            <w:pPr>
              <w:pStyle w:val="tabletext11"/>
              <w:jc w:val="center"/>
            </w:pPr>
            <w:r w:rsidRPr="004C4A5C">
              <w:t>Over 50%</w:t>
            </w:r>
          </w:p>
        </w:tc>
        <w:tc>
          <w:tcPr>
            <w:tcW w:w="1890" w:type="dxa"/>
            <w:tcBorders>
              <w:top w:val="nil"/>
              <w:left w:val="single" w:sz="6" w:space="0" w:color="auto"/>
              <w:bottom w:val="single" w:sz="6" w:space="0" w:color="auto"/>
              <w:right w:val="single" w:sz="6" w:space="0" w:color="auto"/>
            </w:tcBorders>
          </w:tcPr>
          <w:p w14:paraId="44D5F7D7" w14:textId="77777777" w:rsidR="007C1AB9" w:rsidRPr="004C4A5C" w:rsidRDefault="007C1AB9" w:rsidP="000C04ED">
            <w:pPr>
              <w:pStyle w:val="tabletext11"/>
              <w:tabs>
                <w:tab w:val="decimal" w:pos="820"/>
              </w:tabs>
            </w:pPr>
            <w:r w:rsidRPr="004C4A5C">
              <w:t>1.15</w:t>
            </w:r>
          </w:p>
        </w:tc>
      </w:tr>
    </w:tbl>
    <w:p w14:paraId="785BE6FA" w14:textId="77777777" w:rsidR="007C1AB9" w:rsidRPr="004C4A5C" w:rsidRDefault="007C1AB9" w:rsidP="000C04ED">
      <w:pPr>
        <w:pStyle w:val="tablecaption"/>
      </w:pPr>
      <w:r w:rsidRPr="004C4A5C">
        <w:t>Table 73.D.4.d. Masonry Veneer Coverage Factors</w:t>
      </w:r>
    </w:p>
    <w:p w14:paraId="78B90BEA" w14:textId="77777777" w:rsidR="007C1AB9" w:rsidRPr="004C4A5C" w:rsidRDefault="007C1AB9" w:rsidP="000C04ED">
      <w:pPr>
        <w:pStyle w:val="isonormal"/>
      </w:pPr>
    </w:p>
    <w:p w14:paraId="6E0AFD07" w14:textId="77777777" w:rsidR="007C1AB9" w:rsidRPr="004C4A5C" w:rsidRDefault="007C1AB9" w:rsidP="000C04ED">
      <w:pPr>
        <w:pStyle w:val="blocktext5"/>
      </w:pPr>
      <w:r w:rsidRPr="004C4A5C">
        <w:t>Where less than 10% of the total outside wall area is faced with masonry veneer, the masonry veneer limitation (excluding stucco) is not applicable, nor does it apply to indirect loss coverage.</w:t>
      </w:r>
    </w:p>
    <w:p w14:paraId="3699DA79" w14:textId="77777777" w:rsidR="007C1AB9" w:rsidRPr="004C4A5C" w:rsidRDefault="007C1AB9" w:rsidP="000C04ED">
      <w:pPr>
        <w:pStyle w:val="outlinehd3"/>
      </w:pPr>
      <w:r w:rsidRPr="004C4A5C">
        <w:tab/>
        <w:t>5.</w:t>
      </w:r>
      <w:r w:rsidRPr="004C4A5C">
        <w:tab/>
        <w:t>Personal Property Rate Grade</w:t>
      </w:r>
    </w:p>
    <w:p w14:paraId="475F2135" w14:textId="77777777" w:rsidR="007C1AB9" w:rsidRPr="004C4A5C" w:rsidRDefault="007C1AB9" w:rsidP="000C04ED">
      <w:pPr>
        <w:pStyle w:val="blocktext4"/>
      </w:pPr>
      <w:r w:rsidRPr="004C4A5C">
        <w:t>Use the following Personal Property Index to develop personal property costs:</w:t>
      </w:r>
    </w:p>
    <w:p w14:paraId="2789D283" w14:textId="77777777" w:rsidR="007C1AB9" w:rsidRPr="004C4A5C" w:rsidRDefault="007C1AB9" w:rsidP="000C04ED">
      <w:pPr>
        <w:pStyle w:val="outlinehd4"/>
      </w:pPr>
      <w:r w:rsidRPr="004C4A5C">
        <w:tab/>
      </w:r>
      <w:r w:rsidRPr="004C4A5C">
        <w:rPr>
          <w:bCs/>
        </w:rPr>
        <w:t>a.</w:t>
      </w:r>
      <w:r w:rsidRPr="004C4A5C">
        <w:tab/>
        <w:t>Personal Property Grade 1</w:t>
      </w:r>
    </w:p>
    <w:p w14:paraId="6D5DA069" w14:textId="77777777" w:rsidR="007C1AB9" w:rsidRPr="004C4A5C" w:rsidRDefault="007C1AB9" w:rsidP="000C04ED">
      <w:pPr>
        <w:pStyle w:val="blocktext5"/>
      </w:pPr>
      <w:r w:rsidRPr="004C4A5C">
        <w:t>Exceptionally high susceptibility to damage by earthquake; for example:</w:t>
      </w:r>
    </w:p>
    <w:p w14:paraId="3BDFDE85" w14:textId="77777777" w:rsidR="007C1AB9" w:rsidRPr="004C4A5C" w:rsidRDefault="007C1AB9" w:rsidP="000C04ED">
      <w:pPr>
        <w:pStyle w:val="blocktext5"/>
        <w:numPr>
          <w:ilvl w:val="0"/>
          <w:numId w:val="4"/>
        </w:numPr>
      </w:pPr>
      <w:r w:rsidRPr="004C4A5C">
        <w:t xml:space="preserve">Manufacturing </w:t>
      </w:r>
      <w:r w:rsidRPr="004C4A5C">
        <w:rPr>
          <w:rFonts w:cs="Arial"/>
        </w:rPr>
        <w:t>–</w:t>
      </w:r>
      <w:r w:rsidRPr="004C4A5C">
        <w:t xml:space="preserve"> Gas Manufacturers </w:t>
      </w:r>
      <w:r w:rsidRPr="004C4A5C">
        <w:rPr>
          <w:rFonts w:cs="Arial"/>
        </w:rPr>
        <w:t>–</w:t>
      </w:r>
      <w:r w:rsidRPr="004C4A5C">
        <w:t xml:space="preserve"> Chemical</w:t>
      </w:r>
    </w:p>
    <w:p w14:paraId="16687042" w14:textId="77777777" w:rsidR="007C1AB9" w:rsidRPr="004C4A5C" w:rsidRDefault="007C1AB9" w:rsidP="000C04ED">
      <w:pPr>
        <w:pStyle w:val="blocktext5"/>
        <w:numPr>
          <w:ilvl w:val="0"/>
          <w:numId w:val="5"/>
        </w:numPr>
      </w:pPr>
      <w:r w:rsidRPr="004C4A5C">
        <w:t xml:space="preserve">Mercantile </w:t>
      </w:r>
      <w:r w:rsidRPr="004C4A5C">
        <w:rPr>
          <w:rFonts w:cs="Arial"/>
        </w:rPr>
        <w:t>–</w:t>
      </w:r>
      <w:r w:rsidRPr="004C4A5C">
        <w:t xml:space="preserve"> Beverage Stores </w:t>
      </w:r>
      <w:r w:rsidRPr="004C4A5C">
        <w:rPr>
          <w:rFonts w:cs="Arial"/>
        </w:rPr>
        <w:t>–</w:t>
      </w:r>
      <w:r w:rsidRPr="004C4A5C">
        <w:t xml:space="preserve"> Liquor and Wine</w:t>
      </w:r>
    </w:p>
    <w:p w14:paraId="3FA74295" w14:textId="77777777" w:rsidR="007C1AB9" w:rsidRPr="004C4A5C" w:rsidRDefault="007C1AB9" w:rsidP="000C04ED">
      <w:pPr>
        <w:pStyle w:val="outlinehd4"/>
      </w:pPr>
      <w:r w:rsidRPr="004C4A5C">
        <w:rPr>
          <w:bCs/>
        </w:rPr>
        <w:tab/>
        <w:t>b.</w:t>
      </w:r>
      <w:r w:rsidRPr="004C4A5C">
        <w:tab/>
        <w:t>Personal Property Grade 2</w:t>
      </w:r>
    </w:p>
    <w:p w14:paraId="0EB22739" w14:textId="77777777" w:rsidR="007C1AB9" w:rsidRPr="004C4A5C" w:rsidRDefault="007C1AB9" w:rsidP="000C04ED">
      <w:pPr>
        <w:pStyle w:val="blocktext5"/>
      </w:pPr>
      <w:r w:rsidRPr="004C4A5C">
        <w:t>High susceptibility to damage by earthquake; for example:</w:t>
      </w:r>
    </w:p>
    <w:p w14:paraId="6397680F" w14:textId="77777777" w:rsidR="007C1AB9" w:rsidRPr="004C4A5C" w:rsidRDefault="007C1AB9" w:rsidP="000C04ED">
      <w:pPr>
        <w:pStyle w:val="blocktext5"/>
        <w:numPr>
          <w:ilvl w:val="0"/>
          <w:numId w:val="10"/>
        </w:numPr>
      </w:pPr>
      <w:r w:rsidRPr="004C4A5C">
        <w:t xml:space="preserve">Manufacturing </w:t>
      </w:r>
      <w:r w:rsidRPr="004C4A5C">
        <w:rPr>
          <w:rFonts w:cs="Arial"/>
        </w:rPr>
        <w:t>–</w:t>
      </w:r>
      <w:r w:rsidRPr="004C4A5C">
        <w:t xml:space="preserve"> Aircraft or Aircraft Parts Manufacturers </w:t>
      </w:r>
      <w:r w:rsidRPr="004C4A5C">
        <w:rPr>
          <w:rFonts w:cs="Arial"/>
        </w:rPr>
        <w:t>–</w:t>
      </w:r>
      <w:r w:rsidRPr="004C4A5C">
        <w:t xml:space="preserve"> Aircraft or Aircraft Parts</w:t>
      </w:r>
    </w:p>
    <w:p w14:paraId="427FE3B0" w14:textId="77777777" w:rsidR="007C1AB9" w:rsidRPr="004C4A5C" w:rsidRDefault="007C1AB9" w:rsidP="000C04ED">
      <w:pPr>
        <w:pStyle w:val="blocktext5"/>
        <w:numPr>
          <w:ilvl w:val="0"/>
          <w:numId w:val="11"/>
        </w:numPr>
      </w:pPr>
      <w:r w:rsidRPr="004C4A5C">
        <w:t xml:space="preserve">Mercantile </w:t>
      </w:r>
      <w:r w:rsidRPr="004C4A5C">
        <w:rPr>
          <w:rFonts w:cs="Arial"/>
        </w:rPr>
        <w:t>–</w:t>
      </w:r>
      <w:r w:rsidRPr="004C4A5C">
        <w:t xml:space="preserve"> Electronics Stores </w:t>
      </w:r>
      <w:r w:rsidRPr="004C4A5C">
        <w:rPr>
          <w:rFonts w:cs="Arial"/>
        </w:rPr>
        <w:t>–</w:t>
      </w:r>
      <w:r w:rsidRPr="004C4A5C">
        <w:t xml:space="preserve"> Electronics</w:t>
      </w:r>
    </w:p>
    <w:p w14:paraId="3F4EA16B" w14:textId="77777777" w:rsidR="007C1AB9" w:rsidRPr="004C4A5C" w:rsidRDefault="007C1AB9" w:rsidP="000C04ED">
      <w:pPr>
        <w:pStyle w:val="outlinehd4"/>
      </w:pPr>
      <w:r w:rsidRPr="004C4A5C">
        <w:rPr>
          <w:bCs/>
        </w:rPr>
        <w:tab/>
        <w:t>c.</w:t>
      </w:r>
      <w:r w:rsidRPr="004C4A5C">
        <w:tab/>
        <w:t>Personal Property Grade 3</w:t>
      </w:r>
    </w:p>
    <w:p w14:paraId="46934E7A" w14:textId="77777777" w:rsidR="007C1AB9" w:rsidRPr="004C4A5C" w:rsidRDefault="007C1AB9" w:rsidP="000C04ED">
      <w:pPr>
        <w:pStyle w:val="blocktext5"/>
      </w:pPr>
      <w:r w:rsidRPr="004C4A5C">
        <w:t>Moderate susceptibility to damage by earthquake; for example:</w:t>
      </w:r>
    </w:p>
    <w:p w14:paraId="1C367889" w14:textId="77777777" w:rsidR="007C1AB9" w:rsidRPr="004C4A5C" w:rsidRDefault="007C1AB9" w:rsidP="000C04ED">
      <w:pPr>
        <w:pStyle w:val="blocktext5"/>
        <w:numPr>
          <w:ilvl w:val="0"/>
          <w:numId w:val="8"/>
        </w:numPr>
      </w:pPr>
      <w:r w:rsidRPr="004C4A5C">
        <w:t xml:space="preserve">Manufacturing </w:t>
      </w:r>
      <w:r w:rsidRPr="004C4A5C">
        <w:rPr>
          <w:rFonts w:cs="Arial"/>
        </w:rPr>
        <w:t>–</w:t>
      </w:r>
      <w:r w:rsidRPr="004C4A5C">
        <w:t xml:space="preserve"> Publishers </w:t>
      </w:r>
      <w:r w:rsidRPr="004C4A5C">
        <w:rPr>
          <w:rFonts w:cs="Arial"/>
        </w:rPr>
        <w:t>–</w:t>
      </w:r>
      <w:r w:rsidRPr="004C4A5C">
        <w:t xml:space="preserve"> Books or Magazines</w:t>
      </w:r>
    </w:p>
    <w:p w14:paraId="70BAEDEB" w14:textId="77777777" w:rsidR="007C1AB9" w:rsidRPr="004C4A5C" w:rsidRDefault="007C1AB9" w:rsidP="000C04ED">
      <w:pPr>
        <w:pStyle w:val="blocktext5"/>
        <w:numPr>
          <w:ilvl w:val="0"/>
          <w:numId w:val="9"/>
        </w:numPr>
      </w:pPr>
      <w:r w:rsidRPr="004C4A5C">
        <w:t xml:space="preserve">Mercantile </w:t>
      </w:r>
      <w:r w:rsidRPr="004C4A5C">
        <w:rPr>
          <w:rFonts w:cs="Arial"/>
        </w:rPr>
        <w:t>–</w:t>
      </w:r>
      <w:r w:rsidRPr="004C4A5C">
        <w:t xml:space="preserve"> Boat and Marine Supply Dealers </w:t>
      </w:r>
      <w:r w:rsidRPr="004C4A5C">
        <w:rPr>
          <w:rFonts w:cs="Arial"/>
        </w:rPr>
        <w:t>–</w:t>
      </w:r>
      <w:r w:rsidRPr="004C4A5C">
        <w:t xml:space="preserve"> Boat and Marine</w:t>
      </w:r>
    </w:p>
    <w:p w14:paraId="4E463B85" w14:textId="77777777" w:rsidR="007C1AB9" w:rsidRPr="004C4A5C" w:rsidRDefault="007C1AB9" w:rsidP="000C04ED">
      <w:pPr>
        <w:pStyle w:val="outlinehd4"/>
      </w:pPr>
      <w:r w:rsidRPr="004C4A5C">
        <w:rPr>
          <w:bCs/>
        </w:rPr>
        <w:tab/>
        <w:t>d.</w:t>
      </w:r>
      <w:r w:rsidRPr="004C4A5C">
        <w:rPr>
          <w:bCs/>
        </w:rPr>
        <w:tab/>
      </w:r>
      <w:r w:rsidRPr="004C4A5C">
        <w:t>Personal Property Grade 4</w:t>
      </w:r>
    </w:p>
    <w:p w14:paraId="77662D90" w14:textId="77777777" w:rsidR="007C1AB9" w:rsidRPr="004C4A5C" w:rsidRDefault="007C1AB9" w:rsidP="000C04ED">
      <w:pPr>
        <w:pStyle w:val="blocktext5"/>
      </w:pPr>
      <w:r w:rsidRPr="004C4A5C">
        <w:t>Slight susceptibility to damage by earthquake; for example:</w:t>
      </w:r>
    </w:p>
    <w:p w14:paraId="25EEDBC2" w14:textId="77777777" w:rsidR="007C1AB9" w:rsidRPr="004C4A5C" w:rsidRDefault="007C1AB9" w:rsidP="000C04ED">
      <w:pPr>
        <w:pStyle w:val="blocktext5"/>
        <w:numPr>
          <w:ilvl w:val="0"/>
          <w:numId w:val="6"/>
        </w:numPr>
      </w:pPr>
      <w:r w:rsidRPr="004C4A5C">
        <w:t xml:space="preserve">Manufacturing </w:t>
      </w:r>
      <w:r w:rsidRPr="004C4A5C">
        <w:rPr>
          <w:rFonts w:cs="Arial"/>
        </w:rPr>
        <w:t>–</w:t>
      </w:r>
      <w:r w:rsidRPr="004C4A5C">
        <w:t xml:space="preserve"> Cement or Plaster Manufacturers </w:t>
      </w:r>
      <w:r w:rsidRPr="004C4A5C">
        <w:rPr>
          <w:rFonts w:cs="Arial"/>
        </w:rPr>
        <w:t>–</w:t>
      </w:r>
      <w:r w:rsidRPr="004C4A5C">
        <w:t xml:space="preserve"> Cement or Plaster</w:t>
      </w:r>
    </w:p>
    <w:p w14:paraId="5771716D" w14:textId="77777777" w:rsidR="007C1AB9" w:rsidRPr="004C4A5C" w:rsidRDefault="007C1AB9" w:rsidP="000C04ED">
      <w:pPr>
        <w:pStyle w:val="blocktext5"/>
        <w:numPr>
          <w:ilvl w:val="0"/>
          <w:numId w:val="7"/>
        </w:numPr>
      </w:pPr>
      <w:r w:rsidRPr="004C4A5C">
        <w:t xml:space="preserve">Mercantile </w:t>
      </w:r>
      <w:r w:rsidRPr="004C4A5C">
        <w:rPr>
          <w:rFonts w:cs="Arial"/>
        </w:rPr>
        <w:t>–</w:t>
      </w:r>
      <w:r w:rsidRPr="004C4A5C">
        <w:t xml:space="preserve"> Floor Covering Distributors </w:t>
      </w:r>
      <w:r w:rsidRPr="004C4A5C">
        <w:rPr>
          <w:rFonts w:cs="Arial"/>
        </w:rPr>
        <w:t>–</w:t>
      </w:r>
      <w:r w:rsidRPr="004C4A5C">
        <w:t xml:space="preserve"> Carpets and Rugs</w:t>
      </w:r>
    </w:p>
    <w:p w14:paraId="3619352B" w14:textId="77777777" w:rsidR="007C1AB9" w:rsidRPr="004C4A5C" w:rsidRDefault="007C1AB9" w:rsidP="000C04ED">
      <w:pPr>
        <w:pStyle w:val="outlinehd3"/>
      </w:pPr>
      <w:r w:rsidRPr="004C4A5C">
        <w:tab/>
        <w:t>6.</w:t>
      </w:r>
      <w:r w:rsidRPr="004C4A5C">
        <w:tab/>
        <w:t>Coinsurance</w:t>
      </w:r>
    </w:p>
    <w:p w14:paraId="001992E8" w14:textId="77777777" w:rsidR="007C1AB9" w:rsidRPr="004C4A5C" w:rsidRDefault="007C1AB9" w:rsidP="000C04ED">
      <w:pPr>
        <w:pStyle w:val="outlinehd4"/>
      </w:pPr>
      <w:r w:rsidRPr="004C4A5C">
        <w:tab/>
        <w:t>a.</w:t>
      </w:r>
      <w:r w:rsidRPr="004C4A5C">
        <w:tab/>
        <w:t>Specific Insurance</w:t>
      </w:r>
    </w:p>
    <w:p w14:paraId="7025916A" w14:textId="77777777" w:rsidR="007C1AB9" w:rsidRPr="004C4A5C" w:rsidRDefault="007C1AB9" w:rsidP="000C04ED">
      <w:pPr>
        <w:pStyle w:val="blocktext5"/>
      </w:pPr>
      <w:r w:rsidRPr="004C4A5C">
        <w:t>Multiply the 80% coinsurance building or personal property rate by the following factors to convert the 80% rate to 90% or 100% coinsurance.</w:t>
      </w:r>
    </w:p>
    <w:p w14:paraId="6C48861E" w14:textId="77777777" w:rsidR="007C1AB9" w:rsidRPr="004C4A5C" w:rsidRDefault="007C1AB9" w:rsidP="000C04E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7C1AB9" w:rsidRPr="004C4A5C" w14:paraId="148BEC0D" w14:textId="77777777" w:rsidTr="005A0184">
        <w:trPr>
          <w:cantSplit/>
          <w:trHeight w:val="190"/>
        </w:trPr>
        <w:tc>
          <w:tcPr>
            <w:tcW w:w="200" w:type="dxa"/>
            <w:tcBorders>
              <w:top w:val="nil"/>
              <w:left w:val="nil"/>
              <w:bottom w:val="nil"/>
              <w:right w:val="nil"/>
            </w:tcBorders>
          </w:tcPr>
          <w:p w14:paraId="354E290E" w14:textId="77777777" w:rsidR="007C1AB9" w:rsidRPr="004C4A5C" w:rsidRDefault="007C1AB9" w:rsidP="000C04ED">
            <w:pPr>
              <w:pStyle w:val="tablehead"/>
            </w:pPr>
            <w:r w:rsidRPr="004C4A5C">
              <w:br/>
            </w:r>
          </w:p>
        </w:tc>
        <w:tc>
          <w:tcPr>
            <w:tcW w:w="2400" w:type="dxa"/>
            <w:tcBorders>
              <w:top w:val="single" w:sz="6" w:space="0" w:color="auto"/>
              <w:left w:val="single" w:sz="6" w:space="0" w:color="auto"/>
              <w:bottom w:val="single" w:sz="6" w:space="0" w:color="auto"/>
              <w:right w:val="single" w:sz="6" w:space="0" w:color="auto"/>
            </w:tcBorders>
          </w:tcPr>
          <w:p w14:paraId="1289D72E" w14:textId="77777777" w:rsidR="007C1AB9" w:rsidRPr="004C4A5C" w:rsidRDefault="007C1AB9" w:rsidP="000C04ED">
            <w:pPr>
              <w:pStyle w:val="tablehead"/>
            </w:pPr>
            <w:r w:rsidRPr="004C4A5C">
              <w:t>Percent Of</w:t>
            </w:r>
            <w:r w:rsidRPr="004C4A5C">
              <w:br/>
              <w:t>Coinsurance</w:t>
            </w:r>
          </w:p>
        </w:tc>
        <w:tc>
          <w:tcPr>
            <w:tcW w:w="2400" w:type="dxa"/>
            <w:tcBorders>
              <w:top w:val="single" w:sz="6" w:space="0" w:color="auto"/>
              <w:left w:val="single" w:sz="6" w:space="0" w:color="auto"/>
              <w:bottom w:val="single" w:sz="6" w:space="0" w:color="auto"/>
              <w:right w:val="single" w:sz="6" w:space="0" w:color="auto"/>
            </w:tcBorders>
          </w:tcPr>
          <w:p w14:paraId="4D10B210" w14:textId="77777777" w:rsidR="007C1AB9" w:rsidRPr="004C4A5C" w:rsidRDefault="007C1AB9" w:rsidP="000C04ED">
            <w:pPr>
              <w:pStyle w:val="tablehead"/>
            </w:pPr>
            <w:r w:rsidRPr="004C4A5C">
              <w:br/>
              <w:t>Factor</w:t>
            </w:r>
          </w:p>
        </w:tc>
      </w:tr>
      <w:tr w:rsidR="007C1AB9" w:rsidRPr="004C4A5C" w14:paraId="360B2CD9" w14:textId="77777777" w:rsidTr="005A0184">
        <w:trPr>
          <w:cantSplit/>
          <w:trHeight w:val="190"/>
        </w:trPr>
        <w:tc>
          <w:tcPr>
            <w:tcW w:w="200" w:type="dxa"/>
            <w:tcBorders>
              <w:top w:val="nil"/>
              <w:left w:val="nil"/>
              <w:bottom w:val="nil"/>
              <w:right w:val="nil"/>
            </w:tcBorders>
          </w:tcPr>
          <w:p w14:paraId="56EB7933" w14:textId="77777777" w:rsidR="007C1AB9" w:rsidRPr="004C4A5C" w:rsidRDefault="007C1AB9" w:rsidP="000C04ED">
            <w:pPr>
              <w:pStyle w:val="tabletext11"/>
            </w:pPr>
          </w:p>
        </w:tc>
        <w:tc>
          <w:tcPr>
            <w:tcW w:w="2400" w:type="dxa"/>
            <w:tcBorders>
              <w:top w:val="nil"/>
              <w:left w:val="single" w:sz="6" w:space="0" w:color="auto"/>
              <w:bottom w:val="nil"/>
              <w:right w:val="single" w:sz="6" w:space="0" w:color="auto"/>
            </w:tcBorders>
          </w:tcPr>
          <w:p w14:paraId="22958880" w14:textId="77777777" w:rsidR="007C1AB9" w:rsidRPr="004C4A5C" w:rsidRDefault="007C1AB9" w:rsidP="000C04ED">
            <w:pPr>
              <w:pStyle w:val="tabletext11"/>
              <w:tabs>
                <w:tab w:val="decimal" w:pos="1240"/>
              </w:tabs>
            </w:pPr>
            <w:r w:rsidRPr="004C4A5C">
              <w:t>90%</w:t>
            </w:r>
          </w:p>
        </w:tc>
        <w:tc>
          <w:tcPr>
            <w:tcW w:w="2400" w:type="dxa"/>
            <w:tcBorders>
              <w:top w:val="single" w:sz="6" w:space="0" w:color="auto"/>
              <w:left w:val="single" w:sz="6" w:space="0" w:color="auto"/>
              <w:bottom w:val="nil"/>
              <w:right w:val="single" w:sz="6" w:space="0" w:color="auto"/>
            </w:tcBorders>
          </w:tcPr>
          <w:p w14:paraId="5DA24A59" w14:textId="77777777" w:rsidR="007C1AB9" w:rsidRPr="004C4A5C" w:rsidRDefault="007C1AB9" w:rsidP="000C04ED">
            <w:pPr>
              <w:pStyle w:val="tabletext11"/>
              <w:jc w:val="center"/>
            </w:pPr>
            <w:r w:rsidRPr="004C4A5C">
              <w:t>.95</w:t>
            </w:r>
          </w:p>
        </w:tc>
      </w:tr>
      <w:tr w:rsidR="007C1AB9" w:rsidRPr="004C4A5C" w14:paraId="66D957FB" w14:textId="77777777" w:rsidTr="005A0184">
        <w:trPr>
          <w:cantSplit/>
          <w:trHeight w:val="190"/>
        </w:trPr>
        <w:tc>
          <w:tcPr>
            <w:tcW w:w="200" w:type="dxa"/>
            <w:tcBorders>
              <w:top w:val="nil"/>
              <w:left w:val="nil"/>
              <w:bottom w:val="nil"/>
              <w:right w:val="nil"/>
            </w:tcBorders>
          </w:tcPr>
          <w:p w14:paraId="65C4459D" w14:textId="77777777" w:rsidR="007C1AB9" w:rsidRPr="004C4A5C" w:rsidRDefault="007C1AB9" w:rsidP="000C04ED">
            <w:pPr>
              <w:pStyle w:val="tabletext11"/>
            </w:pPr>
          </w:p>
        </w:tc>
        <w:tc>
          <w:tcPr>
            <w:tcW w:w="2400" w:type="dxa"/>
            <w:tcBorders>
              <w:top w:val="nil"/>
              <w:left w:val="single" w:sz="6" w:space="0" w:color="auto"/>
              <w:bottom w:val="single" w:sz="6" w:space="0" w:color="auto"/>
              <w:right w:val="single" w:sz="6" w:space="0" w:color="auto"/>
            </w:tcBorders>
          </w:tcPr>
          <w:p w14:paraId="35AF8E7F" w14:textId="77777777" w:rsidR="007C1AB9" w:rsidRPr="004C4A5C" w:rsidRDefault="007C1AB9" w:rsidP="000C04ED">
            <w:pPr>
              <w:pStyle w:val="tabletext11"/>
              <w:tabs>
                <w:tab w:val="decimal" w:pos="1240"/>
              </w:tabs>
            </w:pPr>
            <w:r w:rsidRPr="004C4A5C">
              <w:t>100%</w:t>
            </w:r>
          </w:p>
        </w:tc>
        <w:tc>
          <w:tcPr>
            <w:tcW w:w="2400" w:type="dxa"/>
            <w:tcBorders>
              <w:top w:val="nil"/>
              <w:left w:val="single" w:sz="6" w:space="0" w:color="auto"/>
              <w:bottom w:val="single" w:sz="6" w:space="0" w:color="auto"/>
              <w:right w:val="single" w:sz="6" w:space="0" w:color="auto"/>
            </w:tcBorders>
          </w:tcPr>
          <w:p w14:paraId="2AFA7EA5" w14:textId="77777777" w:rsidR="007C1AB9" w:rsidRPr="004C4A5C" w:rsidRDefault="007C1AB9" w:rsidP="000C04ED">
            <w:pPr>
              <w:pStyle w:val="tabletext11"/>
              <w:jc w:val="center"/>
            </w:pPr>
            <w:r w:rsidRPr="004C4A5C">
              <w:t>.90</w:t>
            </w:r>
          </w:p>
        </w:tc>
      </w:tr>
    </w:tbl>
    <w:p w14:paraId="3B11226F" w14:textId="77777777" w:rsidR="007C1AB9" w:rsidRPr="004C4A5C" w:rsidRDefault="007C1AB9" w:rsidP="000C04ED">
      <w:pPr>
        <w:pStyle w:val="tablecaption"/>
      </w:pPr>
      <w:r w:rsidRPr="004C4A5C">
        <w:t>Table 73.D.6.a. Coinsurance Modification Factors – Earthquake</w:t>
      </w:r>
    </w:p>
    <w:p w14:paraId="1B62C588" w14:textId="77777777" w:rsidR="007C1AB9" w:rsidRPr="004C4A5C" w:rsidRDefault="007C1AB9" w:rsidP="000C04ED">
      <w:pPr>
        <w:pStyle w:val="isonormal"/>
      </w:pPr>
    </w:p>
    <w:p w14:paraId="3740B7A4" w14:textId="77777777" w:rsidR="007C1AB9" w:rsidRPr="004C4A5C" w:rsidRDefault="007C1AB9" w:rsidP="000C04ED">
      <w:pPr>
        <w:pStyle w:val="outlinehd4"/>
      </w:pPr>
      <w:r w:rsidRPr="004C4A5C">
        <w:tab/>
        <w:t>b.</w:t>
      </w:r>
      <w:r w:rsidRPr="004C4A5C">
        <w:tab/>
        <w:t>Blanket And Multiple Location Average Rated Coverages</w:t>
      </w:r>
    </w:p>
    <w:p w14:paraId="48D1E21F" w14:textId="77777777" w:rsidR="007C1AB9" w:rsidRPr="004C4A5C" w:rsidRDefault="007C1AB9" w:rsidP="000C04ED">
      <w:pPr>
        <w:pStyle w:val="blocktext5"/>
      </w:pPr>
      <w:r w:rsidRPr="004C4A5C">
        <w:t xml:space="preserve">Refer to Rules </w:t>
      </w:r>
      <w:r w:rsidRPr="004C4A5C">
        <w:rPr>
          <w:b/>
        </w:rPr>
        <w:t>34.,</w:t>
      </w:r>
      <w:r w:rsidRPr="004C4A5C">
        <w:rPr>
          <w:bCs/>
        </w:rPr>
        <w:t xml:space="preserve"> </w:t>
      </w:r>
      <w:r w:rsidRPr="004C4A5C">
        <w:rPr>
          <w:b/>
        </w:rPr>
        <w:t>35.</w:t>
      </w:r>
      <w:r w:rsidRPr="004C4A5C">
        <w:t xml:space="preserve"> and </w:t>
      </w:r>
      <w:r w:rsidRPr="004C4A5C">
        <w:rPr>
          <w:b/>
        </w:rPr>
        <w:t>36.</w:t>
      </w:r>
      <w:r w:rsidRPr="004C4A5C">
        <w:t xml:space="preserve"> for coinsurance rating procedures.</w:t>
      </w:r>
    </w:p>
    <w:p w14:paraId="36DCAD68" w14:textId="77777777" w:rsidR="007C1AB9" w:rsidRPr="004C4A5C" w:rsidRDefault="007C1AB9" w:rsidP="000C04ED">
      <w:pPr>
        <w:pStyle w:val="outlinehd2"/>
      </w:pPr>
      <w:r w:rsidRPr="004C4A5C">
        <w:tab/>
        <w:t>E.</w:t>
      </w:r>
      <w:r w:rsidRPr="004C4A5C">
        <w:tab/>
        <w:t>Premium Determination</w:t>
      </w:r>
    </w:p>
    <w:p w14:paraId="4AF54912" w14:textId="77777777" w:rsidR="007C1AB9" w:rsidRPr="004C4A5C" w:rsidRDefault="007C1AB9" w:rsidP="000C04ED">
      <w:pPr>
        <w:pStyle w:val="outlinehd3"/>
      </w:pPr>
      <w:r w:rsidRPr="004C4A5C">
        <w:tab/>
        <w:t>1.</w:t>
      </w:r>
      <w:r w:rsidRPr="004C4A5C">
        <w:tab/>
        <w:t>Rate Calculations</w:t>
      </w:r>
    </w:p>
    <w:p w14:paraId="3F010CA8" w14:textId="77777777" w:rsidR="007C1AB9" w:rsidRPr="004C4A5C" w:rsidRDefault="007C1AB9" w:rsidP="000C04ED">
      <w:pPr>
        <w:pStyle w:val="outlinehd4"/>
      </w:pPr>
      <w:r w:rsidRPr="004C4A5C">
        <w:tab/>
        <w:t>a.</w:t>
      </w:r>
      <w:r w:rsidRPr="004C4A5C">
        <w:tab/>
        <w:t>Property Damage Coverages</w:t>
      </w:r>
    </w:p>
    <w:p w14:paraId="264F700F" w14:textId="77777777" w:rsidR="007C1AB9" w:rsidRPr="004C4A5C" w:rsidRDefault="007C1AB9" w:rsidP="000C04ED">
      <w:pPr>
        <w:pStyle w:val="outlinetxt5"/>
      </w:pPr>
      <w:r w:rsidRPr="004C4A5C">
        <w:tab/>
      </w:r>
      <w:r w:rsidRPr="004C4A5C">
        <w:rPr>
          <w:b/>
          <w:bCs/>
        </w:rPr>
        <w:t>(1)</w:t>
      </w:r>
      <w:r w:rsidRPr="004C4A5C">
        <w:tab/>
        <w:t>Select the appropriate building or personal property rate from the state rates based on the following applicable items:</w:t>
      </w:r>
    </w:p>
    <w:p w14:paraId="508ABFEC" w14:textId="77777777" w:rsidR="007C1AB9" w:rsidRPr="004C4A5C" w:rsidRDefault="007C1AB9" w:rsidP="000C04ED">
      <w:pPr>
        <w:pStyle w:val="outlinetxt6"/>
      </w:pPr>
      <w:r w:rsidRPr="004C4A5C">
        <w:tab/>
      </w:r>
      <w:r w:rsidRPr="004C4A5C">
        <w:rPr>
          <w:b/>
        </w:rPr>
        <w:t>(a)</w:t>
      </w:r>
      <w:r w:rsidRPr="004C4A5C">
        <w:tab/>
        <w:t>Deductible;</w:t>
      </w:r>
    </w:p>
    <w:p w14:paraId="75F19DB8" w14:textId="77777777" w:rsidR="007C1AB9" w:rsidRPr="004C4A5C" w:rsidRDefault="007C1AB9" w:rsidP="000C04ED">
      <w:pPr>
        <w:pStyle w:val="outlinetxt6"/>
      </w:pPr>
      <w:r w:rsidRPr="004C4A5C">
        <w:tab/>
      </w:r>
      <w:r w:rsidRPr="004C4A5C">
        <w:rPr>
          <w:b/>
        </w:rPr>
        <w:t>(b)</w:t>
      </w:r>
      <w:r w:rsidRPr="004C4A5C">
        <w:tab/>
        <w:t>Territory;</w:t>
      </w:r>
    </w:p>
    <w:p w14:paraId="513C85A4" w14:textId="77777777" w:rsidR="007C1AB9" w:rsidRPr="004C4A5C" w:rsidRDefault="007C1AB9" w:rsidP="000C04ED">
      <w:pPr>
        <w:pStyle w:val="outlinetxt6"/>
      </w:pPr>
      <w:r w:rsidRPr="004C4A5C">
        <w:tab/>
      </w:r>
      <w:r w:rsidRPr="004C4A5C">
        <w:rPr>
          <w:b/>
        </w:rPr>
        <w:t>(c)</w:t>
      </w:r>
      <w:r w:rsidRPr="004C4A5C">
        <w:tab/>
        <w:t>Building classification;</w:t>
      </w:r>
    </w:p>
    <w:p w14:paraId="19DFD0B4" w14:textId="77777777" w:rsidR="007C1AB9" w:rsidRPr="004C4A5C" w:rsidRDefault="007C1AB9" w:rsidP="000C04ED">
      <w:pPr>
        <w:pStyle w:val="outlinetxt6"/>
      </w:pPr>
      <w:r w:rsidRPr="004C4A5C">
        <w:tab/>
      </w:r>
      <w:r w:rsidRPr="004C4A5C">
        <w:rPr>
          <w:b/>
        </w:rPr>
        <w:t>(d)</w:t>
      </w:r>
      <w:r w:rsidRPr="004C4A5C">
        <w:tab/>
        <w:t>Personal property rate grade;</w:t>
      </w:r>
    </w:p>
    <w:p w14:paraId="3A5640FD" w14:textId="77777777" w:rsidR="007C1AB9" w:rsidRPr="004C4A5C" w:rsidRDefault="007C1AB9" w:rsidP="000C04ED">
      <w:pPr>
        <w:pStyle w:val="outlinetxt6"/>
      </w:pPr>
      <w:r w:rsidRPr="004C4A5C">
        <w:tab/>
      </w:r>
      <w:r w:rsidRPr="004C4A5C">
        <w:rPr>
          <w:b/>
        </w:rPr>
        <w:t>(e)</w:t>
      </w:r>
      <w:r w:rsidRPr="004C4A5C">
        <w:tab/>
        <w:t>Rating penalties (if applicable).</w:t>
      </w:r>
    </w:p>
    <w:p w14:paraId="1A07FB36" w14:textId="77777777" w:rsidR="007C1AB9" w:rsidRPr="004C4A5C" w:rsidRDefault="007C1AB9" w:rsidP="000C04ED">
      <w:pPr>
        <w:pStyle w:val="outlinehd5"/>
      </w:pPr>
      <w:r w:rsidRPr="004C4A5C">
        <w:lastRenderedPageBreak/>
        <w:tab/>
        <w:t>(2)</w:t>
      </w:r>
      <w:r w:rsidRPr="004C4A5C">
        <w:tab/>
        <w:t>Soft Story</w:t>
      </w:r>
    </w:p>
    <w:p w14:paraId="3F3CFD2A" w14:textId="77777777" w:rsidR="007C1AB9" w:rsidRPr="004C4A5C" w:rsidRDefault="007C1AB9" w:rsidP="000C04ED">
      <w:pPr>
        <w:pStyle w:val="blocktext6"/>
        <w:rPr>
          <w:b/>
          <w:bCs/>
        </w:rPr>
      </w:pPr>
      <w:r w:rsidRPr="004C4A5C">
        <w:t xml:space="preserve">Soft story refers to a particularly weak, flexible or otherwise vulnerable ground floor, most common in older, wood-frame, multi-story buildings. A soft story often features relatively large window and door openings and has fewer partitions (less bracing) than the overlying levels. Examples of structures with a soft story include an apartment building with storefronts on the ground floor or a house with the living space constructed over the garage. Excluded are buildings retrofitted or engineered to mitigate the seismic effects of soft story. Multiply building rate and personal property rate by the appropriate factor from Table </w:t>
      </w:r>
      <w:r w:rsidRPr="004C4A5C">
        <w:rPr>
          <w:b/>
          <w:bCs/>
        </w:rPr>
        <w:t>73.E.1.a.(2).</w:t>
      </w:r>
    </w:p>
    <w:p w14:paraId="21C91717" w14:textId="77777777" w:rsidR="007C1AB9" w:rsidRPr="004C4A5C" w:rsidRDefault="007C1AB9" w:rsidP="000C04E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30"/>
        <w:gridCol w:w="1135"/>
        <w:gridCol w:w="1135"/>
      </w:tblGrid>
      <w:tr w:rsidR="007C1AB9" w:rsidRPr="004C4A5C" w14:paraId="28C5BAEC" w14:textId="77777777" w:rsidTr="005A0184">
        <w:trPr>
          <w:cantSplit/>
          <w:trHeight w:val="190"/>
        </w:trPr>
        <w:tc>
          <w:tcPr>
            <w:tcW w:w="200" w:type="dxa"/>
          </w:tcPr>
          <w:p w14:paraId="3A87973C" w14:textId="77777777" w:rsidR="007C1AB9" w:rsidRPr="004C4A5C" w:rsidRDefault="007C1AB9" w:rsidP="000C04ED">
            <w:pPr>
              <w:pStyle w:val="tablehead"/>
              <w:jc w:val="right"/>
            </w:pPr>
          </w:p>
        </w:tc>
        <w:tc>
          <w:tcPr>
            <w:tcW w:w="2530" w:type="dxa"/>
            <w:tcBorders>
              <w:top w:val="single" w:sz="6" w:space="0" w:color="auto"/>
              <w:left w:val="single" w:sz="6" w:space="0" w:color="auto"/>
              <w:bottom w:val="single" w:sz="6" w:space="0" w:color="auto"/>
              <w:right w:val="single" w:sz="6" w:space="0" w:color="auto"/>
            </w:tcBorders>
            <w:vAlign w:val="bottom"/>
          </w:tcPr>
          <w:p w14:paraId="7EC1B661" w14:textId="77777777" w:rsidR="007C1AB9" w:rsidRPr="004C4A5C" w:rsidRDefault="007C1AB9" w:rsidP="000C04ED">
            <w:pPr>
              <w:pStyle w:val="tablehead"/>
            </w:pPr>
          </w:p>
        </w:tc>
        <w:tc>
          <w:tcPr>
            <w:tcW w:w="1135" w:type="dxa"/>
            <w:tcBorders>
              <w:top w:val="single" w:sz="6" w:space="0" w:color="auto"/>
              <w:left w:val="single" w:sz="6" w:space="0" w:color="auto"/>
              <w:bottom w:val="single" w:sz="6" w:space="0" w:color="auto"/>
              <w:right w:val="single" w:sz="6" w:space="0" w:color="auto"/>
            </w:tcBorders>
            <w:vAlign w:val="bottom"/>
          </w:tcPr>
          <w:p w14:paraId="687EA26B" w14:textId="77777777" w:rsidR="007C1AB9" w:rsidRPr="004C4A5C" w:rsidRDefault="007C1AB9" w:rsidP="000C04ED">
            <w:pPr>
              <w:pStyle w:val="tablehead"/>
            </w:pPr>
            <w:r w:rsidRPr="004C4A5C">
              <w:t>Building</w:t>
            </w:r>
          </w:p>
        </w:tc>
        <w:tc>
          <w:tcPr>
            <w:tcW w:w="1135" w:type="dxa"/>
            <w:tcBorders>
              <w:top w:val="single" w:sz="6" w:space="0" w:color="auto"/>
              <w:left w:val="single" w:sz="6" w:space="0" w:color="auto"/>
              <w:bottom w:val="single" w:sz="6" w:space="0" w:color="auto"/>
              <w:right w:val="single" w:sz="6" w:space="0" w:color="auto"/>
            </w:tcBorders>
          </w:tcPr>
          <w:p w14:paraId="5D29D463" w14:textId="77777777" w:rsidR="007C1AB9" w:rsidRPr="004C4A5C" w:rsidRDefault="007C1AB9" w:rsidP="000C04ED">
            <w:pPr>
              <w:pStyle w:val="tablehead"/>
            </w:pPr>
            <w:r w:rsidRPr="004C4A5C">
              <w:t>Personal</w:t>
            </w:r>
            <w:r w:rsidRPr="004C4A5C">
              <w:br/>
              <w:t>Property</w:t>
            </w:r>
          </w:p>
        </w:tc>
      </w:tr>
      <w:tr w:rsidR="007C1AB9" w:rsidRPr="004C4A5C" w14:paraId="2E6586D4" w14:textId="77777777" w:rsidTr="005A0184">
        <w:trPr>
          <w:cantSplit/>
          <w:trHeight w:val="190"/>
        </w:trPr>
        <w:tc>
          <w:tcPr>
            <w:tcW w:w="200" w:type="dxa"/>
          </w:tcPr>
          <w:p w14:paraId="44A0CB39" w14:textId="77777777" w:rsidR="007C1AB9" w:rsidRPr="004C4A5C" w:rsidRDefault="007C1AB9" w:rsidP="000C04ED">
            <w:pPr>
              <w:pStyle w:val="tabletext11"/>
              <w:jc w:val="right"/>
            </w:pPr>
          </w:p>
        </w:tc>
        <w:tc>
          <w:tcPr>
            <w:tcW w:w="2530" w:type="dxa"/>
            <w:tcBorders>
              <w:top w:val="single" w:sz="6" w:space="0" w:color="auto"/>
              <w:left w:val="single" w:sz="6" w:space="0" w:color="auto"/>
              <w:bottom w:val="single" w:sz="6" w:space="0" w:color="auto"/>
              <w:right w:val="single" w:sz="6" w:space="0" w:color="auto"/>
            </w:tcBorders>
          </w:tcPr>
          <w:p w14:paraId="67A11B3A" w14:textId="77777777" w:rsidR="007C1AB9" w:rsidRPr="004C4A5C" w:rsidRDefault="007C1AB9" w:rsidP="000C04ED">
            <w:pPr>
              <w:pStyle w:val="tabletext11"/>
            </w:pPr>
            <w:r w:rsidRPr="004C4A5C">
              <w:t>Soft-story Modification Factor</w:t>
            </w:r>
          </w:p>
        </w:tc>
        <w:tc>
          <w:tcPr>
            <w:tcW w:w="1135" w:type="dxa"/>
            <w:tcBorders>
              <w:top w:val="single" w:sz="6" w:space="0" w:color="auto"/>
              <w:left w:val="single" w:sz="6" w:space="0" w:color="auto"/>
              <w:bottom w:val="single" w:sz="6" w:space="0" w:color="auto"/>
              <w:right w:val="single" w:sz="6" w:space="0" w:color="auto"/>
            </w:tcBorders>
            <w:vAlign w:val="bottom"/>
          </w:tcPr>
          <w:p w14:paraId="2A9E71E3" w14:textId="77777777" w:rsidR="007C1AB9" w:rsidRPr="004C4A5C" w:rsidRDefault="007C1AB9" w:rsidP="000C04ED">
            <w:pPr>
              <w:pStyle w:val="tabletext11"/>
              <w:jc w:val="center"/>
            </w:pPr>
            <w:r w:rsidRPr="004C4A5C">
              <w:t>1.42</w:t>
            </w:r>
          </w:p>
        </w:tc>
        <w:tc>
          <w:tcPr>
            <w:tcW w:w="1135" w:type="dxa"/>
            <w:tcBorders>
              <w:top w:val="single" w:sz="6" w:space="0" w:color="auto"/>
              <w:left w:val="single" w:sz="6" w:space="0" w:color="auto"/>
              <w:bottom w:val="single" w:sz="6" w:space="0" w:color="auto"/>
              <w:right w:val="single" w:sz="6" w:space="0" w:color="auto"/>
            </w:tcBorders>
            <w:vAlign w:val="bottom"/>
          </w:tcPr>
          <w:p w14:paraId="1B83E7EF" w14:textId="77777777" w:rsidR="007C1AB9" w:rsidRPr="004C4A5C" w:rsidRDefault="007C1AB9" w:rsidP="000C04ED">
            <w:pPr>
              <w:pStyle w:val="tabletext11"/>
              <w:jc w:val="center"/>
            </w:pPr>
            <w:r w:rsidRPr="004C4A5C">
              <w:t>1.28</w:t>
            </w:r>
          </w:p>
        </w:tc>
      </w:tr>
    </w:tbl>
    <w:p w14:paraId="07F2460A" w14:textId="77777777" w:rsidR="007C1AB9" w:rsidRPr="004C4A5C" w:rsidRDefault="007C1AB9" w:rsidP="000C04ED">
      <w:pPr>
        <w:pStyle w:val="tablecaption"/>
      </w:pPr>
      <w:r w:rsidRPr="004C4A5C">
        <w:t>Table 73.E.1.a.(2) Soft-story Modification Factors</w:t>
      </w:r>
    </w:p>
    <w:p w14:paraId="7475AAFF" w14:textId="77777777" w:rsidR="007C1AB9" w:rsidRPr="004C4A5C" w:rsidRDefault="007C1AB9" w:rsidP="000C04ED">
      <w:pPr>
        <w:pStyle w:val="isonormal"/>
      </w:pPr>
    </w:p>
    <w:p w14:paraId="612DEFC5" w14:textId="77777777" w:rsidR="007C1AB9" w:rsidRPr="004C4A5C" w:rsidRDefault="007C1AB9" w:rsidP="000C04ED">
      <w:pPr>
        <w:pStyle w:val="outlinehd4"/>
      </w:pPr>
      <w:r w:rsidRPr="004C4A5C">
        <w:tab/>
        <w:t>b.</w:t>
      </w:r>
      <w:r w:rsidRPr="004C4A5C">
        <w:tab/>
        <w:t>Time Element</w:t>
      </w:r>
    </w:p>
    <w:p w14:paraId="3A545194" w14:textId="77777777" w:rsidR="007C1AB9" w:rsidRPr="004C4A5C" w:rsidRDefault="007C1AB9" w:rsidP="000C04ED">
      <w:pPr>
        <w:pStyle w:val="blocktext5"/>
      </w:pPr>
      <w:r w:rsidRPr="004C4A5C">
        <w:t xml:space="preserve">Calculate the Earthquake rate for time element coverage using the base rate and time element factors as specified in Rules </w:t>
      </w:r>
      <w:r w:rsidRPr="004C4A5C">
        <w:rPr>
          <w:b/>
        </w:rPr>
        <w:t>50.</w:t>
      </w:r>
      <w:r w:rsidRPr="004C4A5C">
        <w:t xml:space="preserve"> and </w:t>
      </w:r>
      <w:r w:rsidRPr="004C4A5C">
        <w:rPr>
          <w:b/>
        </w:rPr>
        <w:t>52.,</w:t>
      </w:r>
      <w:r w:rsidRPr="004C4A5C">
        <w:t xml:space="preserve"> except for buildings nine stories or over, multiply the Earthquake time element rate by the appropriate factor in Table </w:t>
      </w:r>
      <w:r w:rsidRPr="004C4A5C">
        <w:rPr>
          <w:b/>
        </w:rPr>
        <w:t>73.E.1.b.</w:t>
      </w:r>
    </w:p>
    <w:p w14:paraId="4FCA5BA7" w14:textId="77777777" w:rsidR="007C1AB9" w:rsidRPr="004C4A5C" w:rsidRDefault="007C1AB9" w:rsidP="000C04E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60"/>
        <w:gridCol w:w="280"/>
        <w:gridCol w:w="1060"/>
        <w:gridCol w:w="2400"/>
      </w:tblGrid>
      <w:tr w:rsidR="007C1AB9" w:rsidRPr="004C4A5C" w14:paraId="032FB85F" w14:textId="77777777" w:rsidTr="005A0184">
        <w:trPr>
          <w:cantSplit/>
          <w:trHeight w:val="190"/>
        </w:trPr>
        <w:tc>
          <w:tcPr>
            <w:tcW w:w="200" w:type="dxa"/>
            <w:tcBorders>
              <w:top w:val="nil"/>
              <w:left w:val="nil"/>
              <w:bottom w:val="nil"/>
              <w:right w:val="nil"/>
            </w:tcBorders>
          </w:tcPr>
          <w:p w14:paraId="212AFB0C" w14:textId="77777777" w:rsidR="007C1AB9" w:rsidRPr="004C4A5C" w:rsidRDefault="007C1AB9" w:rsidP="000C04ED">
            <w:pPr>
              <w:pStyle w:val="tablehead"/>
              <w:jc w:val="right"/>
            </w:pPr>
          </w:p>
        </w:tc>
        <w:tc>
          <w:tcPr>
            <w:tcW w:w="2400" w:type="dxa"/>
            <w:gridSpan w:val="3"/>
            <w:tcBorders>
              <w:top w:val="single" w:sz="6" w:space="0" w:color="auto"/>
              <w:left w:val="single" w:sz="6" w:space="0" w:color="auto"/>
              <w:bottom w:val="single" w:sz="6" w:space="0" w:color="auto"/>
              <w:right w:val="single" w:sz="6" w:space="0" w:color="auto"/>
            </w:tcBorders>
          </w:tcPr>
          <w:p w14:paraId="08EDCBFC" w14:textId="77777777" w:rsidR="007C1AB9" w:rsidRPr="004C4A5C" w:rsidRDefault="007C1AB9" w:rsidP="000C04ED">
            <w:pPr>
              <w:pStyle w:val="tablehead"/>
            </w:pPr>
            <w:r w:rsidRPr="004C4A5C">
              <w:t>Number Of Stories</w:t>
            </w:r>
          </w:p>
        </w:tc>
        <w:tc>
          <w:tcPr>
            <w:tcW w:w="2400" w:type="dxa"/>
            <w:tcBorders>
              <w:top w:val="single" w:sz="6" w:space="0" w:color="auto"/>
              <w:left w:val="single" w:sz="6" w:space="0" w:color="auto"/>
              <w:bottom w:val="single" w:sz="6" w:space="0" w:color="auto"/>
              <w:right w:val="single" w:sz="6" w:space="0" w:color="auto"/>
            </w:tcBorders>
          </w:tcPr>
          <w:p w14:paraId="25B7471C" w14:textId="77777777" w:rsidR="007C1AB9" w:rsidRPr="004C4A5C" w:rsidRDefault="007C1AB9" w:rsidP="000C04ED">
            <w:pPr>
              <w:pStyle w:val="tablehead"/>
            </w:pPr>
            <w:r w:rsidRPr="004C4A5C">
              <w:t>Rate Factor</w:t>
            </w:r>
          </w:p>
        </w:tc>
      </w:tr>
      <w:tr w:rsidR="007C1AB9" w:rsidRPr="004C4A5C" w14:paraId="1FAA7A66" w14:textId="77777777" w:rsidTr="005A0184">
        <w:trPr>
          <w:cantSplit/>
          <w:trHeight w:val="190"/>
        </w:trPr>
        <w:tc>
          <w:tcPr>
            <w:tcW w:w="200" w:type="dxa"/>
            <w:tcBorders>
              <w:top w:val="nil"/>
              <w:left w:val="nil"/>
              <w:bottom w:val="nil"/>
              <w:right w:val="nil"/>
            </w:tcBorders>
          </w:tcPr>
          <w:p w14:paraId="58C0B4A8" w14:textId="77777777" w:rsidR="007C1AB9" w:rsidRPr="004C4A5C" w:rsidRDefault="007C1AB9" w:rsidP="000C04ED">
            <w:pPr>
              <w:pStyle w:val="tabletext11"/>
              <w:jc w:val="right"/>
            </w:pPr>
          </w:p>
        </w:tc>
        <w:tc>
          <w:tcPr>
            <w:tcW w:w="1060" w:type="dxa"/>
            <w:tcBorders>
              <w:top w:val="single" w:sz="6" w:space="0" w:color="auto"/>
              <w:left w:val="single" w:sz="6" w:space="0" w:color="auto"/>
              <w:bottom w:val="nil"/>
              <w:right w:val="nil"/>
            </w:tcBorders>
          </w:tcPr>
          <w:p w14:paraId="73DF67F3" w14:textId="77777777" w:rsidR="007C1AB9" w:rsidRPr="004C4A5C" w:rsidRDefault="007C1AB9" w:rsidP="000C04ED">
            <w:pPr>
              <w:pStyle w:val="tabletext11"/>
              <w:jc w:val="right"/>
            </w:pPr>
            <w:r w:rsidRPr="004C4A5C">
              <w:t>1</w:t>
            </w:r>
          </w:p>
        </w:tc>
        <w:tc>
          <w:tcPr>
            <w:tcW w:w="280" w:type="dxa"/>
            <w:tcBorders>
              <w:top w:val="single" w:sz="6" w:space="0" w:color="auto"/>
              <w:left w:val="nil"/>
              <w:bottom w:val="nil"/>
              <w:right w:val="nil"/>
            </w:tcBorders>
          </w:tcPr>
          <w:p w14:paraId="5CA3BABB" w14:textId="77777777" w:rsidR="007C1AB9" w:rsidRPr="004C4A5C" w:rsidRDefault="007C1AB9" w:rsidP="000C04ED">
            <w:pPr>
              <w:pStyle w:val="tabletext11"/>
            </w:pPr>
            <w:r w:rsidRPr="004C4A5C">
              <w:t xml:space="preserve"> </w:t>
            </w:r>
            <w:r w:rsidRPr="004C4A5C">
              <w:rPr>
                <w:rFonts w:cs="Arial"/>
              </w:rPr>
              <w:t>–</w:t>
            </w:r>
            <w:r w:rsidRPr="004C4A5C">
              <w:t xml:space="preserve"> </w:t>
            </w:r>
          </w:p>
        </w:tc>
        <w:tc>
          <w:tcPr>
            <w:tcW w:w="1060" w:type="dxa"/>
            <w:tcBorders>
              <w:top w:val="single" w:sz="6" w:space="0" w:color="auto"/>
              <w:left w:val="nil"/>
              <w:bottom w:val="nil"/>
              <w:right w:val="single" w:sz="6" w:space="0" w:color="auto"/>
            </w:tcBorders>
          </w:tcPr>
          <w:p w14:paraId="103F6FAE" w14:textId="77777777" w:rsidR="007C1AB9" w:rsidRPr="004C4A5C" w:rsidRDefault="007C1AB9" w:rsidP="000C04ED">
            <w:pPr>
              <w:pStyle w:val="tabletext11"/>
              <w:tabs>
                <w:tab w:val="decimal" w:pos="200"/>
              </w:tabs>
            </w:pPr>
            <w:r w:rsidRPr="004C4A5C">
              <w:t>8</w:t>
            </w:r>
          </w:p>
        </w:tc>
        <w:tc>
          <w:tcPr>
            <w:tcW w:w="2400" w:type="dxa"/>
            <w:tcBorders>
              <w:top w:val="single" w:sz="6" w:space="0" w:color="auto"/>
              <w:left w:val="single" w:sz="6" w:space="0" w:color="auto"/>
              <w:bottom w:val="nil"/>
              <w:right w:val="single" w:sz="6" w:space="0" w:color="auto"/>
            </w:tcBorders>
          </w:tcPr>
          <w:p w14:paraId="6CAC0E38" w14:textId="77777777" w:rsidR="007C1AB9" w:rsidRPr="004C4A5C" w:rsidRDefault="007C1AB9" w:rsidP="000C04ED">
            <w:pPr>
              <w:pStyle w:val="tabletext11"/>
              <w:jc w:val="center"/>
            </w:pPr>
            <w:r w:rsidRPr="004C4A5C">
              <w:t>1.0</w:t>
            </w:r>
          </w:p>
        </w:tc>
      </w:tr>
      <w:tr w:rsidR="007C1AB9" w:rsidRPr="004C4A5C" w14:paraId="54038284" w14:textId="77777777" w:rsidTr="005A0184">
        <w:trPr>
          <w:cantSplit/>
          <w:trHeight w:val="190"/>
        </w:trPr>
        <w:tc>
          <w:tcPr>
            <w:tcW w:w="200" w:type="dxa"/>
            <w:tcBorders>
              <w:top w:val="nil"/>
              <w:left w:val="nil"/>
              <w:bottom w:val="nil"/>
              <w:right w:val="nil"/>
            </w:tcBorders>
          </w:tcPr>
          <w:p w14:paraId="6A265EDD" w14:textId="77777777" w:rsidR="007C1AB9" w:rsidRPr="004C4A5C" w:rsidRDefault="007C1AB9" w:rsidP="000C04ED">
            <w:pPr>
              <w:pStyle w:val="tabletext11"/>
              <w:jc w:val="right"/>
            </w:pPr>
          </w:p>
        </w:tc>
        <w:tc>
          <w:tcPr>
            <w:tcW w:w="1060" w:type="dxa"/>
            <w:tcBorders>
              <w:top w:val="nil"/>
              <w:left w:val="single" w:sz="6" w:space="0" w:color="auto"/>
              <w:bottom w:val="nil"/>
              <w:right w:val="nil"/>
            </w:tcBorders>
          </w:tcPr>
          <w:p w14:paraId="5D122CE2" w14:textId="77777777" w:rsidR="007C1AB9" w:rsidRPr="004C4A5C" w:rsidRDefault="007C1AB9" w:rsidP="000C04ED">
            <w:pPr>
              <w:pStyle w:val="tabletext11"/>
              <w:jc w:val="right"/>
            </w:pPr>
            <w:r w:rsidRPr="004C4A5C">
              <w:t>9</w:t>
            </w:r>
          </w:p>
        </w:tc>
        <w:tc>
          <w:tcPr>
            <w:tcW w:w="280" w:type="dxa"/>
            <w:tcBorders>
              <w:top w:val="nil"/>
              <w:left w:val="nil"/>
              <w:bottom w:val="nil"/>
              <w:right w:val="nil"/>
            </w:tcBorders>
          </w:tcPr>
          <w:p w14:paraId="1D50C9D2" w14:textId="77777777" w:rsidR="007C1AB9" w:rsidRPr="004C4A5C" w:rsidRDefault="007C1AB9" w:rsidP="000C04ED">
            <w:pPr>
              <w:pStyle w:val="tabletext11"/>
            </w:pPr>
            <w:r w:rsidRPr="004C4A5C">
              <w:t xml:space="preserve"> </w:t>
            </w:r>
            <w:r w:rsidRPr="004C4A5C">
              <w:rPr>
                <w:rFonts w:cs="Arial"/>
              </w:rPr>
              <w:t>–</w:t>
            </w:r>
            <w:r w:rsidRPr="004C4A5C">
              <w:t xml:space="preserve"> </w:t>
            </w:r>
          </w:p>
        </w:tc>
        <w:tc>
          <w:tcPr>
            <w:tcW w:w="1060" w:type="dxa"/>
            <w:tcBorders>
              <w:top w:val="nil"/>
              <w:left w:val="nil"/>
              <w:bottom w:val="nil"/>
              <w:right w:val="single" w:sz="6" w:space="0" w:color="auto"/>
            </w:tcBorders>
          </w:tcPr>
          <w:p w14:paraId="3F5B5076" w14:textId="77777777" w:rsidR="007C1AB9" w:rsidRPr="004C4A5C" w:rsidRDefault="007C1AB9" w:rsidP="000C04ED">
            <w:pPr>
              <w:pStyle w:val="tabletext11"/>
            </w:pPr>
            <w:r w:rsidRPr="004C4A5C">
              <w:t>20</w:t>
            </w:r>
          </w:p>
        </w:tc>
        <w:tc>
          <w:tcPr>
            <w:tcW w:w="2400" w:type="dxa"/>
            <w:tcBorders>
              <w:top w:val="nil"/>
              <w:left w:val="single" w:sz="6" w:space="0" w:color="auto"/>
              <w:bottom w:val="nil"/>
              <w:right w:val="single" w:sz="6" w:space="0" w:color="auto"/>
            </w:tcBorders>
          </w:tcPr>
          <w:p w14:paraId="2D2A8A2C" w14:textId="77777777" w:rsidR="007C1AB9" w:rsidRPr="004C4A5C" w:rsidRDefault="007C1AB9" w:rsidP="000C04ED">
            <w:pPr>
              <w:pStyle w:val="tabletext11"/>
              <w:jc w:val="center"/>
            </w:pPr>
            <w:r w:rsidRPr="004C4A5C">
              <w:t>1.0</w:t>
            </w:r>
          </w:p>
        </w:tc>
      </w:tr>
      <w:tr w:rsidR="007C1AB9" w:rsidRPr="004C4A5C" w14:paraId="58778CB8" w14:textId="77777777" w:rsidTr="005A0184">
        <w:trPr>
          <w:cantSplit/>
          <w:trHeight w:val="190"/>
        </w:trPr>
        <w:tc>
          <w:tcPr>
            <w:tcW w:w="200" w:type="dxa"/>
            <w:tcBorders>
              <w:top w:val="nil"/>
              <w:left w:val="nil"/>
              <w:bottom w:val="nil"/>
              <w:right w:val="nil"/>
            </w:tcBorders>
          </w:tcPr>
          <w:p w14:paraId="25B2D533" w14:textId="77777777" w:rsidR="007C1AB9" w:rsidRPr="004C4A5C" w:rsidRDefault="007C1AB9" w:rsidP="000C04ED">
            <w:pPr>
              <w:pStyle w:val="tabletext11"/>
              <w:jc w:val="right"/>
            </w:pPr>
          </w:p>
        </w:tc>
        <w:tc>
          <w:tcPr>
            <w:tcW w:w="2400" w:type="dxa"/>
            <w:gridSpan w:val="3"/>
            <w:tcBorders>
              <w:top w:val="nil"/>
              <w:left w:val="single" w:sz="6" w:space="0" w:color="auto"/>
              <w:bottom w:val="single" w:sz="6" w:space="0" w:color="auto"/>
              <w:right w:val="single" w:sz="6" w:space="0" w:color="auto"/>
            </w:tcBorders>
          </w:tcPr>
          <w:p w14:paraId="58A9D7CC" w14:textId="77777777" w:rsidR="007C1AB9" w:rsidRPr="004C4A5C" w:rsidRDefault="007C1AB9" w:rsidP="000C04ED">
            <w:pPr>
              <w:pStyle w:val="tabletext11"/>
              <w:jc w:val="center"/>
            </w:pPr>
            <w:r w:rsidRPr="004C4A5C">
              <w:t>Over 20</w:t>
            </w:r>
          </w:p>
        </w:tc>
        <w:tc>
          <w:tcPr>
            <w:tcW w:w="2400" w:type="dxa"/>
            <w:tcBorders>
              <w:top w:val="nil"/>
              <w:left w:val="single" w:sz="6" w:space="0" w:color="auto"/>
              <w:bottom w:val="single" w:sz="6" w:space="0" w:color="auto"/>
              <w:right w:val="single" w:sz="6" w:space="0" w:color="auto"/>
            </w:tcBorders>
          </w:tcPr>
          <w:p w14:paraId="06C897E3" w14:textId="77777777" w:rsidR="007C1AB9" w:rsidRPr="004C4A5C" w:rsidRDefault="007C1AB9" w:rsidP="000C04ED">
            <w:pPr>
              <w:pStyle w:val="tabletext11"/>
              <w:jc w:val="center"/>
            </w:pPr>
            <w:r w:rsidRPr="004C4A5C">
              <w:t>1.0</w:t>
            </w:r>
          </w:p>
        </w:tc>
      </w:tr>
    </w:tbl>
    <w:p w14:paraId="7D5E63F4" w14:textId="77777777" w:rsidR="007C1AB9" w:rsidRPr="004C4A5C" w:rsidRDefault="007C1AB9" w:rsidP="000C04ED">
      <w:pPr>
        <w:pStyle w:val="tablecaption"/>
      </w:pPr>
      <w:r w:rsidRPr="004C4A5C">
        <w:t>Table 73.E.1.b. Story Modification Factors</w:t>
      </w:r>
    </w:p>
    <w:p w14:paraId="292D842C" w14:textId="77777777" w:rsidR="007C1AB9" w:rsidRPr="004C4A5C" w:rsidRDefault="007C1AB9" w:rsidP="000C04ED">
      <w:pPr>
        <w:pStyle w:val="isonormal"/>
      </w:pPr>
    </w:p>
    <w:p w14:paraId="523461A0" w14:textId="77777777" w:rsidR="007C1AB9" w:rsidRPr="004C4A5C" w:rsidRDefault="007C1AB9" w:rsidP="000C04ED">
      <w:pPr>
        <w:pStyle w:val="blocktext5"/>
      </w:pPr>
      <w:r w:rsidRPr="004C4A5C">
        <w:t>Disregard the number of partial stories less than 15% of the ground floor area of the building. Also disregard basements. Where a story is more than 15 feet in height, consider each 15 feet (or greater fraction thereof) as equivalent to one story. In buildings with stories partially below grade level, such stories must be included in the story count for height where the story is accessible at grade level.</w:t>
      </w:r>
    </w:p>
    <w:p w14:paraId="3E922891" w14:textId="77777777" w:rsidR="007C1AB9" w:rsidRPr="004C4A5C" w:rsidRDefault="007C1AB9" w:rsidP="000C04ED">
      <w:pPr>
        <w:pStyle w:val="outlinehd4"/>
      </w:pPr>
      <w:r w:rsidRPr="004C4A5C">
        <w:tab/>
        <w:t>c.</w:t>
      </w:r>
      <w:r w:rsidRPr="004C4A5C">
        <w:tab/>
        <w:t>Leasehold Interest Coverage</w:t>
      </w:r>
    </w:p>
    <w:p w14:paraId="082B1CAB" w14:textId="77777777" w:rsidR="007C1AB9" w:rsidRPr="004C4A5C" w:rsidRDefault="007C1AB9" w:rsidP="000C04ED">
      <w:pPr>
        <w:pStyle w:val="blocktext5"/>
      </w:pPr>
      <w:r w:rsidRPr="004C4A5C">
        <w:t>Use the 80% coinsurance Earthquake building rate.</w:t>
      </w:r>
    </w:p>
    <w:p w14:paraId="78F7855D" w14:textId="77777777" w:rsidR="007C1AB9" w:rsidRPr="004C4A5C" w:rsidRDefault="007C1AB9" w:rsidP="000C04ED">
      <w:pPr>
        <w:pStyle w:val="outlinehd4"/>
      </w:pPr>
      <w:r w:rsidRPr="004C4A5C">
        <w:tab/>
        <w:t>d.</w:t>
      </w:r>
      <w:r w:rsidRPr="004C4A5C">
        <w:tab/>
        <w:t>Rate Factors</w:t>
      </w:r>
    </w:p>
    <w:p w14:paraId="4AC4384C" w14:textId="77777777" w:rsidR="007C1AB9" w:rsidRPr="004C4A5C" w:rsidRDefault="007C1AB9" w:rsidP="000C04ED">
      <w:pPr>
        <w:pStyle w:val="blocktext5"/>
      </w:pPr>
      <w:r w:rsidRPr="004C4A5C">
        <w:t>Apply rate factors to the annual rates in the following order:</w:t>
      </w:r>
    </w:p>
    <w:p w14:paraId="64B08AA8" w14:textId="77777777" w:rsidR="007C1AB9" w:rsidRPr="004C4A5C" w:rsidRDefault="007C1AB9" w:rsidP="000C04ED">
      <w:pPr>
        <w:pStyle w:val="outlinetxt5"/>
      </w:pPr>
      <w:r w:rsidRPr="004C4A5C">
        <w:tab/>
      </w:r>
      <w:r w:rsidRPr="004C4A5C">
        <w:rPr>
          <w:b/>
        </w:rPr>
        <w:t>(1)</w:t>
      </w:r>
      <w:r w:rsidRPr="004C4A5C">
        <w:tab/>
        <w:t>Coinsurance adjustment;</w:t>
      </w:r>
    </w:p>
    <w:p w14:paraId="63C44112" w14:textId="77777777" w:rsidR="007C1AB9" w:rsidRPr="004C4A5C" w:rsidRDefault="007C1AB9" w:rsidP="000C04ED">
      <w:pPr>
        <w:pStyle w:val="outlinetxt5"/>
        <w:rPr>
          <w:b/>
        </w:rPr>
      </w:pPr>
      <w:r w:rsidRPr="004C4A5C">
        <w:tab/>
      </w:r>
      <w:r w:rsidRPr="004C4A5C">
        <w:rPr>
          <w:b/>
        </w:rPr>
        <w:t>(2)</w:t>
      </w:r>
      <w:r w:rsidRPr="004C4A5C">
        <w:tab/>
        <w:t xml:space="preserve">Factors or charges required by individual rules except as specified in Paragraph </w:t>
      </w:r>
      <w:ins w:id="40" w:author="Author">
        <w:r w:rsidRPr="007C1AB9">
          <w:rPr>
            <w:b/>
            <w:bCs/>
            <w:rPrChange w:id="41" w:author="Author">
              <w:rPr/>
            </w:rPrChange>
          </w:rPr>
          <w:t>E.1.d.</w:t>
        </w:r>
      </w:ins>
      <w:r w:rsidRPr="004C4A5C">
        <w:rPr>
          <w:b/>
          <w:bCs/>
        </w:rPr>
        <w:t>(</w:t>
      </w:r>
      <w:r w:rsidRPr="004C4A5C">
        <w:rPr>
          <w:b/>
        </w:rPr>
        <w:t>3)</w:t>
      </w:r>
      <w:r w:rsidRPr="004C4A5C">
        <w:t xml:space="preserve"> or Paragraph </w:t>
      </w:r>
      <w:ins w:id="42" w:author="Author">
        <w:r w:rsidRPr="007C1AB9">
          <w:rPr>
            <w:b/>
            <w:bCs/>
            <w:rPrChange w:id="43" w:author="Author">
              <w:rPr/>
            </w:rPrChange>
          </w:rPr>
          <w:t>E.1.d.</w:t>
        </w:r>
      </w:ins>
      <w:r w:rsidRPr="004C4A5C">
        <w:rPr>
          <w:b/>
          <w:bCs/>
        </w:rPr>
        <w:t>(</w:t>
      </w:r>
      <w:r w:rsidRPr="004C4A5C">
        <w:rPr>
          <w:b/>
        </w:rPr>
        <w:t>4);</w:t>
      </w:r>
    </w:p>
    <w:p w14:paraId="7B013AE8" w14:textId="77777777" w:rsidR="007C1AB9" w:rsidRPr="004C4A5C" w:rsidRDefault="007C1AB9" w:rsidP="000C04ED">
      <w:pPr>
        <w:pStyle w:val="outlinetxt5"/>
      </w:pPr>
      <w:r w:rsidRPr="004C4A5C">
        <w:tab/>
      </w:r>
      <w:r w:rsidRPr="004C4A5C">
        <w:rPr>
          <w:b/>
        </w:rPr>
        <w:t>(3)</w:t>
      </w:r>
      <w:r w:rsidRPr="004C4A5C">
        <w:tab/>
        <w:t>Municipal tax charges unless local requirements dictate otherwise; and</w:t>
      </w:r>
    </w:p>
    <w:p w14:paraId="793DE1A5" w14:textId="77777777" w:rsidR="007C1AB9" w:rsidRPr="004C4A5C" w:rsidRDefault="007C1AB9" w:rsidP="000C04ED">
      <w:pPr>
        <w:pStyle w:val="outlinetxt5"/>
      </w:pPr>
      <w:r w:rsidRPr="004C4A5C">
        <w:tab/>
      </w:r>
      <w:r w:rsidRPr="004C4A5C">
        <w:rPr>
          <w:b/>
        </w:rPr>
        <w:t>(4)</w:t>
      </w:r>
      <w:r w:rsidRPr="004C4A5C">
        <w:tab/>
        <w:t>Term or annual premium payment plan factor.</w:t>
      </w:r>
    </w:p>
    <w:p w14:paraId="56067173" w14:textId="77777777" w:rsidR="007C1AB9" w:rsidRPr="004C4A5C" w:rsidRDefault="007C1AB9" w:rsidP="000C04ED">
      <w:pPr>
        <w:pStyle w:val="blocktext5"/>
      </w:pPr>
      <w:r w:rsidRPr="004C4A5C">
        <w:t>Apply additive factors before applying multiplicative factors except as otherwise specified in individual coverage rules.</w:t>
      </w:r>
    </w:p>
    <w:p w14:paraId="503B2204" w14:textId="77777777" w:rsidR="007C1AB9" w:rsidRPr="004C4A5C" w:rsidRDefault="007C1AB9" w:rsidP="000C04ED">
      <w:pPr>
        <w:pStyle w:val="outlinehd3"/>
      </w:pPr>
      <w:r w:rsidRPr="004C4A5C">
        <w:tab/>
        <w:t>2.</w:t>
      </w:r>
      <w:r w:rsidRPr="004C4A5C">
        <w:tab/>
        <w:t>Premium Calculation</w:t>
      </w:r>
    </w:p>
    <w:p w14:paraId="0794DA1C" w14:textId="77777777" w:rsidR="007C1AB9" w:rsidRPr="004C4A5C" w:rsidRDefault="007C1AB9" w:rsidP="000C04ED">
      <w:pPr>
        <w:pStyle w:val="blocktext4"/>
      </w:pPr>
      <w:r w:rsidRPr="004C4A5C">
        <w:t>Multiply the resulting rate by the Limit of Insurance in hundreds to determine the premium.</w:t>
      </w:r>
    </w:p>
    <w:p w14:paraId="748011CD" w14:textId="77777777" w:rsidR="007C1AB9" w:rsidRPr="004C4A5C" w:rsidRDefault="007C1AB9" w:rsidP="000C04ED">
      <w:pPr>
        <w:pStyle w:val="outlinehd2"/>
      </w:pPr>
      <w:r w:rsidRPr="004C4A5C">
        <w:tab/>
        <w:t>F.</w:t>
      </w:r>
      <w:r w:rsidRPr="004C4A5C">
        <w:tab/>
        <w:t>Territory Assignment</w:t>
      </w:r>
    </w:p>
    <w:p w14:paraId="7037D710" w14:textId="77777777" w:rsidR="007C1AB9" w:rsidRPr="004C4A5C" w:rsidRDefault="007C1AB9" w:rsidP="000C04ED">
      <w:pPr>
        <w:pStyle w:val="outlinetxt3"/>
      </w:pPr>
      <w:r w:rsidRPr="004C4A5C">
        <w:tab/>
      </w:r>
      <w:r w:rsidRPr="004C4A5C">
        <w:rPr>
          <w:b/>
        </w:rPr>
        <w:t>1.</w:t>
      </w:r>
      <w:r w:rsidRPr="004C4A5C">
        <w:tab/>
        <w:t xml:space="preserve">A new ZIP </w:t>
      </w:r>
      <w:del w:id="44" w:author="Author">
        <w:r w:rsidRPr="004C4A5C" w:rsidDel="003D2690">
          <w:delText>c</w:delText>
        </w:r>
      </w:del>
      <w:ins w:id="45" w:author="Author">
        <w:r w:rsidRPr="004C4A5C">
          <w:t>C</w:t>
        </w:r>
      </w:ins>
      <w:r w:rsidRPr="004C4A5C">
        <w:t xml:space="preserve">ode may be created by the United States Postal Service (USPS), which may not yet be listed in this manual. If this is the case, to determine the rating territory for a risk located in a new ZIP </w:t>
      </w:r>
      <w:del w:id="46" w:author="Author">
        <w:r w:rsidRPr="004C4A5C" w:rsidDel="003D2690">
          <w:delText>c</w:delText>
        </w:r>
      </w:del>
      <w:ins w:id="47" w:author="Author">
        <w:r w:rsidRPr="004C4A5C">
          <w:t>C</w:t>
        </w:r>
      </w:ins>
      <w:r w:rsidRPr="004C4A5C">
        <w:t xml:space="preserve">ode, use the ZIP </w:t>
      </w:r>
      <w:del w:id="48" w:author="Author">
        <w:r w:rsidRPr="004C4A5C" w:rsidDel="003D2690">
          <w:delText>c</w:delText>
        </w:r>
      </w:del>
      <w:ins w:id="49" w:author="Author">
        <w:r w:rsidRPr="004C4A5C">
          <w:t>C</w:t>
        </w:r>
      </w:ins>
      <w:r w:rsidRPr="004C4A5C">
        <w:t xml:space="preserve">ode that formerly applied to the risk before the ZIP </w:t>
      </w:r>
      <w:del w:id="50" w:author="Author">
        <w:r w:rsidRPr="004C4A5C" w:rsidDel="003D2690">
          <w:delText>c</w:delText>
        </w:r>
      </w:del>
      <w:ins w:id="51" w:author="Author">
        <w:r w:rsidRPr="004C4A5C">
          <w:t>C</w:t>
        </w:r>
      </w:ins>
      <w:r w:rsidRPr="004C4A5C">
        <w:t>ode boundaries were changed.</w:t>
      </w:r>
    </w:p>
    <w:p w14:paraId="294268BD" w14:textId="77777777" w:rsidR="007C1AB9" w:rsidRPr="004C4A5C" w:rsidRDefault="007C1AB9" w:rsidP="000C04ED">
      <w:pPr>
        <w:pStyle w:val="outlinetxt3"/>
      </w:pPr>
      <w:r w:rsidRPr="004C4A5C">
        <w:tab/>
      </w:r>
      <w:r w:rsidRPr="004C4A5C">
        <w:rPr>
          <w:b/>
        </w:rPr>
        <w:t>2.</w:t>
      </w:r>
      <w:r w:rsidRPr="004C4A5C">
        <w:tab/>
        <w:t xml:space="preserve">Future USPS ZIP </w:t>
      </w:r>
      <w:del w:id="52" w:author="Author">
        <w:r w:rsidRPr="004C4A5C" w:rsidDel="003D2690">
          <w:delText>c</w:delText>
        </w:r>
      </w:del>
      <w:ins w:id="53" w:author="Author">
        <w:r w:rsidRPr="004C4A5C">
          <w:t>C</w:t>
        </w:r>
      </w:ins>
      <w:r w:rsidRPr="004C4A5C">
        <w:t xml:space="preserve">ode changes will be reflected in ISO's territory assignments in accordance with the ISO ZIP Code Territory maintenance procedures on file with the Insurance Department. This manual will be updated on a regular basis to reflect future ZIP </w:t>
      </w:r>
      <w:del w:id="54" w:author="Author">
        <w:r w:rsidRPr="004C4A5C" w:rsidDel="003D2690">
          <w:delText>c</w:delText>
        </w:r>
      </w:del>
      <w:ins w:id="55" w:author="Author">
        <w:r w:rsidRPr="004C4A5C">
          <w:t>C</w:t>
        </w:r>
      </w:ins>
      <w:r w:rsidRPr="004C4A5C">
        <w:t>ode changes.</w:t>
      </w:r>
    </w:p>
    <w:p w14:paraId="73B8F219" w14:textId="77777777" w:rsidR="007C1AB9" w:rsidRPr="004C4A5C" w:rsidRDefault="007C1AB9" w:rsidP="000C04ED">
      <w:pPr>
        <w:pStyle w:val="outlinehd2"/>
      </w:pPr>
      <w:r w:rsidRPr="004C4A5C">
        <w:tab/>
        <w:t>G.</w:t>
      </w:r>
      <w:r w:rsidRPr="004C4A5C">
        <w:tab/>
        <w:t>Building Code Enforcement</w:t>
      </w:r>
    </w:p>
    <w:p w14:paraId="511BF1B0" w14:textId="396BA165" w:rsidR="00E11D70" w:rsidRDefault="007C1AB9" w:rsidP="000C04ED">
      <w:pPr>
        <w:pStyle w:val="blocktext3"/>
      </w:pPr>
      <w:r w:rsidRPr="004C4A5C">
        <w:t>Refer to the Additional Rule titled Building Code Effectiveness Grading, in the state exceptions, for information which may affect Earthquake rating.</w:t>
      </w:r>
      <w:bookmarkEnd w:id="0"/>
    </w:p>
    <w:p w14:paraId="711B7987" w14:textId="0DC69B00" w:rsidR="007C1AB9" w:rsidRDefault="007C1AB9" w:rsidP="000C04ED">
      <w:pPr>
        <w:pStyle w:val="isonormal"/>
        <w:jc w:val="left"/>
      </w:pPr>
    </w:p>
    <w:p w14:paraId="6A13F850" w14:textId="77777777" w:rsidR="007C1AB9" w:rsidRDefault="007C1AB9" w:rsidP="000C04ED">
      <w:pPr>
        <w:pStyle w:val="isonormal"/>
        <w:sectPr w:rsidR="007C1AB9" w:rsidSect="007C1AB9">
          <w:headerReference w:type="default" r:id="rId11"/>
          <w:footerReference w:type="default" r:id="rId12"/>
          <w:type w:val="continuous"/>
          <w:pgSz w:w="12240" w:h="15840"/>
          <w:pgMar w:top="1735" w:right="960" w:bottom="1560" w:left="1200" w:header="575" w:footer="480" w:gutter="0"/>
          <w:cols w:space="0"/>
          <w:docGrid w:linePitch="326"/>
        </w:sectPr>
      </w:pPr>
    </w:p>
    <w:p w14:paraId="1B2A1544" w14:textId="77777777" w:rsidR="007C1AB9" w:rsidRPr="00D059AC" w:rsidRDefault="007C1AB9" w:rsidP="000C04ED">
      <w:pPr>
        <w:pStyle w:val="boxrule"/>
      </w:pPr>
      <w:bookmarkStart w:id="57" w:name="_Hlk124932345"/>
      <w:r w:rsidRPr="00D059AC">
        <w:lastRenderedPageBreak/>
        <w:t>75.  EARTHQUAKE AND VOLCANIC ERUPTION ENDORSEMENT (SUB-LIMIT FORM)</w:t>
      </w:r>
    </w:p>
    <w:p w14:paraId="387EA360" w14:textId="77777777" w:rsidR="007C1AB9" w:rsidRPr="00D059AC" w:rsidRDefault="007C1AB9" w:rsidP="000C04ED">
      <w:pPr>
        <w:pStyle w:val="outlinehd2"/>
      </w:pPr>
      <w:r w:rsidRPr="00D059AC">
        <w:tab/>
        <w:t>A.</w:t>
      </w:r>
      <w:r w:rsidRPr="00D059AC">
        <w:tab/>
        <w:t>Description Of Coverage</w:t>
      </w:r>
    </w:p>
    <w:p w14:paraId="6D4E7343" w14:textId="77777777" w:rsidR="007C1AB9" w:rsidRPr="00D059AC" w:rsidRDefault="007C1AB9" w:rsidP="000C04ED">
      <w:pPr>
        <w:pStyle w:val="blocktext3"/>
      </w:pPr>
      <w:r w:rsidRPr="00D059AC">
        <w:t>This insurance provides coverage for loss by earthquake and volcanic eruption, explosion or effusion at a limit of insurance lower than the limit for other causes of loss, subject to an annual aggregate.</w:t>
      </w:r>
    </w:p>
    <w:p w14:paraId="75A8C5ED" w14:textId="77777777" w:rsidR="007C1AB9" w:rsidRPr="00D059AC" w:rsidRDefault="007C1AB9" w:rsidP="000C04ED">
      <w:pPr>
        <w:pStyle w:val="outlinehd2"/>
      </w:pPr>
      <w:r w:rsidRPr="00D059AC">
        <w:tab/>
        <w:t>B.</w:t>
      </w:r>
      <w:r w:rsidRPr="00D059AC">
        <w:tab/>
        <w:t>Forms</w:t>
      </w:r>
    </w:p>
    <w:p w14:paraId="66BE0736" w14:textId="77777777" w:rsidR="007C1AB9" w:rsidRPr="00D059AC" w:rsidRDefault="007C1AB9" w:rsidP="000C04ED">
      <w:pPr>
        <w:pStyle w:val="outlinetxt3"/>
      </w:pPr>
      <w:r w:rsidRPr="00D059AC">
        <w:tab/>
      </w:r>
      <w:r w:rsidRPr="00D059AC">
        <w:rPr>
          <w:b/>
        </w:rPr>
        <w:t>1.</w:t>
      </w:r>
      <w:r w:rsidRPr="00D059AC">
        <w:tab/>
        <w:t xml:space="preserve">Use Earthquake And Volcanic Eruption Coverage (Sub-limit Form With Percentage Deductible) Endorsement </w:t>
      </w:r>
      <w:r w:rsidRPr="00D059AC">
        <w:rPr>
          <w:rStyle w:val="formlink"/>
        </w:rPr>
        <w:t>CP 10 45</w:t>
      </w:r>
      <w:r w:rsidRPr="00D059AC">
        <w:t xml:space="preserve"> or Earthquake And Volcanic Eruption Coverage (Sub-limit Form With Flat-dollar Deductible) Endorsement </w:t>
      </w:r>
      <w:r w:rsidRPr="00D059AC">
        <w:rPr>
          <w:rStyle w:val="formlink"/>
        </w:rPr>
        <w:t>CP 10 29</w:t>
      </w:r>
      <w:r w:rsidRPr="00D059AC">
        <w:rPr>
          <w:b/>
        </w:rPr>
        <w:t>.</w:t>
      </w:r>
    </w:p>
    <w:p w14:paraId="23279509" w14:textId="77777777" w:rsidR="007C1AB9" w:rsidRPr="00D059AC" w:rsidRDefault="007C1AB9" w:rsidP="000C04ED">
      <w:pPr>
        <w:pStyle w:val="outlinetxt3"/>
      </w:pPr>
      <w:r w:rsidRPr="00D059AC">
        <w:tab/>
      </w:r>
      <w:r w:rsidRPr="00D059AC">
        <w:rPr>
          <w:b/>
        </w:rPr>
        <w:t>2.</w:t>
      </w:r>
      <w:r w:rsidRPr="00D059AC">
        <w:tab/>
        <w:t xml:space="preserve">Use Earthquake – Volcanic Eruption Coverage Schedule (Sub-limit Form) </w:t>
      </w:r>
      <w:r w:rsidRPr="00D059AC">
        <w:rPr>
          <w:rStyle w:val="formlink"/>
        </w:rPr>
        <w:t>CP DS 06</w:t>
      </w:r>
      <w:r w:rsidRPr="00D059AC">
        <w:t xml:space="preserve"> with the aforementioned endorsements.</w:t>
      </w:r>
    </w:p>
    <w:p w14:paraId="408D3BC2" w14:textId="77777777" w:rsidR="007C1AB9" w:rsidRPr="00D059AC" w:rsidRDefault="007C1AB9" w:rsidP="000C04ED">
      <w:pPr>
        <w:pStyle w:val="outlinetxt3"/>
      </w:pPr>
      <w:r w:rsidRPr="00D059AC">
        <w:tab/>
      </w:r>
      <w:r w:rsidRPr="00D059AC">
        <w:rPr>
          <w:b/>
        </w:rPr>
        <w:t>3.</w:t>
      </w:r>
      <w:r w:rsidRPr="00D059AC">
        <w:tab/>
        <w:t xml:space="preserve">When coverage is written with a percentage deductible (Endorsement </w:t>
      </w:r>
      <w:r w:rsidRPr="00D059AC">
        <w:rPr>
          <w:rStyle w:val="formlink"/>
        </w:rPr>
        <w:t>CP 10 45</w:t>
      </w:r>
      <w:r w:rsidRPr="00D059AC">
        <w:t>), use a Statement of Values except for Builders Risk non-reporting coverage. The amount of the percentage deductible is determined as a percentage of the stated value of property.</w:t>
      </w:r>
    </w:p>
    <w:p w14:paraId="053A51E1" w14:textId="77777777" w:rsidR="007C1AB9" w:rsidRPr="00D059AC" w:rsidRDefault="007C1AB9" w:rsidP="000C04ED">
      <w:pPr>
        <w:pStyle w:val="outlinehd2"/>
      </w:pPr>
      <w:r w:rsidRPr="00D059AC">
        <w:tab/>
        <w:t>C.</w:t>
      </w:r>
      <w:r w:rsidRPr="00D059AC">
        <w:tab/>
        <w:t>Rules</w:t>
      </w:r>
    </w:p>
    <w:p w14:paraId="2963D465" w14:textId="77777777" w:rsidR="007C1AB9" w:rsidRPr="00D059AC" w:rsidRDefault="007C1AB9" w:rsidP="000C04ED">
      <w:pPr>
        <w:pStyle w:val="outlinehd3"/>
      </w:pPr>
      <w:r w:rsidRPr="00D059AC">
        <w:tab/>
        <w:t>1.</w:t>
      </w:r>
      <w:r w:rsidRPr="00D059AC">
        <w:tab/>
        <w:t>Coinsurance</w:t>
      </w:r>
    </w:p>
    <w:p w14:paraId="75D7EE3F" w14:textId="77777777" w:rsidR="007C1AB9" w:rsidRPr="00D059AC" w:rsidRDefault="007C1AB9" w:rsidP="000C04ED">
      <w:pPr>
        <w:pStyle w:val="blocktext4"/>
      </w:pPr>
      <w:r w:rsidRPr="00D059AC">
        <w:t xml:space="preserve">The Coinsurance Condition does not apply to the coverage provided under Endorsement </w:t>
      </w:r>
      <w:r w:rsidRPr="00D059AC">
        <w:rPr>
          <w:rStyle w:val="formlink"/>
        </w:rPr>
        <w:t>CP 10 45</w:t>
      </w:r>
      <w:r w:rsidRPr="00D059AC">
        <w:t xml:space="preserve"> or </w:t>
      </w:r>
      <w:r w:rsidRPr="00D059AC">
        <w:rPr>
          <w:rStyle w:val="formlink"/>
        </w:rPr>
        <w:t>CP 10 29</w:t>
      </w:r>
      <w:r w:rsidRPr="00D059AC">
        <w:rPr>
          <w:b/>
        </w:rPr>
        <w:t>.</w:t>
      </w:r>
    </w:p>
    <w:p w14:paraId="77DBD2A1" w14:textId="77777777" w:rsidR="007C1AB9" w:rsidRPr="00D059AC" w:rsidRDefault="007C1AB9" w:rsidP="000C04ED">
      <w:pPr>
        <w:pStyle w:val="outlinehd3"/>
      </w:pPr>
      <w:r w:rsidRPr="00D059AC">
        <w:tab/>
        <w:t>2.</w:t>
      </w:r>
      <w:r w:rsidRPr="00D059AC">
        <w:tab/>
        <w:t>Specific And Blanket Insurance</w:t>
      </w:r>
    </w:p>
    <w:p w14:paraId="472C727C" w14:textId="77777777" w:rsidR="007C1AB9" w:rsidRPr="00D059AC" w:rsidRDefault="007C1AB9" w:rsidP="000C04ED">
      <w:pPr>
        <w:pStyle w:val="outlinetxt4"/>
      </w:pPr>
      <w:r w:rsidRPr="00D059AC">
        <w:tab/>
      </w:r>
      <w:r w:rsidRPr="00D059AC">
        <w:rPr>
          <w:b/>
        </w:rPr>
        <w:t>a.</w:t>
      </w:r>
      <w:r w:rsidRPr="00D059AC">
        <w:tab/>
        <w:t xml:space="preserve">For policies containing more than one item of covered property, Earthquake – Volcanic Eruption Coverage may apply to any or all items. Designate in the Schedule </w:t>
      </w:r>
      <w:r w:rsidRPr="00D059AC">
        <w:rPr>
          <w:b/>
        </w:rPr>
        <w:t>(</w:t>
      </w:r>
      <w:r w:rsidRPr="00D059AC">
        <w:rPr>
          <w:rStyle w:val="formlink"/>
        </w:rPr>
        <w:t>CP DS 06</w:t>
      </w:r>
      <w:r w:rsidRPr="00D059AC">
        <w:rPr>
          <w:b/>
        </w:rPr>
        <w:t>)</w:t>
      </w:r>
      <w:r w:rsidRPr="00D059AC">
        <w:t xml:space="preserve"> or in the Declarations the items to which Endorsement </w:t>
      </w:r>
      <w:r w:rsidRPr="00D059AC">
        <w:rPr>
          <w:rStyle w:val="formlink"/>
        </w:rPr>
        <w:t>CP 10 45</w:t>
      </w:r>
      <w:r w:rsidRPr="00D059AC">
        <w:t xml:space="preserve"> or </w:t>
      </w:r>
      <w:r w:rsidRPr="00D059AC">
        <w:rPr>
          <w:rStyle w:val="formlink"/>
        </w:rPr>
        <w:t>CP 10 29</w:t>
      </w:r>
      <w:r w:rsidRPr="00D059AC">
        <w:t xml:space="preserve"> applies.</w:t>
      </w:r>
    </w:p>
    <w:p w14:paraId="0F30CC9A" w14:textId="77777777" w:rsidR="007C1AB9" w:rsidRPr="00D059AC" w:rsidRDefault="007C1AB9" w:rsidP="000C04ED">
      <w:pPr>
        <w:pStyle w:val="outlinetxt4"/>
      </w:pPr>
      <w:r w:rsidRPr="00D059AC">
        <w:tab/>
      </w:r>
      <w:r w:rsidRPr="00D059AC">
        <w:rPr>
          <w:b/>
        </w:rPr>
        <w:t>b.</w:t>
      </w:r>
      <w:r w:rsidRPr="00D059AC">
        <w:tab/>
        <w:t xml:space="preserve">Insurance under Endorsement </w:t>
      </w:r>
      <w:r w:rsidRPr="00D059AC">
        <w:rPr>
          <w:rStyle w:val="formlink"/>
        </w:rPr>
        <w:t>CP 10 45</w:t>
      </w:r>
      <w:r w:rsidRPr="00D059AC">
        <w:t xml:space="preserve"> or </w:t>
      </w:r>
      <w:r w:rsidRPr="00D059AC">
        <w:rPr>
          <w:rStyle w:val="formlink"/>
        </w:rPr>
        <w:t>CP 10 29</w:t>
      </w:r>
      <w:r w:rsidRPr="00D059AC">
        <w:t xml:space="preserve"> may be written on a specific or blanket basis. Enter the selected limit(s) of insurance in the Schedule </w:t>
      </w:r>
      <w:r w:rsidRPr="00D059AC">
        <w:rPr>
          <w:b/>
        </w:rPr>
        <w:t>(</w:t>
      </w:r>
      <w:r w:rsidRPr="00D059AC">
        <w:rPr>
          <w:rStyle w:val="formlink"/>
        </w:rPr>
        <w:t>CP DS 06</w:t>
      </w:r>
      <w:r w:rsidRPr="00D059AC">
        <w:rPr>
          <w:b/>
        </w:rPr>
        <w:t>)</w:t>
      </w:r>
      <w:r w:rsidRPr="00D059AC">
        <w:t xml:space="preserve"> or in the Declarations.</w:t>
      </w:r>
    </w:p>
    <w:p w14:paraId="5E25E358" w14:textId="77777777" w:rsidR="007C1AB9" w:rsidRPr="00D059AC" w:rsidRDefault="007C1AB9" w:rsidP="000C04ED">
      <w:pPr>
        <w:pStyle w:val="outlinetxt4"/>
      </w:pPr>
      <w:r w:rsidRPr="00D059AC">
        <w:tab/>
      </w:r>
      <w:r w:rsidRPr="00D059AC">
        <w:rPr>
          <w:b/>
        </w:rPr>
        <w:t>c.</w:t>
      </w:r>
      <w:r w:rsidRPr="00D059AC">
        <w:tab/>
        <w:t xml:space="preserve">A single blanket limit may be written for all property, locations and coverages (e.g., property damage and time element) under a policy. Or, different blanket limits may be written for different groups of items, locations and coverages. For rating instruction on combining property damage coverage with time element coverage, refer to Paragraph </w:t>
      </w:r>
      <w:r w:rsidRPr="00D059AC">
        <w:rPr>
          <w:b/>
        </w:rPr>
        <w:t>C.6.d.</w:t>
      </w:r>
    </w:p>
    <w:p w14:paraId="6E8F9808" w14:textId="77777777" w:rsidR="007C1AB9" w:rsidRPr="00D059AC" w:rsidRDefault="007C1AB9" w:rsidP="000C04ED">
      <w:pPr>
        <w:pStyle w:val="outlinetxt4"/>
      </w:pPr>
      <w:r w:rsidRPr="00D059AC">
        <w:tab/>
      </w:r>
      <w:r w:rsidRPr="00D059AC">
        <w:rPr>
          <w:b/>
        </w:rPr>
        <w:t>d.</w:t>
      </w:r>
      <w:r w:rsidRPr="00D059AC">
        <w:tab/>
        <w:t>When Earthquake – Volcanic Eruption Coverage is written under a blanket limit(s), with other perils subject to specific limits, the specific limit is the maximum amount recoverable for an earthquake or volcanic eruption loss to the affected property or coverage.</w:t>
      </w:r>
    </w:p>
    <w:p w14:paraId="15C86EC8" w14:textId="77777777" w:rsidR="007C1AB9" w:rsidRPr="00D059AC" w:rsidRDefault="007C1AB9" w:rsidP="000C04ED">
      <w:pPr>
        <w:pStyle w:val="outlinehd3"/>
      </w:pPr>
      <w:r w:rsidRPr="00D059AC">
        <w:tab/>
        <w:t>3.</w:t>
      </w:r>
      <w:r w:rsidRPr="00D059AC">
        <w:tab/>
        <w:t>Limits Of Insurance</w:t>
      </w:r>
    </w:p>
    <w:p w14:paraId="454EBC82" w14:textId="77777777" w:rsidR="007C1AB9" w:rsidRPr="00D059AC" w:rsidRDefault="007C1AB9" w:rsidP="000C04ED">
      <w:pPr>
        <w:pStyle w:val="outlinetxt4"/>
      </w:pPr>
      <w:r w:rsidRPr="00D059AC">
        <w:tab/>
      </w:r>
      <w:r w:rsidRPr="00D059AC">
        <w:rPr>
          <w:b/>
        </w:rPr>
        <w:t>a.</w:t>
      </w:r>
      <w:r w:rsidRPr="00D059AC">
        <w:tab/>
        <w:t xml:space="preserve">The limit of insurance under Endorsements </w:t>
      </w:r>
      <w:r w:rsidRPr="00D059AC">
        <w:rPr>
          <w:rStyle w:val="formlink"/>
        </w:rPr>
        <w:t>CP 10 45</w:t>
      </w:r>
      <w:r w:rsidRPr="00D059AC">
        <w:t xml:space="preserve"> and </w:t>
      </w:r>
      <w:r w:rsidRPr="00D059AC">
        <w:rPr>
          <w:rStyle w:val="formlink"/>
        </w:rPr>
        <w:t>CP 10 29</w:t>
      </w:r>
      <w:r w:rsidRPr="00D059AC">
        <w:t xml:space="preserve"> is an annual aggregate limit, which applies to the total of all loss or damage that is caused by earthquake or volcanic eruption in a 12-month period (starting with the beginning of the present annual policy period), even if there is more than one earthquake or volcanic eruption during that period of time. If the first earthquake or volcanic eruption does not exhaust the limit of insurance, then the balance of that limit is available for a subsequent earthquake or volcanic eruption.</w:t>
      </w:r>
    </w:p>
    <w:p w14:paraId="78A2967F" w14:textId="77777777" w:rsidR="007C1AB9" w:rsidRPr="00D059AC" w:rsidRDefault="007C1AB9" w:rsidP="000C04ED">
      <w:pPr>
        <w:pStyle w:val="outlinetxt4"/>
      </w:pPr>
      <w:r w:rsidRPr="00D059AC">
        <w:tab/>
      </w:r>
      <w:r w:rsidRPr="00D059AC">
        <w:rPr>
          <w:b/>
        </w:rPr>
        <w:t>b.</w:t>
      </w:r>
      <w:r w:rsidRPr="00D059AC">
        <w:tab/>
        <w:t xml:space="preserve">Endorsements </w:t>
      </w:r>
      <w:r w:rsidRPr="00D059AC">
        <w:rPr>
          <w:rStyle w:val="formlink"/>
        </w:rPr>
        <w:t>CP 10 45</w:t>
      </w:r>
      <w:r w:rsidRPr="00D059AC">
        <w:t xml:space="preserve"> and </w:t>
      </w:r>
      <w:r w:rsidRPr="00D059AC">
        <w:rPr>
          <w:rStyle w:val="formlink"/>
        </w:rPr>
        <w:t>CP 10 29</w:t>
      </w:r>
      <w:r w:rsidRPr="00D059AC">
        <w:t xml:space="preserve"> include an Increased Annual Aggregate Limit Option. Under this option, the annual aggregate is two times the limit of insurance; but the limit of insurance remains the maximum amount recoverable for a single earthquake or volcanic eruption. Indicate in the Schedule </w:t>
      </w:r>
      <w:r w:rsidRPr="00D059AC">
        <w:rPr>
          <w:b/>
        </w:rPr>
        <w:t>(</w:t>
      </w:r>
      <w:r w:rsidRPr="00D059AC">
        <w:rPr>
          <w:rStyle w:val="formlink"/>
        </w:rPr>
        <w:t>CP DS 06</w:t>
      </w:r>
      <w:r w:rsidRPr="00D059AC">
        <w:rPr>
          <w:b/>
        </w:rPr>
        <w:t>)</w:t>
      </w:r>
      <w:r w:rsidRPr="00D059AC">
        <w:t xml:space="preserve"> or in the Declarations whether the Increased Annual Aggregate Limit Option applies.</w:t>
      </w:r>
    </w:p>
    <w:p w14:paraId="10748D16" w14:textId="77777777" w:rsidR="007C1AB9" w:rsidRPr="00D059AC" w:rsidRDefault="007C1AB9" w:rsidP="000C04ED">
      <w:pPr>
        <w:pStyle w:val="outlinetxt4"/>
      </w:pPr>
      <w:r w:rsidRPr="00D059AC">
        <w:tab/>
      </w:r>
      <w:r w:rsidRPr="00D059AC">
        <w:rPr>
          <w:b/>
        </w:rPr>
        <w:t>c.</w:t>
      </w:r>
      <w:r w:rsidRPr="00D059AC">
        <w:tab/>
        <w:t xml:space="preserve">The limit of insurance stated for Earthquake – Volcanic Eruption is the maximum amount recoverable for loss or damage by earthquake or volcanic eruption. The Earthquake – Volcanic Eruption limit of insurance is </w:t>
      </w:r>
      <w:r w:rsidRPr="00D059AC">
        <w:rPr>
          <w:b/>
        </w:rPr>
        <w:t>not</w:t>
      </w:r>
      <w:r w:rsidRPr="00D059AC">
        <w:t xml:space="preserve"> in addition to the limit of insurance that applies to other Covered Causes of Loss. For example, the maximum amount recoverable for the total of all loss or damage caused by an earthquake and fire resulting from the earthquake is the limit of insurance applicable to </w:t>
      </w:r>
      <w:del w:id="58" w:author="Author">
        <w:r w:rsidRPr="00D059AC" w:rsidDel="009B4B52">
          <w:delText>f</w:delText>
        </w:r>
      </w:del>
      <w:ins w:id="59" w:author="Author">
        <w:r w:rsidRPr="00D059AC">
          <w:t>F</w:t>
        </w:r>
      </w:ins>
      <w:r w:rsidRPr="00D059AC">
        <w:t>ire.</w:t>
      </w:r>
    </w:p>
    <w:p w14:paraId="62553DB6" w14:textId="77777777" w:rsidR="007C1AB9" w:rsidRPr="00D059AC" w:rsidRDefault="007C1AB9" w:rsidP="000C04ED">
      <w:pPr>
        <w:pStyle w:val="outlinetxt4"/>
      </w:pPr>
      <w:r w:rsidRPr="00D059AC">
        <w:tab/>
      </w:r>
      <w:r w:rsidRPr="00D059AC">
        <w:rPr>
          <w:b/>
        </w:rPr>
        <w:t>d.</w:t>
      </w:r>
      <w:r w:rsidRPr="00D059AC">
        <w:tab/>
        <w:t>Amounts payable under Additional Coverages and Coverage Extensions do not increase the Earthquake – Volcanic Eruption limit of insurance.</w:t>
      </w:r>
    </w:p>
    <w:p w14:paraId="7B2D5C36" w14:textId="77777777" w:rsidR="007C1AB9" w:rsidRPr="00D059AC" w:rsidRDefault="007C1AB9" w:rsidP="000C04ED">
      <w:pPr>
        <w:pStyle w:val="outlinehd3"/>
      </w:pPr>
      <w:r w:rsidRPr="00D059AC">
        <w:tab/>
        <w:t>4.</w:t>
      </w:r>
      <w:r w:rsidRPr="00D059AC">
        <w:tab/>
        <w:t>Deductibles</w:t>
      </w:r>
    </w:p>
    <w:p w14:paraId="16376F71" w14:textId="77777777" w:rsidR="007C1AB9" w:rsidRPr="00D059AC" w:rsidRDefault="007C1AB9" w:rsidP="000C04ED">
      <w:pPr>
        <w:pStyle w:val="outlinetxt4"/>
      </w:pPr>
      <w:r w:rsidRPr="00D059AC">
        <w:tab/>
      </w:r>
      <w:r w:rsidRPr="00D059AC">
        <w:rPr>
          <w:b/>
        </w:rPr>
        <w:t>a.</w:t>
      </w:r>
      <w:r w:rsidRPr="00D059AC">
        <w:tab/>
        <w:t xml:space="preserve">Under Endorsement </w:t>
      </w:r>
      <w:r w:rsidRPr="00D059AC">
        <w:rPr>
          <w:rStyle w:val="formlink"/>
        </w:rPr>
        <w:t>CP 10 45</w:t>
      </w:r>
      <w:r w:rsidRPr="00D059AC">
        <w:rPr>
          <w:b/>
        </w:rPr>
        <w:t>,</w:t>
      </w:r>
      <w:r w:rsidRPr="00D059AC">
        <w:t xml:space="preserve"> property damage coverage is subject to a percentage deductible which applies to the value of property that sustains damage by earthquake or volcanic eruption. The value to be used in determining the deductible amount is the value stated in the Statement of Values, or in the Report of Values for reporting form policies. For Builders Risk non-reporting policies, the relevant value is the actual cash value of the damaged property as of the time of loss.</w:t>
      </w:r>
    </w:p>
    <w:p w14:paraId="67BB0436" w14:textId="77777777" w:rsidR="007C1AB9" w:rsidRPr="00D059AC" w:rsidRDefault="007C1AB9" w:rsidP="000C04ED">
      <w:pPr>
        <w:pStyle w:val="outlinetxt4"/>
      </w:pPr>
      <w:r w:rsidRPr="00D059AC">
        <w:tab/>
      </w:r>
      <w:r w:rsidRPr="00D059AC">
        <w:rPr>
          <w:b/>
        </w:rPr>
        <w:t>b.</w:t>
      </w:r>
      <w:r w:rsidRPr="00D059AC">
        <w:rPr>
          <w:b/>
        </w:rPr>
        <w:tab/>
      </w:r>
      <w:r w:rsidRPr="00D059AC">
        <w:t xml:space="preserve">For deductible percentages, refer to the tables under Paragraph </w:t>
      </w:r>
      <w:r w:rsidRPr="00D059AC">
        <w:rPr>
          <w:b/>
        </w:rPr>
        <w:t>C.6.a.(5)</w:t>
      </w:r>
      <w:r w:rsidRPr="00D059AC">
        <w:t xml:space="preserve"> in the state exceptions. Enter the applicable deductible percentage(s) in the Schedule </w:t>
      </w:r>
      <w:r w:rsidRPr="00D059AC">
        <w:rPr>
          <w:b/>
        </w:rPr>
        <w:t>(</w:t>
      </w:r>
      <w:r w:rsidRPr="00D059AC">
        <w:rPr>
          <w:rStyle w:val="formlink"/>
        </w:rPr>
        <w:t>CP DS 06</w:t>
      </w:r>
      <w:r w:rsidRPr="00D059AC">
        <w:rPr>
          <w:b/>
        </w:rPr>
        <w:t>)</w:t>
      </w:r>
      <w:r w:rsidRPr="00D059AC">
        <w:t xml:space="preserve"> or in the Declarations.</w:t>
      </w:r>
    </w:p>
    <w:p w14:paraId="0C9D745F" w14:textId="77777777" w:rsidR="007C1AB9" w:rsidRPr="00D059AC" w:rsidRDefault="007C1AB9" w:rsidP="000C04ED">
      <w:pPr>
        <w:pStyle w:val="outlinetxt4"/>
      </w:pPr>
      <w:r w:rsidRPr="00D059AC">
        <w:lastRenderedPageBreak/>
        <w:tab/>
      </w:r>
      <w:r w:rsidRPr="00D059AC">
        <w:rPr>
          <w:b/>
        </w:rPr>
        <w:t>c.</w:t>
      </w:r>
      <w:r w:rsidRPr="00D059AC">
        <w:tab/>
        <w:t xml:space="preserve">Under Endorsement </w:t>
      </w:r>
      <w:r w:rsidRPr="00D059AC">
        <w:rPr>
          <w:rStyle w:val="formlink"/>
        </w:rPr>
        <w:t>CP 10 29</w:t>
      </w:r>
      <w:r w:rsidRPr="00D059AC">
        <w:rPr>
          <w:b/>
        </w:rPr>
        <w:t>,</w:t>
      </w:r>
      <w:r w:rsidRPr="00D059AC">
        <w:t xml:space="preserve"> property damage coverage is subject to a flat-dollar deductible. Enter the applicable flat-dollar deductible(s) in the Schedule </w:t>
      </w:r>
      <w:r w:rsidRPr="00D059AC">
        <w:rPr>
          <w:b/>
        </w:rPr>
        <w:t>(</w:t>
      </w:r>
      <w:r w:rsidRPr="00D059AC">
        <w:rPr>
          <w:rStyle w:val="formlink"/>
        </w:rPr>
        <w:t>CP DS 06</w:t>
      </w:r>
      <w:r w:rsidRPr="00D059AC">
        <w:rPr>
          <w:b/>
        </w:rPr>
        <w:t>)</w:t>
      </w:r>
      <w:r w:rsidRPr="00D059AC">
        <w:t xml:space="preserve"> or in the Declarations. In each occurrence of loss, the deductible applies separately to each location. If a deductible is shown for a particular building, then that building is considered to be a separate location with respect to application of the deductible.</w:t>
      </w:r>
    </w:p>
    <w:p w14:paraId="0F861171" w14:textId="77777777" w:rsidR="007C1AB9" w:rsidRPr="00D059AC" w:rsidRDefault="007C1AB9" w:rsidP="000C04ED">
      <w:pPr>
        <w:pStyle w:val="blocktext5"/>
      </w:pPr>
      <w:r w:rsidRPr="00D059AC">
        <w:t xml:space="preserve">Flat-dollar deductibles range from $500 to $1,000,000. Refer to the tables for Rule </w:t>
      </w:r>
      <w:r w:rsidRPr="00D059AC">
        <w:rPr>
          <w:b/>
        </w:rPr>
        <w:t>75.</w:t>
      </w:r>
      <w:r w:rsidRPr="00D059AC">
        <w:t xml:space="preserve"> in the section of this manual titled Earthquake Flat Deductible Rating. The tables provide for selection of a single factor that adjusts for both the deductible and insurance-to-value (sub-limit) level. Select the table based on the deductible tier and amount of the deductible. Within that table, select the factor shown at the intersection of the applicable building class, "total property value" and "insurance-to-value level" (sub-limit), subject to the following:</w:t>
      </w:r>
    </w:p>
    <w:p w14:paraId="2557E6FB" w14:textId="77777777" w:rsidR="007C1AB9" w:rsidRPr="00D059AC" w:rsidRDefault="007C1AB9" w:rsidP="000C04ED">
      <w:pPr>
        <w:pStyle w:val="outlinetxt5"/>
      </w:pPr>
      <w:r w:rsidRPr="00D059AC">
        <w:tab/>
      </w:r>
      <w:r w:rsidRPr="00D059AC">
        <w:rPr>
          <w:b/>
        </w:rPr>
        <w:t>(1)</w:t>
      </w:r>
      <w:r w:rsidRPr="00D059AC">
        <w:tab/>
        <w:t xml:space="preserve">The "total property value" is the sum of the 100% values of the building and business personal property in that building and property in the open, if such coverages apply. (Exception: If the deductible is written to apply once per occurrence at a multi-building location, then the "total property value" look-up for </w:t>
      </w:r>
      <w:r w:rsidRPr="00D059AC">
        <w:rPr>
          <w:b/>
        </w:rPr>
        <w:t>each</w:t>
      </w:r>
      <w:r w:rsidRPr="00D059AC">
        <w:t xml:space="preserve"> building at that location is the </w:t>
      </w:r>
      <w:r w:rsidRPr="00D059AC">
        <w:rPr>
          <w:b/>
        </w:rPr>
        <w:t>combined</w:t>
      </w:r>
      <w:r w:rsidRPr="00D059AC">
        <w:t xml:space="preserve"> total property value of all buildings at the location, including business personal property in those buildings and property in the open if such coverages apply.</w:t>
      </w:r>
    </w:p>
    <w:p w14:paraId="3844F73D" w14:textId="77777777" w:rsidR="007C1AB9" w:rsidRPr="00D059AC" w:rsidRDefault="007C1AB9" w:rsidP="000C04ED">
      <w:pPr>
        <w:pStyle w:val="outlinetxt5"/>
      </w:pPr>
      <w:r w:rsidRPr="00D059AC">
        <w:rPr>
          <w:b/>
        </w:rPr>
        <w:tab/>
        <w:t>(2)</w:t>
      </w:r>
      <w:r w:rsidRPr="00D059AC">
        <w:tab/>
        <w:t xml:space="preserve">To determine the "insurance-to-value level" (sub-limit), divide the actual limit of insurance by the 100% value of the insured property. For example, if a building has a value of $1 million and is being insured for $600,000, then the insurance-to-value level (sub-limit) is 60% ($600,000 </w:t>
      </w:r>
      <w:r w:rsidRPr="00D059AC">
        <w:rPr>
          <w:rFonts w:cs="Arial"/>
        </w:rPr>
        <w:t>÷</w:t>
      </w:r>
      <w:r w:rsidRPr="00D059AC">
        <w:t xml:space="preserve"> $1,000,000 = .60).</w:t>
      </w:r>
    </w:p>
    <w:p w14:paraId="48CDA0A6" w14:textId="77777777" w:rsidR="007C1AB9" w:rsidRPr="00D059AC" w:rsidRDefault="007C1AB9" w:rsidP="000C04ED">
      <w:pPr>
        <w:pStyle w:val="outlinehd3"/>
      </w:pPr>
      <w:r w:rsidRPr="00D059AC">
        <w:tab/>
        <w:t>5.</w:t>
      </w:r>
      <w:r w:rsidRPr="00D059AC">
        <w:tab/>
        <w:t>Options</w:t>
      </w:r>
    </w:p>
    <w:p w14:paraId="1398D0B5" w14:textId="77777777" w:rsidR="007C1AB9" w:rsidRPr="00D059AC" w:rsidRDefault="007C1AB9" w:rsidP="000C04ED">
      <w:pPr>
        <w:pStyle w:val="outlinetxt4"/>
      </w:pPr>
      <w:r w:rsidRPr="00D059AC">
        <w:tab/>
      </w:r>
      <w:r w:rsidRPr="00D059AC">
        <w:rPr>
          <w:b/>
        </w:rPr>
        <w:t>a.</w:t>
      </w:r>
      <w:r w:rsidRPr="00D059AC">
        <w:tab/>
        <w:t xml:space="preserve">Refer to Paragraph </w:t>
      </w:r>
      <w:r w:rsidRPr="00D059AC">
        <w:rPr>
          <w:b/>
        </w:rPr>
        <w:t>C.3.b.</w:t>
      </w:r>
      <w:r w:rsidRPr="00D059AC">
        <w:t xml:space="preserve"> of </w:t>
      </w:r>
      <w:del w:id="60" w:author="Author">
        <w:r w:rsidRPr="00D059AC" w:rsidDel="009B4B52">
          <w:delText>this r</w:delText>
        </w:r>
      </w:del>
      <w:ins w:id="61" w:author="Author">
        <w:r w:rsidRPr="00D059AC">
          <w:t>R</w:t>
        </w:r>
      </w:ins>
      <w:r w:rsidRPr="00D059AC">
        <w:t xml:space="preserve">ule </w:t>
      </w:r>
      <w:ins w:id="62" w:author="Author">
        <w:r w:rsidRPr="007C1AB9">
          <w:rPr>
            <w:b/>
            <w:bCs/>
            <w:rPrChange w:id="63" w:author="Author">
              <w:rPr/>
            </w:rPrChange>
          </w:rPr>
          <w:t>75.</w:t>
        </w:r>
        <w:r w:rsidRPr="00D059AC">
          <w:t xml:space="preserve"> </w:t>
        </w:r>
      </w:ins>
      <w:r w:rsidRPr="00D059AC">
        <w:t>for the Increased Annual Aggregate Limit Option.</w:t>
      </w:r>
    </w:p>
    <w:p w14:paraId="688B5F68" w14:textId="77777777" w:rsidR="007C1AB9" w:rsidRPr="00D059AC" w:rsidRDefault="007C1AB9" w:rsidP="000C04ED">
      <w:pPr>
        <w:pStyle w:val="outlinetxt4"/>
      </w:pPr>
      <w:r w:rsidRPr="00D059AC">
        <w:tab/>
      </w:r>
      <w:r w:rsidRPr="00D059AC">
        <w:rPr>
          <w:b/>
        </w:rPr>
        <w:t>b.</w:t>
      </w:r>
      <w:r w:rsidRPr="00D059AC">
        <w:tab/>
        <w:t xml:space="preserve">Endorsement </w:t>
      </w:r>
      <w:r w:rsidRPr="00D059AC">
        <w:rPr>
          <w:rStyle w:val="formlink"/>
        </w:rPr>
        <w:t>CP 10 45</w:t>
      </w:r>
      <w:r w:rsidRPr="00D059AC">
        <w:t xml:space="preserve"> may be used to limit coverage to "Earthquake – Sprinkler Leakage Only". This option is made applicable by appropriate entry in </w:t>
      </w:r>
      <w:del w:id="64" w:author="Author">
        <w:r w:rsidRPr="00D059AC" w:rsidDel="009B4B52">
          <w:delText xml:space="preserve">Endorsement </w:delText>
        </w:r>
      </w:del>
      <w:ins w:id="65" w:author="Author">
        <w:r w:rsidRPr="00D059AC">
          <w:t xml:space="preserve">Schedule </w:t>
        </w:r>
      </w:ins>
      <w:r w:rsidRPr="00D059AC">
        <w:rPr>
          <w:rStyle w:val="formlink"/>
        </w:rPr>
        <w:t>CP DS 06</w:t>
      </w:r>
      <w:r w:rsidRPr="00D059AC">
        <w:t xml:space="preserve"> or in the Declarations. Refer to Rule </w:t>
      </w:r>
      <w:r w:rsidRPr="00D059AC">
        <w:rPr>
          <w:b/>
        </w:rPr>
        <w:t>74.F.</w:t>
      </w:r>
    </w:p>
    <w:p w14:paraId="45D806B3" w14:textId="77777777" w:rsidR="007C1AB9" w:rsidRPr="00D059AC" w:rsidRDefault="007C1AB9" w:rsidP="000C04ED">
      <w:pPr>
        <w:pStyle w:val="outlinetxt4"/>
      </w:pPr>
      <w:r w:rsidRPr="00D059AC">
        <w:tab/>
      </w:r>
      <w:r w:rsidRPr="00D059AC">
        <w:rPr>
          <w:b/>
        </w:rPr>
        <w:t>c.</w:t>
      </w:r>
      <w:r w:rsidRPr="00D059AC">
        <w:tab/>
        <w:t xml:space="preserve">The masonry veneer limitation in Endorsement </w:t>
      </w:r>
      <w:r w:rsidRPr="00D059AC">
        <w:rPr>
          <w:rStyle w:val="formlink"/>
        </w:rPr>
        <w:t>CP 10 45</w:t>
      </w:r>
      <w:r w:rsidRPr="00D059AC">
        <w:t xml:space="preserve"> (which excludes loss to exterior masonry veneer but includes stucco on wood frame walls) may be deleted. Indicate in </w:t>
      </w:r>
      <w:del w:id="66" w:author="Author">
        <w:r w:rsidRPr="00D059AC" w:rsidDel="009B4B52">
          <w:delText xml:space="preserve">Endorsement </w:delText>
        </w:r>
      </w:del>
      <w:ins w:id="67" w:author="Author">
        <w:r w:rsidRPr="00D059AC">
          <w:t xml:space="preserve">Schedule </w:t>
        </w:r>
      </w:ins>
      <w:r w:rsidRPr="00D059AC">
        <w:rPr>
          <w:rStyle w:val="formlink"/>
        </w:rPr>
        <w:t>CP DS 06</w:t>
      </w:r>
      <w:r w:rsidRPr="00D059AC">
        <w:t xml:space="preserve"> or in the Declarations that the "Including Masonry Veneer" Option applies.</w:t>
      </w:r>
    </w:p>
    <w:p w14:paraId="0B85ECC7" w14:textId="77777777" w:rsidR="007C1AB9" w:rsidRPr="00D059AC" w:rsidRDefault="007C1AB9" w:rsidP="000C04ED">
      <w:pPr>
        <w:pStyle w:val="outlinehd3"/>
      </w:pPr>
      <w:r w:rsidRPr="00D059AC">
        <w:tab/>
        <w:t>6.</w:t>
      </w:r>
      <w:r w:rsidRPr="00D059AC">
        <w:tab/>
        <w:t>Rating</w:t>
      </w:r>
    </w:p>
    <w:p w14:paraId="2BD9496A" w14:textId="77777777" w:rsidR="007C1AB9" w:rsidRPr="00D059AC" w:rsidRDefault="007C1AB9" w:rsidP="000C04ED">
      <w:pPr>
        <w:pStyle w:val="outlinehd4"/>
      </w:pPr>
      <w:r w:rsidRPr="00D059AC">
        <w:tab/>
        <w:t>a.</w:t>
      </w:r>
      <w:r w:rsidRPr="00D059AC">
        <w:tab/>
        <w:t>Rate Determination – Sub-limit Form</w:t>
      </w:r>
    </w:p>
    <w:p w14:paraId="49E2270C" w14:textId="77777777" w:rsidR="007C1AB9" w:rsidRPr="00D059AC" w:rsidRDefault="007C1AB9" w:rsidP="000C04ED">
      <w:pPr>
        <w:pStyle w:val="outlinetxt5"/>
      </w:pPr>
      <w:r w:rsidRPr="00D059AC">
        <w:tab/>
      </w:r>
      <w:r w:rsidRPr="00D059AC">
        <w:rPr>
          <w:b/>
        </w:rPr>
        <w:t>(1)</w:t>
      </w:r>
      <w:r w:rsidRPr="00D059AC">
        <w:tab/>
        <w:t xml:space="preserve">Refer to Rule </w:t>
      </w:r>
      <w:r w:rsidRPr="00D059AC">
        <w:rPr>
          <w:b/>
        </w:rPr>
        <w:t>73.D.1.</w:t>
      </w:r>
      <w:r w:rsidRPr="00D059AC">
        <w:t xml:space="preserve"> to obtain Earthquake Building Classification</w:t>
      </w:r>
      <w:ins w:id="68" w:author="Author">
        <w:r w:rsidRPr="00D059AC">
          <w:t xml:space="preserve"> and Rule </w:t>
        </w:r>
        <w:r w:rsidRPr="00D059AC">
          <w:rPr>
            <w:b/>
            <w:bCs/>
          </w:rPr>
          <w:t>73.D.5.</w:t>
        </w:r>
        <w:r w:rsidRPr="00D059AC">
          <w:t xml:space="preserve"> to obtain Personal Property Rate Grade</w:t>
        </w:r>
      </w:ins>
      <w:r w:rsidRPr="00D059AC">
        <w:t>.</w:t>
      </w:r>
    </w:p>
    <w:p w14:paraId="0400D267" w14:textId="77777777" w:rsidR="007C1AB9" w:rsidRPr="00D059AC" w:rsidRDefault="007C1AB9" w:rsidP="000C04ED">
      <w:pPr>
        <w:pStyle w:val="outlinetxt5"/>
      </w:pPr>
      <w:r w:rsidRPr="00D059AC">
        <w:tab/>
      </w:r>
      <w:r w:rsidRPr="00D059AC">
        <w:rPr>
          <w:b/>
        </w:rPr>
        <w:t>(2)</w:t>
      </w:r>
      <w:r w:rsidRPr="00D059AC">
        <w:tab/>
        <w:t xml:space="preserve">Refer to the territory section for ZIP </w:t>
      </w:r>
      <w:del w:id="69" w:author="Author">
        <w:r w:rsidRPr="00D059AC" w:rsidDel="009B4B52">
          <w:delText>c</w:delText>
        </w:r>
      </w:del>
      <w:ins w:id="70" w:author="Author">
        <w:r w:rsidRPr="00D059AC">
          <w:t>C</w:t>
        </w:r>
      </w:ins>
      <w:r w:rsidRPr="00D059AC">
        <w:t>ode-based definitions to determine the territory applicable to the location of the property being insured.</w:t>
      </w:r>
    </w:p>
    <w:p w14:paraId="2E946122" w14:textId="77777777" w:rsidR="007C1AB9" w:rsidRPr="00D059AC" w:rsidRDefault="007C1AB9" w:rsidP="000C04ED">
      <w:pPr>
        <w:pStyle w:val="outlinetxt5"/>
      </w:pPr>
      <w:r w:rsidRPr="00D059AC">
        <w:tab/>
      </w:r>
      <w:r w:rsidRPr="00D059AC">
        <w:rPr>
          <w:b/>
        </w:rPr>
        <w:t>(3)</w:t>
      </w:r>
      <w:r w:rsidRPr="00D059AC">
        <w:tab/>
        <w:t xml:space="preserve">Determine the deductible tier, which is specified for each territory in Rule </w:t>
      </w:r>
      <w:r w:rsidRPr="00D059AC">
        <w:rPr>
          <w:b/>
        </w:rPr>
        <w:t>73.</w:t>
      </w:r>
      <w:r w:rsidRPr="00D059AC">
        <w:t xml:space="preserve"> </w:t>
      </w:r>
      <w:del w:id="71" w:author="Author">
        <w:r w:rsidRPr="00D059AC" w:rsidDel="009B4B52">
          <w:delText>I</w:delText>
        </w:r>
      </w:del>
      <w:ins w:id="72" w:author="Author">
        <w:r w:rsidRPr="00D059AC">
          <w:t>i</w:t>
        </w:r>
      </w:ins>
      <w:r w:rsidRPr="00D059AC">
        <w:t>n the state rates.</w:t>
      </w:r>
    </w:p>
    <w:p w14:paraId="0D5F132C" w14:textId="77777777" w:rsidR="007C1AB9" w:rsidRPr="00D059AC" w:rsidRDefault="007C1AB9" w:rsidP="000C04ED">
      <w:pPr>
        <w:pStyle w:val="outlinetxt5"/>
      </w:pPr>
      <w:r w:rsidRPr="00D059AC">
        <w:tab/>
      </w:r>
      <w:r w:rsidRPr="00D059AC">
        <w:rPr>
          <w:b/>
        </w:rPr>
        <w:t>(4)</w:t>
      </w:r>
      <w:r w:rsidRPr="00D059AC">
        <w:tab/>
        <w:t xml:space="preserve">Select </w:t>
      </w:r>
      <w:del w:id="73" w:author="Author">
        <w:r w:rsidRPr="00D059AC" w:rsidDel="00240DDF">
          <w:delText xml:space="preserve">an </w:delText>
        </w:r>
      </w:del>
      <w:r w:rsidRPr="00D059AC">
        <w:t>Earthquake loss cost</w:t>
      </w:r>
      <w:ins w:id="74" w:author="Author">
        <w:r w:rsidRPr="00D059AC">
          <w:t>(s)</w:t>
        </w:r>
      </w:ins>
      <w:r w:rsidRPr="00D059AC">
        <w:t xml:space="preserve"> </w:t>
      </w:r>
      <w:ins w:id="75" w:author="Author">
        <w:r w:rsidRPr="00D059AC">
          <w:t>for</w:t>
        </w:r>
      </w:ins>
      <w:del w:id="76" w:author="Author">
        <w:r w:rsidRPr="00D059AC" w:rsidDel="00E51F4C">
          <w:delText>(</w:delText>
        </w:r>
      </w:del>
      <w:ins w:id="77" w:author="Author">
        <w:r w:rsidRPr="00D059AC">
          <w:t xml:space="preserve"> </w:t>
        </w:r>
      </w:ins>
      <w:r w:rsidRPr="00D059AC">
        <w:t>building</w:t>
      </w:r>
      <w:ins w:id="78" w:author="Author">
        <w:r w:rsidRPr="00D059AC">
          <w:t xml:space="preserve"> and/or </w:t>
        </w:r>
      </w:ins>
      <w:del w:id="79" w:author="Author">
        <w:r w:rsidRPr="00D059AC" w:rsidDel="00E51F4C">
          <w:delText xml:space="preserve">, </w:delText>
        </w:r>
      </w:del>
      <w:r w:rsidRPr="00D059AC">
        <w:t>personal property</w:t>
      </w:r>
      <w:del w:id="80" w:author="Author">
        <w:r w:rsidRPr="00D059AC" w:rsidDel="00E51F4C">
          <w:delText>)</w:delText>
        </w:r>
      </w:del>
      <w:r w:rsidRPr="00D059AC">
        <w:t xml:space="preserve"> from Rule </w:t>
      </w:r>
      <w:r w:rsidRPr="00D059AC">
        <w:rPr>
          <w:b/>
        </w:rPr>
        <w:t>73.</w:t>
      </w:r>
      <w:r w:rsidRPr="00D059AC">
        <w:rPr>
          <w:rStyle w:val="rulelink"/>
          <w:color w:val="000000"/>
        </w:rPr>
        <w:t xml:space="preserve"> in </w:t>
      </w:r>
      <w:r w:rsidRPr="00D059AC">
        <w:t>the state rates based on building classification</w:t>
      </w:r>
      <w:ins w:id="81" w:author="Author">
        <w:r w:rsidRPr="00D059AC">
          <w:t>, personal property rate grade if applicable,</w:t>
        </w:r>
      </w:ins>
      <w:r w:rsidRPr="00D059AC">
        <w:t xml:space="preserve"> and territory.</w:t>
      </w:r>
    </w:p>
    <w:p w14:paraId="136F2CD8" w14:textId="77777777" w:rsidR="007C1AB9" w:rsidRPr="00D059AC" w:rsidRDefault="007C1AB9" w:rsidP="000C04ED">
      <w:pPr>
        <w:pStyle w:val="outlinetxt5"/>
      </w:pPr>
      <w:r w:rsidRPr="00D059AC">
        <w:tab/>
      </w:r>
      <w:r w:rsidRPr="00D059AC">
        <w:rPr>
          <w:b/>
        </w:rPr>
        <w:t>(5)</w:t>
      </w:r>
      <w:r w:rsidRPr="00D059AC">
        <w:tab/>
        <w:t xml:space="preserve">If coverage is written under Endorsement </w:t>
      </w:r>
      <w:r w:rsidRPr="00D059AC">
        <w:rPr>
          <w:rStyle w:val="formlink"/>
        </w:rPr>
        <w:t>CP 10 45</w:t>
      </w:r>
      <w:r w:rsidRPr="00D059AC">
        <w:rPr>
          <w:b/>
        </w:rPr>
        <w:t>,</w:t>
      </w:r>
      <w:r w:rsidRPr="00D059AC">
        <w:t xml:space="preserve"> refer to Table </w:t>
      </w:r>
      <w:r w:rsidRPr="00D059AC">
        <w:rPr>
          <w:b/>
        </w:rPr>
        <w:t>75.C.6.a.(5)</w:t>
      </w:r>
      <w:r w:rsidRPr="00D059AC">
        <w:t xml:space="preserve"> in the state exceptions for sub-limit factors. The applicable table is determined by deductible tier. The appropriate factor is determined based on building classification, sub-limit percentage and deductible percentage.</w:t>
      </w:r>
    </w:p>
    <w:p w14:paraId="2B18143D" w14:textId="77777777" w:rsidR="007C1AB9" w:rsidRPr="00D059AC" w:rsidRDefault="007C1AB9" w:rsidP="000C04ED">
      <w:pPr>
        <w:pStyle w:val="blocktext6"/>
      </w:pPr>
      <w:r w:rsidRPr="00D059AC">
        <w:t xml:space="preserve">For sub-limit percentages not shown in Table </w:t>
      </w:r>
      <w:r w:rsidRPr="00D059AC">
        <w:rPr>
          <w:b/>
          <w:bCs/>
        </w:rPr>
        <w:t>75.C.6.a.(5),</w:t>
      </w:r>
      <w:r w:rsidRPr="00D059AC">
        <w:rPr>
          <w:bCs/>
        </w:rPr>
        <w:t xml:space="preserve"> </w:t>
      </w:r>
      <w:r w:rsidRPr="00D059AC">
        <w:t>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55CD43B9" w14:textId="77777777" w:rsidR="007C1AB9" w:rsidRPr="00D059AC" w:rsidRDefault="007C1AB9" w:rsidP="000C04ED">
      <w:pPr>
        <w:pStyle w:val="outlinetxt6"/>
      </w:pPr>
      <w:r w:rsidRPr="00D059AC">
        <w:rPr>
          <w:b/>
          <w:bCs/>
        </w:rPr>
        <w:tab/>
        <w:t>(a)</w:t>
      </w:r>
      <w:r w:rsidRPr="00D059AC">
        <w:rPr>
          <w:b/>
          <w:bCs/>
        </w:rPr>
        <w:tab/>
      </w:r>
      <w:r w:rsidRPr="00D059AC">
        <w:t>If the selected sub-limit percentage is 32%, the nearest sub-limit percentages for which factors are shown are percentages of 30% and 35%.</w:t>
      </w:r>
    </w:p>
    <w:p w14:paraId="3EABE8B3" w14:textId="77777777" w:rsidR="007C1AB9" w:rsidRPr="00D059AC" w:rsidRDefault="007C1AB9" w:rsidP="000C04ED">
      <w:pPr>
        <w:pStyle w:val="outlinetxt6"/>
      </w:pPr>
      <w:r w:rsidRPr="00D059AC">
        <w:rPr>
          <w:b/>
          <w:bCs/>
        </w:rPr>
        <w:tab/>
        <w:t>(b)</w:t>
      </w:r>
      <w:r w:rsidRPr="00D059AC">
        <w:rPr>
          <w:b/>
          <w:bCs/>
        </w:rPr>
        <w:tab/>
      </w:r>
      <w:r w:rsidRPr="00D059AC">
        <w:t>Assume that for 30%, the sub-limit factor for deductible tier 2 at 5% deductible is 1.93 and for 35% the sub-limit factor for deductible tier 2 at 5% deductible is 1.77.</w:t>
      </w:r>
    </w:p>
    <w:p w14:paraId="640AE25B" w14:textId="77777777" w:rsidR="007C1AB9" w:rsidRPr="00D059AC" w:rsidRDefault="007C1AB9" w:rsidP="000C04ED">
      <w:pPr>
        <w:pStyle w:val="outlinetxt6"/>
      </w:pPr>
      <w:r w:rsidRPr="00D059AC">
        <w:rPr>
          <w:b/>
          <w:bCs/>
        </w:rPr>
        <w:tab/>
        <w:t>(c)</w:t>
      </w:r>
      <w:r w:rsidRPr="00D059AC">
        <w:rPr>
          <w:b/>
          <w:bCs/>
        </w:rPr>
        <w:tab/>
      </w:r>
      <w:r w:rsidRPr="00D059AC">
        <w:t>Calculate the difference between the two factors.</w:t>
      </w:r>
    </w:p>
    <w:p w14:paraId="109ABA44" w14:textId="77777777" w:rsidR="007C1AB9" w:rsidRPr="00D059AC" w:rsidRDefault="007C1AB9" w:rsidP="000C04ED">
      <w:pPr>
        <w:pStyle w:val="blocktext7"/>
      </w:pPr>
      <w:r w:rsidRPr="00D059AC">
        <w:t>1.93 – 1.77 = 0.16</w:t>
      </w:r>
    </w:p>
    <w:p w14:paraId="1AE88A30" w14:textId="77777777" w:rsidR="007C1AB9" w:rsidRPr="00D059AC" w:rsidRDefault="007C1AB9" w:rsidP="000C04ED">
      <w:pPr>
        <w:pStyle w:val="outlinetxt6"/>
      </w:pPr>
      <w:r w:rsidRPr="00D059AC">
        <w:rPr>
          <w:b/>
          <w:bCs/>
        </w:rPr>
        <w:tab/>
        <w:t>(d)</w:t>
      </w:r>
      <w:r w:rsidRPr="00D059AC">
        <w:rPr>
          <w:b/>
          <w:bCs/>
        </w:rPr>
        <w:tab/>
      </w:r>
      <w:r w:rsidRPr="00D059AC">
        <w:t>Calculate the difference between the selected sub-limit percentage (32%) and the lower percentage (30%)</w:t>
      </w:r>
      <w:del w:id="82" w:author="Author">
        <w:r w:rsidRPr="00D059AC" w:rsidDel="009B4B52">
          <w:delText>,</w:delText>
        </w:r>
      </w:del>
      <w:r w:rsidRPr="00D059AC">
        <w:t xml:space="preserve"> as decimals.</w:t>
      </w:r>
    </w:p>
    <w:p w14:paraId="660A11DA" w14:textId="77777777" w:rsidR="007C1AB9" w:rsidRPr="00D059AC" w:rsidRDefault="007C1AB9" w:rsidP="000C04ED">
      <w:pPr>
        <w:pStyle w:val="blocktext7"/>
      </w:pPr>
      <w:r w:rsidRPr="00D059AC">
        <w:t>0.32 – 0.30 = 0.02</w:t>
      </w:r>
    </w:p>
    <w:p w14:paraId="2B5BBDCD" w14:textId="77777777" w:rsidR="007C1AB9" w:rsidRPr="00D059AC" w:rsidRDefault="007C1AB9" w:rsidP="000C04ED">
      <w:pPr>
        <w:pStyle w:val="outlinetxt6"/>
      </w:pPr>
      <w:r w:rsidRPr="00D059AC">
        <w:rPr>
          <w:b/>
          <w:bCs/>
        </w:rPr>
        <w:tab/>
        <w:t>(e)</w:t>
      </w:r>
      <w:r w:rsidRPr="00D059AC">
        <w:rPr>
          <w:b/>
          <w:bCs/>
        </w:rPr>
        <w:tab/>
      </w:r>
      <w:r w:rsidRPr="00D059AC">
        <w:t>Calculate the difference between the higher and lower sub-limit percentages</w:t>
      </w:r>
      <w:del w:id="83" w:author="Author">
        <w:r w:rsidRPr="00D059AC" w:rsidDel="009B4B52">
          <w:delText>,</w:delText>
        </w:r>
      </w:del>
      <w:r w:rsidRPr="00D059AC">
        <w:t xml:space="preserve"> as decimals.</w:t>
      </w:r>
    </w:p>
    <w:p w14:paraId="798D20A2" w14:textId="77777777" w:rsidR="007C1AB9" w:rsidRPr="00D059AC" w:rsidRDefault="007C1AB9" w:rsidP="000C04ED">
      <w:pPr>
        <w:pStyle w:val="blocktext7"/>
      </w:pPr>
      <w:r w:rsidRPr="00D059AC">
        <w:t>0.35 – 0.30 = 0.05</w:t>
      </w:r>
    </w:p>
    <w:p w14:paraId="3629EBC6" w14:textId="77777777" w:rsidR="007C1AB9" w:rsidRPr="00D059AC" w:rsidRDefault="007C1AB9" w:rsidP="000C04ED">
      <w:pPr>
        <w:pStyle w:val="outlinetxt6"/>
        <w:rPr>
          <w:b/>
          <w:bCs/>
        </w:rPr>
      </w:pPr>
      <w:r w:rsidRPr="00D059AC">
        <w:rPr>
          <w:b/>
          <w:bCs/>
        </w:rPr>
        <w:tab/>
        <w:t>(f)</w:t>
      </w:r>
      <w:r w:rsidRPr="00D059AC">
        <w:rPr>
          <w:b/>
          <w:bCs/>
        </w:rPr>
        <w:tab/>
      </w:r>
      <w:r w:rsidRPr="00D059AC">
        <w:t xml:space="preserve">Multiply the result of Paragraph </w:t>
      </w:r>
      <w:bookmarkStart w:id="84" w:name="_Hlk130994741"/>
      <w:ins w:id="85" w:author="Author">
        <w:r w:rsidRPr="007C1AB9">
          <w:rPr>
            <w:b/>
            <w:bCs/>
            <w:rPrChange w:id="86" w:author="Author">
              <w:rPr/>
            </w:rPrChange>
          </w:rPr>
          <w:t>C.6.a.(5)</w:t>
        </w:r>
      </w:ins>
      <w:bookmarkEnd w:id="84"/>
      <w:r w:rsidRPr="00D059AC">
        <w:rPr>
          <w:b/>
          <w:bCs/>
        </w:rPr>
        <w:t>(c)</w:t>
      </w:r>
      <w:r w:rsidRPr="00D059AC">
        <w:rPr>
          <w:bCs/>
        </w:rPr>
        <w:t xml:space="preserve"> </w:t>
      </w:r>
      <w:r w:rsidRPr="00D059AC">
        <w:t xml:space="preserve">by the result of Paragraph </w:t>
      </w:r>
      <w:ins w:id="87" w:author="Author">
        <w:r w:rsidRPr="00D059AC">
          <w:rPr>
            <w:b/>
            <w:bCs/>
          </w:rPr>
          <w:t>C.6.a.(5)</w:t>
        </w:r>
      </w:ins>
      <w:r w:rsidRPr="00D059AC">
        <w:rPr>
          <w:b/>
          <w:bCs/>
        </w:rPr>
        <w:t>(d)</w:t>
      </w:r>
      <w:r w:rsidRPr="00D059AC">
        <w:rPr>
          <w:bCs/>
        </w:rPr>
        <w:t xml:space="preserve"> </w:t>
      </w:r>
      <w:r w:rsidRPr="00D059AC">
        <w:t xml:space="preserve">and divide by the result of Paragraph </w:t>
      </w:r>
      <w:ins w:id="88" w:author="Author">
        <w:r w:rsidRPr="00D059AC">
          <w:rPr>
            <w:b/>
            <w:bCs/>
          </w:rPr>
          <w:t>C.6.a.(5)</w:t>
        </w:r>
      </w:ins>
      <w:r w:rsidRPr="00D059AC">
        <w:rPr>
          <w:b/>
          <w:bCs/>
        </w:rPr>
        <w:t>(e).</w:t>
      </w:r>
    </w:p>
    <w:p w14:paraId="0146EDC4" w14:textId="77777777" w:rsidR="007C1AB9" w:rsidRPr="00D059AC" w:rsidRDefault="007C1AB9" w:rsidP="000C04ED">
      <w:pPr>
        <w:pStyle w:val="blocktext7"/>
      </w:pPr>
      <w:r w:rsidRPr="00D059AC">
        <w:lastRenderedPageBreak/>
        <w:t>0.16 x 0.02 ÷ 0.05 = 0.064</w:t>
      </w:r>
    </w:p>
    <w:p w14:paraId="191C1BB9" w14:textId="77777777" w:rsidR="007C1AB9" w:rsidRPr="00D059AC" w:rsidRDefault="007C1AB9" w:rsidP="000C04ED">
      <w:pPr>
        <w:pStyle w:val="outlinetxt6"/>
      </w:pPr>
      <w:r w:rsidRPr="00D059AC">
        <w:rPr>
          <w:b/>
          <w:bCs/>
        </w:rPr>
        <w:tab/>
        <w:t>(g)</w:t>
      </w:r>
      <w:r w:rsidRPr="00D059AC">
        <w:rPr>
          <w:b/>
          <w:bCs/>
        </w:rPr>
        <w:tab/>
      </w:r>
      <w:r w:rsidRPr="00D059AC">
        <w:t xml:space="preserve">Subtract the result of Paragraph </w:t>
      </w:r>
      <w:ins w:id="89" w:author="Author">
        <w:r w:rsidRPr="00D059AC">
          <w:rPr>
            <w:b/>
            <w:bCs/>
          </w:rPr>
          <w:t>C.6.a.(5)</w:t>
        </w:r>
      </w:ins>
      <w:r w:rsidRPr="00D059AC">
        <w:rPr>
          <w:b/>
          <w:bCs/>
        </w:rPr>
        <w:t>(f)</w:t>
      </w:r>
      <w:r w:rsidRPr="00D059AC">
        <w:rPr>
          <w:bCs/>
        </w:rPr>
        <w:t xml:space="preserve"> </w:t>
      </w:r>
      <w:r w:rsidRPr="00D059AC">
        <w:t>from the factor for the lower sub-limit percentage. Round the factor to three decimal places. The result is the sub-limit factor for a sub-limit percentage of 32%.</w:t>
      </w:r>
    </w:p>
    <w:p w14:paraId="66603F6E" w14:textId="77777777" w:rsidR="007C1AB9" w:rsidRPr="00D059AC" w:rsidRDefault="007C1AB9" w:rsidP="000C04ED">
      <w:pPr>
        <w:pStyle w:val="blocktext7"/>
      </w:pPr>
      <w:r w:rsidRPr="00D059AC">
        <w:t>1.93 – 0.064 = 1.866 (rounded to 1.866)</w:t>
      </w:r>
    </w:p>
    <w:p w14:paraId="156E3F49" w14:textId="77777777" w:rsidR="007C1AB9" w:rsidRPr="00D059AC" w:rsidRDefault="007C1AB9" w:rsidP="000C04ED">
      <w:pPr>
        <w:pStyle w:val="outlinetxt5"/>
      </w:pPr>
      <w:r w:rsidRPr="00D059AC">
        <w:tab/>
      </w:r>
      <w:r w:rsidRPr="00D059AC">
        <w:rPr>
          <w:b/>
        </w:rPr>
        <w:t>(6)</w:t>
      </w:r>
      <w:r w:rsidRPr="00D059AC">
        <w:tab/>
        <w:t xml:space="preserve">If coverage is written under Endorsement </w:t>
      </w:r>
      <w:r w:rsidRPr="00D059AC">
        <w:rPr>
          <w:rStyle w:val="formlink"/>
        </w:rPr>
        <w:t>CP 10 29</w:t>
      </w:r>
      <w:r w:rsidRPr="00D059AC">
        <w:rPr>
          <w:b/>
        </w:rPr>
        <w:t>,</w:t>
      </w:r>
      <w:r w:rsidRPr="00D059AC">
        <w:t xml:space="preserve"> refer to the tables for Rule </w:t>
      </w:r>
      <w:r w:rsidRPr="00D059AC">
        <w:rPr>
          <w:b/>
        </w:rPr>
        <w:t>75.</w:t>
      </w:r>
      <w:r w:rsidRPr="00D059AC">
        <w:t xml:space="preserve"> in the section of this manual titled Earthquake Flat Deductible Rating. The applicable table is determined by deductible tier and the amount of the flat-dollar deductible. The appropriate factor is determined based on building class, insurance-to-value level (sub-limit)</w:t>
      </w:r>
      <w:del w:id="90" w:author="Author">
        <w:r w:rsidRPr="00D059AC" w:rsidDel="009B4B52">
          <w:delText>,</w:delText>
        </w:r>
      </w:del>
      <w:r w:rsidRPr="00D059AC">
        <w:t xml:space="preserve"> and total property value.</w:t>
      </w:r>
    </w:p>
    <w:p w14:paraId="417E86EC" w14:textId="77777777" w:rsidR="007C1AB9" w:rsidRPr="00D059AC" w:rsidRDefault="007C1AB9" w:rsidP="000C04ED">
      <w:pPr>
        <w:pStyle w:val="blocktext6"/>
      </w:pPr>
      <w:r w:rsidRPr="00D059AC">
        <w:t xml:space="preserve">For sub-limit percentages not shown on the tables for Rule </w:t>
      </w:r>
      <w:r w:rsidRPr="00D059AC">
        <w:rPr>
          <w:b/>
        </w:rPr>
        <w:t>75.,</w:t>
      </w:r>
      <w:r w:rsidRPr="00D059AC">
        <w:t xml:space="preserve"> interpolate using the procedure in Paragraph </w:t>
      </w:r>
      <w:r w:rsidRPr="00D059AC">
        <w:rPr>
          <w:rFonts w:cs="Arial"/>
          <w:b/>
          <w:bCs/>
          <w:szCs w:val="18"/>
        </w:rPr>
        <w:t>75.C.6.a.(5).</w:t>
      </w:r>
    </w:p>
    <w:p w14:paraId="2E0AD670" w14:textId="77777777" w:rsidR="007C1AB9" w:rsidRPr="00D059AC" w:rsidRDefault="007C1AB9" w:rsidP="000C04ED">
      <w:pPr>
        <w:pStyle w:val="outlinehd4"/>
      </w:pPr>
      <w:r w:rsidRPr="00D059AC">
        <w:tab/>
        <w:t>b.</w:t>
      </w:r>
      <w:r w:rsidRPr="00D059AC">
        <w:tab/>
        <w:t>Rate Determination – Sub-limit Form – Property Damage Coverage</w:t>
      </w:r>
    </w:p>
    <w:p w14:paraId="70D16432" w14:textId="77777777" w:rsidR="007C1AB9" w:rsidRPr="00D059AC" w:rsidRDefault="007C1AB9" w:rsidP="000C04ED">
      <w:pPr>
        <w:pStyle w:val="outlinetxt5"/>
      </w:pPr>
      <w:r w:rsidRPr="00D059AC">
        <w:tab/>
      </w:r>
      <w:r w:rsidRPr="00D059AC">
        <w:rPr>
          <w:b/>
        </w:rPr>
        <w:t>(1)</w:t>
      </w:r>
      <w:r w:rsidRPr="00D059AC">
        <w:tab/>
      </w:r>
      <w:ins w:id="91" w:author="Author">
        <w:r w:rsidRPr="00D059AC">
          <w:t>Select the Earthquake building and/or personal property Earthquake Coverage loss cost.</w:t>
        </w:r>
      </w:ins>
      <w:del w:id="92" w:author="Author">
        <w:r w:rsidRPr="00D059AC" w:rsidDel="0096664C">
          <w:delText xml:space="preserve">To obtain the building and personal property rates for Earthquake And Volcanic Eruption Sub-limit Coverage, multiply the Earthquake rate (building, personal property) by the appropriate deductible/sub-limit factor in accordance with the information in Paragraphs </w:delText>
        </w:r>
        <w:r w:rsidRPr="00D059AC" w:rsidDel="0096664C">
          <w:rPr>
            <w:b/>
          </w:rPr>
          <w:delText>C.6.a.(5)</w:delText>
        </w:r>
        <w:r w:rsidRPr="00D059AC" w:rsidDel="0096664C">
          <w:delText xml:space="preserve"> and </w:delText>
        </w:r>
        <w:r w:rsidRPr="00D059AC" w:rsidDel="0096664C">
          <w:rPr>
            <w:b/>
          </w:rPr>
          <w:delText>C.6.a.(6).</w:delText>
        </w:r>
        <w:r w:rsidRPr="00D059AC" w:rsidDel="0096664C">
          <w:delText xml:space="preserve"> The sub-limit percentage is the insurance-to-value ratio underlying the limit of insurance on the property.</w:delText>
        </w:r>
      </w:del>
    </w:p>
    <w:p w14:paraId="2BFDC661" w14:textId="77777777" w:rsidR="007C1AB9" w:rsidRPr="00D059AC" w:rsidRDefault="007C1AB9" w:rsidP="000C04ED">
      <w:pPr>
        <w:pStyle w:val="outlinetxt5"/>
      </w:pPr>
      <w:r w:rsidRPr="00D059AC">
        <w:tab/>
      </w:r>
      <w:r w:rsidRPr="00D059AC">
        <w:rPr>
          <w:b/>
        </w:rPr>
        <w:t>(2)</w:t>
      </w:r>
      <w:r w:rsidRPr="00D059AC">
        <w:tab/>
        <w:t xml:space="preserve">If the building is over three stories in height, multiply the result of Paragraph </w:t>
      </w:r>
      <w:r w:rsidRPr="00D059AC">
        <w:rPr>
          <w:b/>
          <w:bCs/>
        </w:rPr>
        <w:t>C.6.b.</w:t>
      </w:r>
      <w:r w:rsidRPr="00D059AC">
        <w:rPr>
          <w:b/>
        </w:rPr>
        <w:t>(1)</w:t>
      </w:r>
      <w:r w:rsidRPr="00D059AC">
        <w:t xml:space="preserve"> (building and/or personal property rates) by the appropriate factor from Table </w:t>
      </w:r>
      <w:r w:rsidRPr="00D059AC">
        <w:rPr>
          <w:b/>
        </w:rPr>
        <w:t>73.D.8.</w:t>
      </w:r>
      <w:r w:rsidRPr="00D059AC">
        <w:t xml:space="preserve"> in the state exceptions. The appropriate factor is determined based on building classification and territory group.</w:t>
      </w:r>
    </w:p>
    <w:p w14:paraId="41B04696" w14:textId="77777777" w:rsidR="007C1AB9" w:rsidRPr="00D059AC" w:rsidRDefault="007C1AB9" w:rsidP="000C04ED">
      <w:pPr>
        <w:pStyle w:val="outlinetxt5"/>
      </w:pPr>
      <w:r w:rsidRPr="00D059AC">
        <w:tab/>
      </w:r>
      <w:r w:rsidRPr="00D059AC">
        <w:rPr>
          <w:b/>
        </w:rPr>
        <w:t>(3)</w:t>
      </w:r>
      <w:r w:rsidRPr="00D059AC">
        <w:tab/>
        <w:t xml:space="preserve">If the building is sprinklered (meaning, there is an operable sprinkler system in any part of the building), multiply the result of Paragraph </w:t>
      </w:r>
      <w:bookmarkStart w:id="93" w:name="_Hlk130994877"/>
      <w:ins w:id="94" w:author="Author">
        <w:r w:rsidRPr="007C1AB9">
          <w:rPr>
            <w:b/>
            <w:bCs/>
            <w:rPrChange w:id="95" w:author="Author">
              <w:rPr/>
            </w:rPrChange>
          </w:rPr>
          <w:t>C.6.b.</w:t>
        </w:r>
      </w:ins>
      <w:bookmarkEnd w:id="93"/>
      <w:r w:rsidRPr="00D059AC">
        <w:rPr>
          <w:b/>
          <w:bCs/>
        </w:rPr>
        <w:t>(</w:t>
      </w:r>
      <w:r w:rsidRPr="00D059AC">
        <w:rPr>
          <w:b/>
        </w:rPr>
        <w:t>1)</w:t>
      </w:r>
      <w:r w:rsidRPr="00D059AC">
        <w:rPr>
          <w:bCs/>
        </w:rPr>
        <w:t xml:space="preserve"> or </w:t>
      </w:r>
      <w:ins w:id="96" w:author="Author">
        <w:r w:rsidRPr="00D059AC">
          <w:rPr>
            <w:bCs/>
          </w:rPr>
          <w:t xml:space="preserve">Paragraph </w:t>
        </w:r>
        <w:r w:rsidRPr="00D059AC">
          <w:rPr>
            <w:b/>
            <w:bCs/>
          </w:rPr>
          <w:t>C.6.b.</w:t>
        </w:r>
      </w:ins>
      <w:r w:rsidRPr="00D059AC">
        <w:rPr>
          <w:b/>
        </w:rPr>
        <w:t>(2)</w:t>
      </w:r>
      <w:r w:rsidRPr="00D059AC">
        <w:t xml:space="preserve"> </w:t>
      </w:r>
      <w:ins w:id="97" w:author="Author">
        <w:r w:rsidRPr="00D059AC">
          <w:t xml:space="preserve">as applicable, </w:t>
        </w:r>
      </w:ins>
      <w:r w:rsidRPr="00D059AC">
        <w:t>by a factor of 1.06.</w:t>
      </w:r>
    </w:p>
    <w:p w14:paraId="2290D00C" w14:textId="77777777" w:rsidR="007C1AB9" w:rsidRPr="00D059AC" w:rsidRDefault="007C1AB9" w:rsidP="000C04ED">
      <w:pPr>
        <w:pStyle w:val="outlinetxt5"/>
        <w:rPr>
          <w:ins w:id="98" w:author="Author"/>
          <w:b/>
        </w:rPr>
      </w:pPr>
      <w:r w:rsidRPr="00D059AC">
        <w:tab/>
      </w:r>
      <w:r w:rsidRPr="00D059AC">
        <w:rPr>
          <w:b/>
        </w:rPr>
        <w:t>(4)</w:t>
      </w:r>
      <w:r w:rsidRPr="00D059AC">
        <w:tab/>
        <w:t xml:space="preserve">If the Masonry Veneer Limitation of Endorsement </w:t>
      </w:r>
      <w:r w:rsidRPr="00D059AC">
        <w:rPr>
          <w:rStyle w:val="formlink"/>
        </w:rPr>
        <w:t>CP 10 45</w:t>
      </w:r>
      <w:r w:rsidRPr="00D059AC">
        <w:t xml:space="preserve"> or </w:t>
      </w:r>
      <w:r w:rsidRPr="00D059AC">
        <w:rPr>
          <w:rStyle w:val="formlink"/>
        </w:rPr>
        <w:t>CP 10 29</w:t>
      </w:r>
      <w:r w:rsidRPr="00D059AC">
        <w:t xml:space="preserve"> is deleted, multiply the </w:t>
      </w:r>
      <w:r w:rsidRPr="00D059AC">
        <w:rPr>
          <w:b/>
        </w:rPr>
        <w:t>building</w:t>
      </w:r>
      <w:r w:rsidRPr="00D059AC">
        <w:t xml:space="preserve"> rate resulting from Paragraph </w:t>
      </w:r>
      <w:ins w:id="99" w:author="Author">
        <w:r w:rsidRPr="00D059AC">
          <w:rPr>
            <w:b/>
            <w:bCs/>
          </w:rPr>
          <w:t>C.6.b.</w:t>
        </w:r>
      </w:ins>
      <w:r w:rsidRPr="00D059AC">
        <w:rPr>
          <w:b/>
        </w:rPr>
        <w:t>(1),</w:t>
      </w:r>
      <w:r w:rsidRPr="00D059AC">
        <w:t xml:space="preserve"> </w:t>
      </w:r>
      <w:ins w:id="100" w:author="Author">
        <w:r w:rsidRPr="00D059AC">
          <w:t xml:space="preserve">or Paragraph </w:t>
        </w:r>
        <w:r w:rsidRPr="00D059AC">
          <w:rPr>
            <w:b/>
            <w:bCs/>
          </w:rPr>
          <w:t>C.6.b.</w:t>
        </w:r>
      </w:ins>
      <w:r w:rsidRPr="00D059AC">
        <w:rPr>
          <w:b/>
        </w:rPr>
        <w:t>(2)</w:t>
      </w:r>
      <w:r w:rsidRPr="00D059AC">
        <w:t xml:space="preserve"> or </w:t>
      </w:r>
      <w:ins w:id="101" w:author="Author">
        <w:r w:rsidRPr="00D059AC">
          <w:rPr>
            <w:b/>
            <w:bCs/>
          </w:rPr>
          <w:t>C.6.b.</w:t>
        </w:r>
      </w:ins>
      <w:r w:rsidRPr="00D059AC">
        <w:rPr>
          <w:b/>
        </w:rPr>
        <w:t>(3)</w:t>
      </w:r>
      <w:r w:rsidRPr="00D059AC">
        <w:t xml:space="preserve"> </w:t>
      </w:r>
      <w:ins w:id="102" w:author="Author">
        <w:r w:rsidRPr="00D059AC">
          <w:t xml:space="preserve">as applicable, </w:t>
        </w:r>
      </w:ins>
      <w:r w:rsidRPr="00D059AC">
        <w:t xml:space="preserve">by the appropriate factor from Table </w:t>
      </w:r>
      <w:r w:rsidRPr="00D059AC">
        <w:rPr>
          <w:b/>
        </w:rPr>
        <w:t>73.D.4.d.</w:t>
      </w:r>
    </w:p>
    <w:p w14:paraId="288A10E3" w14:textId="77777777" w:rsidR="007C1AB9" w:rsidRPr="00D059AC" w:rsidRDefault="007C1AB9" w:rsidP="000C04ED">
      <w:pPr>
        <w:pStyle w:val="outlinetxt5"/>
        <w:rPr>
          <w:ins w:id="103" w:author="Author"/>
        </w:rPr>
      </w:pPr>
      <w:r w:rsidRPr="00D059AC">
        <w:tab/>
      </w:r>
      <w:ins w:id="104" w:author="Author">
        <w:r w:rsidRPr="007C1AB9">
          <w:rPr>
            <w:b/>
            <w:bCs/>
            <w:rPrChange w:id="105" w:author="Author">
              <w:rPr/>
            </w:rPrChange>
          </w:rPr>
          <w:t>(5)</w:t>
        </w:r>
        <w:r w:rsidRPr="00D059AC">
          <w:tab/>
          <w:t xml:space="preserve">If the building has a soft story, multiply the result from Paragraph </w:t>
        </w:r>
        <w:r w:rsidRPr="00D059AC">
          <w:rPr>
            <w:b/>
            <w:bCs/>
          </w:rPr>
          <w:t>C.6.b.(1)</w:t>
        </w:r>
        <w:r w:rsidRPr="007C1AB9">
          <w:rPr>
            <w:b/>
            <w:bCs/>
            <w:rPrChange w:id="106" w:author="Author">
              <w:rPr/>
            </w:rPrChange>
          </w:rPr>
          <w:t>,</w:t>
        </w:r>
        <w:r w:rsidRPr="00D059AC">
          <w:t xml:space="preserve"> or </w:t>
        </w:r>
        <w:r w:rsidRPr="007C1AB9">
          <w:rPr>
            <w:rPrChange w:id="107" w:author="Author">
              <w:rPr>
                <w:b/>
                <w:bCs/>
              </w:rPr>
            </w:rPrChange>
          </w:rPr>
          <w:t xml:space="preserve">Paragraph </w:t>
        </w:r>
        <w:r w:rsidRPr="00D059AC">
          <w:rPr>
            <w:b/>
            <w:bCs/>
          </w:rPr>
          <w:t>C.6.b.</w:t>
        </w:r>
        <w:r w:rsidRPr="007C1AB9">
          <w:rPr>
            <w:b/>
            <w:bCs/>
            <w:rPrChange w:id="108" w:author="Author">
              <w:rPr/>
            </w:rPrChange>
          </w:rPr>
          <w:t xml:space="preserve">(2), </w:t>
        </w:r>
        <w:r w:rsidRPr="00D059AC">
          <w:rPr>
            <w:b/>
            <w:bCs/>
          </w:rPr>
          <w:t>C.6.b.</w:t>
        </w:r>
        <w:r w:rsidRPr="007C1AB9">
          <w:rPr>
            <w:b/>
            <w:bCs/>
            <w:rPrChange w:id="109" w:author="Author">
              <w:rPr/>
            </w:rPrChange>
          </w:rPr>
          <w:t>(3)</w:t>
        </w:r>
        <w:r w:rsidRPr="00D059AC">
          <w:t xml:space="preserve"> or </w:t>
        </w:r>
        <w:r w:rsidRPr="00D059AC">
          <w:rPr>
            <w:b/>
            <w:bCs/>
          </w:rPr>
          <w:t>C.6.b.</w:t>
        </w:r>
        <w:r w:rsidRPr="007C1AB9">
          <w:rPr>
            <w:b/>
            <w:bCs/>
            <w:rPrChange w:id="110" w:author="Author">
              <w:rPr/>
            </w:rPrChange>
          </w:rPr>
          <w:t>(4)</w:t>
        </w:r>
        <w:r w:rsidRPr="00D059AC">
          <w:t xml:space="preserve"> as applicable, by the appropriate factor from Table </w:t>
        </w:r>
        <w:r w:rsidRPr="007C1AB9">
          <w:rPr>
            <w:b/>
            <w:bCs/>
            <w:rPrChange w:id="111" w:author="Author">
              <w:rPr/>
            </w:rPrChange>
          </w:rPr>
          <w:t>73.E.1.a.(2).</w:t>
        </w:r>
        <w:r w:rsidRPr="00D059AC">
          <w:t xml:space="preserve"> </w:t>
        </w:r>
      </w:ins>
    </w:p>
    <w:p w14:paraId="53B6949A" w14:textId="77777777" w:rsidR="007C1AB9" w:rsidRPr="00D059AC" w:rsidRDefault="007C1AB9" w:rsidP="000C04ED">
      <w:pPr>
        <w:pStyle w:val="outlinetxt5"/>
      </w:pPr>
      <w:ins w:id="112" w:author="Author">
        <w:r w:rsidRPr="00D059AC">
          <w:tab/>
        </w:r>
        <w:r w:rsidRPr="007C1AB9">
          <w:rPr>
            <w:b/>
            <w:bCs/>
            <w:rPrChange w:id="113" w:author="Author">
              <w:rPr/>
            </w:rPrChange>
          </w:rPr>
          <w:t>(6)</w:t>
        </w:r>
        <w:r w:rsidRPr="00D059AC">
          <w:tab/>
          <w:t xml:space="preserve">To obtain the building and personal property rates for Earthquake And Volcanic Eruption Sub-limit Coverage, multiply the result from Paragraph </w:t>
        </w:r>
        <w:r w:rsidRPr="00D059AC">
          <w:rPr>
            <w:b/>
            <w:bCs/>
          </w:rPr>
          <w:t>C.6.b.(1),</w:t>
        </w:r>
        <w:r w:rsidRPr="007C1AB9">
          <w:rPr>
            <w:rPrChange w:id="114" w:author="Author">
              <w:rPr>
                <w:b/>
                <w:bCs/>
              </w:rPr>
            </w:rPrChange>
          </w:rPr>
          <w:t xml:space="preserve"> </w:t>
        </w:r>
        <w:r w:rsidRPr="00D059AC">
          <w:t>or</w:t>
        </w:r>
        <w:r w:rsidRPr="007C1AB9">
          <w:rPr>
            <w:rPrChange w:id="115" w:author="Author">
              <w:rPr>
                <w:b/>
                <w:bCs/>
              </w:rPr>
            </w:rPrChange>
          </w:rPr>
          <w:t xml:space="preserve"> Paragraphs </w:t>
        </w:r>
        <w:r w:rsidRPr="00D059AC">
          <w:rPr>
            <w:b/>
            <w:bCs/>
          </w:rPr>
          <w:t>C.6.b.(2), C.6.b.(3)</w:t>
        </w:r>
        <w:r w:rsidRPr="007C1AB9">
          <w:rPr>
            <w:b/>
            <w:bCs/>
            <w:rPrChange w:id="116" w:author="Author">
              <w:rPr/>
            </w:rPrChange>
          </w:rPr>
          <w:t>,</w:t>
        </w:r>
        <w:r w:rsidRPr="00D059AC">
          <w:t xml:space="preserve"> </w:t>
        </w:r>
        <w:r w:rsidRPr="00D059AC">
          <w:rPr>
            <w:b/>
            <w:bCs/>
          </w:rPr>
          <w:t>C.6.b.(4)</w:t>
        </w:r>
        <w:r w:rsidRPr="007C1AB9">
          <w:rPr>
            <w:rPrChange w:id="117" w:author="Author">
              <w:rPr>
                <w:b/>
                <w:bCs/>
              </w:rPr>
            </w:rPrChange>
          </w:rPr>
          <w:t xml:space="preserve"> </w:t>
        </w:r>
        <w:r w:rsidRPr="00D059AC">
          <w:t>or</w:t>
        </w:r>
        <w:r w:rsidRPr="007C1AB9">
          <w:rPr>
            <w:rPrChange w:id="118" w:author="Author">
              <w:rPr>
                <w:b/>
                <w:bCs/>
              </w:rPr>
            </w:rPrChange>
          </w:rPr>
          <w:t xml:space="preserve"> </w:t>
        </w:r>
        <w:r w:rsidRPr="00D059AC">
          <w:rPr>
            <w:b/>
            <w:bCs/>
          </w:rPr>
          <w:t>C.6.b.(5)</w:t>
        </w:r>
        <w:r w:rsidRPr="00D059AC">
          <w:t xml:space="preserve"> as applicable, by the appropriate deductible/sub-limit factor in accordance with the information in Paragraphs </w:t>
        </w:r>
        <w:r w:rsidRPr="00D059AC">
          <w:rPr>
            <w:b/>
          </w:rPr>
          <w:t>C.6.a.(5)</w:t>
        </w:r>
        <w:r w:rsidRPr="00D059AC">
          <w:t xml:space="preserve"> and </w:t>
        </w:r>
        <w:r w:rsidRPr="00D059AC">
          <w:rPr>
            <w:b/>
          </w:rPr>
          <w:t>C.6.a.(6).</w:t>
        </w:r>
        <w:r w:rsidRPr="00D059AC">
          <w:t xml:space="preserve"> The sub-limit percentage is the insurance-to-value ratio underlying the limit of insurance on the property.</w:t>
        </w:r>
      </w:ins>
    </w:p>
    <w:p w14:paraId="1E6FC45E" w14:textId="77777777" w:rsidR="007C1AB9" w:rsidRPr="00D059AC" w:rsidRDefault="007C1AB9" w:rsidP="000C04ED">
      <w:pPr>
        <w:pStyle w:val="outlinehd4"/>
      </w:pPr>
      <w:r w:rsidRPr="00D059AC">
        <w:tab/>
        <w:t>c.</w:t>
      </w:r>
      <w:r w:rsidRPr="00D059AC">
        <w:tab/>
        <w:t>Rate Determination – Sub-limit Form – Time Element Coverage</w:t>
      </w:r>
    </w:p>
    <w:p w14:paraId="40CD1D9E" w14:textId="77777777" w:rsidR="007C1AB9" w:rsidRPr="00D059AC" w:rsidRDefault="007C1AB9" w:rsidP="000C04ED">
      <w:pPr>
        <w:pStyle w:val="outlinetxt5"/>
      </w:pPr>
      <w:r w:rsidRPr="00D059AC">
        <w:tab/>
      </w:r>
      <w:r w:rsidRPr="00D059AC">
        <w:rPr>
          <w:b/>
        </w:rPr>
        <w:t>(1)</w:t>
      </w:r>
      <w:r w:rsidRPr="00D059AC">
        <w:tab/>
        <w:t xml:space="preserve">Select the Earthquake </w:t>
      </w:r>
      <w:r w:rsidRPr="00D059AC">
        <w:rPr>
          <w:b/>
        </w:rPr>
        <w:t>building</w:t>
      </w:r>
      <w:r w:rsidRPr="00D059AC">
        <w:t xml:space="preserve"> loss cost.</w:t>
      </w:r>
    </w:p>
    <w:p w14:paraId="17F61D94" w14:textId="77777777" w:rsidR="007C1AB9" w:rsidRPr="00D059AC" w:rsidRDefault="007C1AB9" w:rsidP="000C04ED">
      <w:pPr>
        <w:pStyle w:val="outlinetxt5"/>
      </w:pPr>
      <w:r w:rsidRPr="00D059AC">
        <w:tab/>
      </w:r>
      <w:r w:rsidRPr="00D059AC">
        <w:rPr>
          <w:b/>
        </w:rPr>
        <w:t>(2)</w:t>
      </w:r>
      <w:r w:rsidRPr="00D059AC">
        <w:tab/>
        <w:t xml:space="preserve">Multiply the Earthquake building rate by the appropriate time element factor as specified in Rules </w:t>
      </w:r>
      <w:r w:rsidRPr="00D059AC">
        <w:rPr>
          <w:b/>
        </w:rPr>
        <w:t>50.</w:t>
      </w:r>
      <w:r w:rsidRPr="00D059AC">
        <w:t xml:space="preserve"> and </w:t>
      </w:r>
      <w:r w:rsidRPr="00D059AC">
        <w:rPr>
          <w:b/>
        </w:rPr>
        <w:t>52.</w:t>
      </w:r>
    </w:p>
    <w:p w14:paraId="57D96ED0" w14:textId="77777777" w:rsidR="007C1AB9" w:rsidRPr="00D059AC" w:rsidRDefault="007C1AB9" w:rsidP="000C04ED">
      <w:pPr>
        <w:pStyle w:val="blocktext6"/>
      </w:pPr>
      <w:r w:rsidRPr="00D059AC">
        <w:t xml:space="preserve">Under Rule </w:t>
      </w:r>
      <w:r w:rsidRPr="00D059AC">
        <w:rPr>
          <w:b/>
        </w:rPr>
        <w:t>50.,</w:t>
      </w:r>
      <w:r w:rsidRPr="00D059AC">
        <w:t xml:space="preserve"> select the time element factor for the coinsurance level that corresponds to the ratio of the Earthquake sub-limit to the estimated amount of annual business income. If this ratio is less than 50%, select the time element factor for no coinsurance. </w:t>
      </w:r>
    </w:p>
    <w:p w14:paraId="4B7CF64E" w14:textId="77777777" w:rsidR="007C1AB9" w:rsidRPr="00D059AC" w:rsidRDefault="007C1AB9" w:rsidP="000C04ED">
      <w:pPr>
        <w:pStyle w:val="outlinetxt5"/>
      </w:pPr>
      <w:r w:rsidRPr="00D059AC">
        <w:rPr>
          <w:b/>
        </w:rPr>
        <w:tab/>
        <w:t>(3)</w:t>
      </w:r>
      <w:r w:rsidRPr="00D059AC">
        <w:tab/>
        <w:t xml:space="preserve">To obtain the time element rate for Earthquake And Volcanic Eruption Sub-limit Coverage, multiply the result of Paragraph </w:t>
      </w:r>
      <w:ins w:id="119" w:author="Author">
        <w:r w:rsidRPr="007C1AB9">
          <w:rPr>
            <w:b/>
            <w:bCs/>
            <w:rPrChange w:id="120" w:author="Author">
              <w:rPr/>
            </w:rPrChange>
          </w:rPr>
          <w:t>C.6.c.</w:t>
        </w:r>
      </w:ins>
      <w:r w:rsidRPr="00D059AC">
        <w:rPr>
          <w:b/>
          <w:bCs/>
        </w:rPr>
        <w:t>(</w:t>
      </w:r>
      <w:r w:rsidRPr="00D059AC">
        <w:rPr>
          <w:b/>
        </w:rPr>
        <w:t>2)</w:t>
      </w:r>
      <w:r w:rsidRPr="00D059AC">
        <w:t xml:space="preserve"> by .999. The .999 factor accounts for the reduction in protection inherent in the use of an annual aggregate limit.</w:t>
      </w:r>
    </w:p>
    <w:p w14:paraId="1401F8E3" w14:textId="77777777" w:rsidR="007C1AB9" w:rsidRPr="00D059AC" w:rsidRDefault="007C1AB9" w:rsidP="000C04ED">
      <w:pPr>
        <w:pStyle w:val="outlinehd4"/>
      </w:pPr>
      <w:r w:rsidRPr="00D059AC">
        <w:tab/>
        <w:t>d.</w:t>
      </w:r>
      <w:r w:rsidRPr="00D059AC">
        <w:tab/>
        <w:t>Rate Determination – Sub-limit Form – Blanket Coverage For Property Damage And Time Element</w:t>
      </w:r>
    </w:p>
    <w:p w14:paraId="2AB5DB2E" w14:textId="77777777" w:rsidR="007C1AB9" w:rsidRPr="00D059AC" w:rsidRDefault="007C1AB9" w:rsidP="000C04ED">
      <w:pPr>
        <w:pStyle w:val="outlinetxt5"/>
      </w:pPr>
      <w:r w:rsidRPr="00D059AC">
        <w:tab/>
      </w:r>
      <w:r w:rsidRPr="00D059AC">
        <w:rPr>
          <w:b/>
        </w:rPr>
        <w:t>(1)</w:t>
      </w:r>
      <w:r w:rsidRPr="00D059AC">
        <w:tab/>
        <w:t xml:space="preserve">Determine the 100% values for both property damage and time element coverages. To obtain the 100% values for property damage coverage, use Statement Of Values Endorsement </w:t>
      </w:r>
      <w:r w:rsidRPr="00D059AC">
        <w:rPr>
          <w:rStyle w:val="formlink"/>
        </w:rPr>
        <w:t>CP 16 15</w:t>
      </w:r>
      <w:r w:rsidRPr="00D059AC">
        <w:rPr>
          <w:b/>
        </w:rPr>
        <w:t>.</w:t>
      </w:r>
      <w:r w:rsidRPr="00D059AC">
        <w:t xml:space="preserve"> For time element coverage, other than Extra Expense Only, use the annual net income as the 100% value. For Extra Expense Only Coverage, use the Extra Expense limit of insurance for other perils as the 100% value.</w:t>
      </w:r>
    </w:p>
    <w:p w14:paraId="1DA64ED3" w14:textId="77777777" w:rsidR="007C1AB9" w:rsidRPr="00D059AC" w:rsidRDefault="007C1AB9" w:rsidP="000C04ED">
      <w:pPr>
        <w:pStyle w:val="outlinetxt5"/>
      </w:pPr>
      <w:r w:rsidRPr="00D059AC">
        <w:tab/>
      </w:r>
      <w:r w:rsidRPr="00D059AC">
        <w:rPr>
          <w:b/>
        </w:rPr>
        <w:t>(2)</w:t>
      </w:r>
      <w:r w:rsidRPr="00D059AC">
        <w:tab/>
        <w:t>Sum the 100% values for both property damage and time element coverages.</w:t>
      </w:r>
    </w:p>
    <w:p w14:paraId="102AC9B3" w14:textId="77777777" w:rsidR="007C1AB9" w:rsidRPr="00D059AC" w:rsidRDefault="007C1AB9" w:rsidP="000C04ED">
      <w:pPr>
        <w:pStyle w:val="outlinetxt5"/>
      </w:pPr>
      <w:r w:rsidRPr="00D059AC">
        <w:tab/>
      </w:r>
      <w:r w:rsidRPr="00D059AC">
        <w:rPr>
          <w:b/>
        </w:rPr>
        <w:t>(3)</w:t>
      </w:r>
      <w:r w:rsidRPr="00D059AC">
        <w:tab/>
        <w:t xml:space="preserve">Divide the blanket sub-limit by the result of </w:t>
      </w:r>
      <w:ins w:id="121" w:author="Author">
        <w:r w:rsidRPr="00D059AC">
          <w:t xml:space="preserve">Paragraph </w:t>
        </w:r>
        <w:r w:rsidRPr="007C1AB9">
          <w:rPr>
            <w:b/>
            <w:bCs/>
            <w:rPrChange w:id="122" w:author="Author">
              <w:rPr/>
            </w:rPrChange>
          </w:rPr>
          <w:t>C.6.d.</w:t>
        </w:r>
      </w:ins>
      <w:r w:rsidRPr="00D059AC">
        <w:rPr>
          <w:b/>
          <w:bCs/>
        </w:rPr>
        <w:t>(</w:t>
      </w:r>
      <w:r w:rsidRPr="00D059AC">
        <w:rPr>
          <w:b/>
        </w:rPr>
        <w:t>2)</w:t>
      </w:r>
      <w:r w:rsidRPr="00D059AC">
        <w:t xml:space="preserve"> to determine the sub-limit percentage.</w:t>
      </w:r>
    </w:p>
    <w:p w14:paraId="548891B9" w14:textId="77777777" w:rsidR="007C1AB9" w:rsidRPr="00D059AC" w:rsidRDefault="007C1AB9" w:rsidP="000C04ED">
      <w:pPr>
        <w:pStyle w:val="outlinetxt5"/>
      </w:pPr>
      <w:r w:rsidRPr="00D059AC">
        <w:tab/>
      </w:r>
      <w:r w:rsidRPr="00D059AC">
        <w:rPr>
          <w:b/>
        </w:rPr>
        <w:t>(4)</w:t>
      </w:r>
      <w:r w:rsidRPr="00D059AC">
        <w:tab/>
        <w:t xml:space="preserve">For each item written under the blanket sub-limit, use the result from </w:t>
      </w:r>
      <w:ins w:id="123" w:author="Author">
        <w:r w:rsidRPr="00D059AC">
          <w:t xml:space="preserve">Paragraph </w:t>
        </w:r>
        <w:r w:rsidRPr="007C1AB9">
          <w:rPr>
            <w:b/>
            <w:bCs/>
            <w:rPrChange w:id="124" w:author="Author">
              <w:rPr/>
            </w:rPrChange>
          </w:rPr>
          <w:t>C.6.d.</w:t>
        </w:r>
      </w:ins>
      <w:r w:rsidRPr="00D059AC">
        <w:rPr>
          <w:b/>
          <w:bCs/>
        </w:rPr>
        <w:t>(</w:t>
      </w:r>
      <w:r w:rsidRPr="00D059AC">
        <w:rPr>
          <w:b/>
        </w:rPr>
        <w:t>3),</w:t>
      </w:r>
      <w:r w:rsidRPr="00D059AC">
        <w:t xml:space="preserve"> the sub-limit percentage, to determine the sub-limit factor for that item. For property damage coverages, select the appropriate deductible/sub-limit factor in accordance with the information in Paragraphs </w:t>
      </w:r>
      <w:r w:rsidRPr="00D059AC">
        <w:rPr>
          <w:b/>
        </w:rPr>
        <w:t>C.6.a.(5)</w:t>
      </w:r>
      <w:r w:rsidRPr="00D059AC">
        <w:t xml:space="preserve"> and </w:t>
      </w:r>
      <w:r w:rsidRPr="00D059AC">
        <w:rPr>
          <w:b/>
        </w:rPr>
        <w:t>C.6.a.(6).</w:t>
      </w:r>
      <w:r w:rsidRPr="00D059AC">
        <w:t xml:space="preserve"> For time element coverages, select a factor from multistate Table </w:t>
      </w:r>
      <w:r w:rsidRPr="00D059AC">
        <w:rPr>
          <w:b/>
        </w:rPr>
        <w:t>50.E.3.b.#1</w:t>
      </w:r>
      <w:r w:rsidRPr="00D059AC">
        <w:t xml:space="preserve"> or </w:t>
      </w:r>
      <w:del w:id="125" w:author="Author">
        <w:r w:rsidRPr="00D059AC" w:rsidDel="00472E32">
          <w:delText xml:space="preserve">Table </w:delText>
        </w:r>
      </w:del>
      <w:r w:rsidRPr="00D059AC">
        <w:rPr>
          <w:b/>
        </w:rPr>
        <w:t>50.E.3.b.#2.</w:t>
      </w:r>
      <w:r w:rsidRPr="00D059AC">
        <w:t xml:space="preserve"> Apply a factor of 1.0 when coverage is for Extra Expense Only.</w:t>
      </w:r>
    </w:p>
    <w:p w14:paraId="164B3ACE" w14:textId="77777777" w:rsidR="007C1AB9" w:rsidRPr="00D059AC" w:rsidRDefault="007C1AB9" w:rsidP="000C04ED">
      <w:pPr>
        <w:pStyle w:val="outlinetxt5"/>
      </w:pPr>
      <w:r w:rsidRPr="00D059AC">
        <w:rPr>
          <w:b/>
        </w:rPr>
        <w:lastRenderedPageBreak/>
        <w:tab/>
        <w:t>(5)</w:t>
      </w:r>
      <w:r w:rsidRPr="00D059AC">
        <w:rPr>
          <w:b/>
        </w:rPr>
        <w:tab/>
      </w:r>
      <w:r w:rsidRPr="00D059AC">
        <w:t xml:space="preserve">For each </w:t>
      </w:r>
      <w:ins w:id="126" w:author="Author">
        <w:r w:rsidRPr="00D059AC">
          <w:t xml:space="preserve">property damage </w:t>
        </w:r>
      </w:ins>
      <w:r w:rsidRPr="00D059AC">
        <w:t>item written under the blanket sub-limit,</w:t>
      </w:r>
      <w:ins w:id="127" w:author="Author">
        <w:r w:rsidRPr="00D059AC">
          <w:t xml:space="preserve"> use the result from Paragraph</w:t>
        </w:r>
        <w:r w:rsidRPr="007C1AB9">
          <w:rPr>
            <w:rPrChange w:id="128" w:author="Author">
              <w:rPr>
                <w:b/>
                <w:bCs/>
              </w:rPr>
            </w:rPrChange>
          </w:rPr>
          <w:t xml:space="preserve"> </w:t>
        </w:r>
        <w:r w:rsidRPr="007C1AB9">
          <w:rPr>
            <w:b/>
            <w:bCs/>
            <w:rPrChange w:id="129" w:author="Author">
              <w:rPr/>
            </w:rPrChange>
          </w:rPr>
          <w:t>C.6.b.(1)</w:t>
        </w:r>
        <w:r w:rsidRPr="00D059AC">
          <w:t xml:space="preserve"> to Paragraph </w:t>
        </w:r>
        <w:r w:rsidRPr="00D059AC">
          <w:rPr>
            <w:b/>
            <w:bCs/>
          </w:rPr>
          <w:t>C.6.b.(5),</w:t>
        </w:r>
        <w:r w:rsidRPr="007C1AB9">
          <w:rPr>
            <w:rPrChange w:id="130" w:author="Author">
              <w:rPr>
                <w:b/>
                <w:bCs/>
              </w:rPr>
            </w:rPrChange>
          </w:rPr>
          <w:t xml:space="preserve"> </w:t>
        </w:r>
        <w:r w:rsidRPr="00D059AC">
          <w:t>as</w:t>
        </w:r>
        <w:r w:rsidRPr="007C1AB9">
          <w:rPr>
            <w:rPrChange w:id="131" w:author="Author">
              <w:rPr>
                <w:b/>
                <w:bCs/>
              </w:rPr>
            </w:rPrChange>
          </w:rPr>
          <w:t xml:space="preserve"> applicable.</w:t>
        </w:r>
      </w:ins>
      <w:r w:rsidRPr="00D059AC">
        <w:t xml:space="preserve"> </w:t>
      </w:r>
      <w:del w:id="132" w:author="Author">
        <w:r w:rsidRPr="00D059AC" w:rsidDel="0096664C">
          <w:delText xml:space="preserve">select an earthquake loss cost from Rule </w:delText>
        </w:r>
        <w:r w:rsidRPr="00D059AC" w:rsidDel="0096664C">
          <w:rPr>
            <w:b/>
          </w:rPr>
          <w:delText>73.</w:delText>
        </w:r>
        <w:r w:rsidRPr="00D059AC" w:rsidDel="0096664C">
          <w:rPr>
            <w:color w:val="000000"/>
          </w:rPr>
          <w:delText xml:space="preserve"> in </w:delText>
        </w:r>
        <w:r w:rsidRPr="00D059AC" w:rsidDel="0096664C">
          <w:delText xml:space="preserve">the state rates based on building classification and territory. </w:delText>
        </w:r>
        <w:r w:rsidRPr="00D059AC" w:rsidDel="00A74D3C">
          <w:delText>(</w:delText>
        </w:r>
      </w:del>
      <w:r w:rsidRPr="00D059AC">
        <w:t xml:space="preserve">For time element items, </w:t>
      </w:r>
      <w:ins w:id="133" w:author="Author">
        <w:r w:rsidRPr="00D059AC">
          <w:t xml:space="preserve">use the result from Paragraph </w:t>
        </w:r>
        <w:r w:rsidRPr="007C1AB9">
          <w:rPr>
            <w:b/>
            <w:bCs/>
            <w:rPrChange w:id="134" w:author="Author">
              <w:rPr/>
            </w:rPrChange>
          </w:rPr>
          <w:t>C.6.c.(2).</w:t>
        </w:r>
      </w:ins>
      <w:del w:id="135" w:author="Author">
        <w:r w:rsidRPr="00D059AC" w:rsidDel="0096664C">
          <w:delText xml:space="preserve">select the earthquake </w:delText>
        </w:r>
        <w:r w:rsidRPr="00D059AC" w:rsidDel="0096664C">
          <w:rPr>
            <w:b/>
          </w:rPr>
          <w:delText>building</w:delText>
        </w:r>
        <w:r w:rsidRPr="00D059AC" w:rsidDel="0096664C">
          <w:delText xml:space="preserve"> loss cost.</w:delText>
        </w:r>
        <w:r w:rsidRPr="00D059AC" w:rsidDel="00A74D3C">
          <w:delText>)</w:delText>
        </w:r>
      </w:del>
    </w:p>
    <w:p w14:paraId="5F1BA715" w14:textId="77777777" w:rsidR="007C1AB9" w:rsidRPr="00D059AC" w:rsidRDefault="007C1AB9" w:rsidP="000C04ED">
      <w:pPr>
        <w:pStyle w:val="outlinetxt5"/>
      </w:pPr>
      <w:r w:rsidRPr="00D059AC">
        <w:rPr>
          <w:b/>
        </w:rPr>
        <w:tab/>
        <w:t>(6)</w:t>
      </w:r>
      <w:r w:rsidRPr="00D059AC">
        <w:rPr>
          <w:b/>
        </w:rPr>
        <w:tab/>
      </w:r>
      <w:r w:rsidRPr="00D059AC">
        <w:t>For each item written under the blanket sub-limit, calculate the earthquake sub-limit rate by multiplying the earthquake sub-limit factor by the earthquake rate.</w:t>
      </w:r>
    </w:p>
    <w:p w14:paraId="42E5BDF3" w14:textId="77777777" w:rsidR="007C1AB9" w:rsidRPr="00D059AC" w:rsidRDefault="007C1AB9" w:rsidP="000C04ED">
      <w:pPr>
        <w:pStyle w:val="outlinetxt5"/>
      </w:pPr>
      <w:r w:rsidRPr="00D059AC">
        <w:tab/>
      </w:r>
      <w:r w:rsidRPr="00D059AC">
        <w:rPr>
          <w:b/>
        </w:rPr>
        <w:t>(7)</w:t>
      </w:r>
      <w:r w:rsidRPr="00D059AC">
        <w:tab/>
        <w:t xml:space="preserve">For each item written under the blanket sub-limit, multiply the 100% value determined in </w:t>
      </w:r>
      <w:ins w:id="136" w:author="Author">
        <w:r w:rsidRPr="00D059AC">
          <w:t xml:space="preserve">Paragraph </w:t>
        </w:r>
        <w:r w:rsidRPr="007C1AB9">
          <w:rPr>
            <w:b/>
            <w:bCs/>
            <w:rPrChange w:id="137" w:author="Author">
              <w:rPr/>
            </w:rPrChange>
          </w:rPr>
          <w:t>C.6.d.</w:t>
        </w:r>
      </w:ins>
      <w:r w:rsidRPr="00D059AC">
        <w:rPr>
          <w:b/>
          <w:bCs/>
        </w:rPr>
        <w:t>(</w:t>
      </w:r>
      <w:r w:rsidRPr="00D059AC">
        <w:rPr>
          <w:b/>
        </w:rPr>
        <w:t>1)</w:t>
      </w:r>
      <w:r w:rsidRPr="00D059AC">
        <w:t xml:space="preserve"> by the earthquake sub-limit rate determined in </w:t>
      </w:r>
      <w:ins w:id="138" w:author="Author">
        <w:r w:rsidRPr="00D059AC">
          <w:t xml:space="preserve">Paragraph </w:t>
        </w:r>
        <w:r w:rsidRPr="00D059AC">
          <w:rPr>
            <w:b/>
            <w:bCs/>
          </w:rPr>
          <w:t>C.6.d.</w:t>
        </w:r>
      </w:ins>
      <w:r w:rsidRPr="00D059AC">
        <w:rPr>
          <w:b/>
        </w:rPr>
        <w:t>(6).</w:t>
      </w:r>
      <w:r w:rsidRPr="00D059AC">
        <w:t xml:space="preserve"> Total the results of these calculations.</w:t>
      </w:r>
    </w:p>
    <w:p w14:paraId="02B4EDA5" w14:textId="77777777" w:rsidR="007C1AB9" w:rsidRPr="00D059AC" w:rsidRDefault="007C1AB9" w:rsidP="000C04ED">
      <w:pPr>
        <w:pStyle w:val="outlinetxt5"/>
      </w:pPr>
      <w:r w:rsidRPr="00D059AC">
        <w:tab/>
      </w:r>
      <w:r w:rsidRPr="00D059AC">
        <w:rPr>
          <w:b/>
        </w:rPr>
        <w:t>(8)</w:t>
      </w:r>
      <w:r w:rsidRPr="00D059AC">
        <w:rPr>
          <w:b/>
        </w:rPr>
        <w:tab/>
      </w:r>
      <w:r w:rsidRPr="00D059AC">
        <w:t xml:space="preserve">Divide the total determined in </w:t>
      </w:r>
      <w:ins w:id="139" w:author="Author">
        <w:r w:rsidRPr="00D059AC">
          <w:t xml:space="preserve">Paragraph </w:t>
        </w:r>
        <w:r w:rsidRPr="00D059AC">
          <w:rPr>
            <w:b/>
            <w:bCs/>
          </w:rPr>
          <w:t>C.6.d.</w:t>
        </w:r>
      </w:ins>
      <w:r w:rsidRPr="00D059AC">
        <w:rPr>
          <w:b/>
        </w:rPr>
        <w:t>(7)</w:t>
      </w:r>
      <w:r w:rsidRPr="00D059AC">
        <w:t xml:space="preserve"> by the result of </w:t>
      </w:r>
      <w:ins w:id="140" w:author="Author">
        <w:r w:rsidRPr="00D059AC">
          <w:t xml:space="preserve">Paragraph </w:t>
        </w:r>
        <w:r w:rsidRPr="00D059AC">
          <w:rPr>
            <w:b/>
            <w:bCs/>
          </w:rPr>
          <w:t>C.6.d.</w:t>
        </w:r>
      </w:ins>
      <w:r w:rsidRPr="00D059AC">
        <w:rPr>
          <w:b/>
        </w:rPr>
        <w:t>(2)</w:t>
      </w:r>
      <w:r w:rsidRPr="00D059AC">
        <w:t xml:space="preserve"> to determine the earthquake sub-limit blanket average rate.</w:t>
      </w:r>
    </w:p>
    <w:p w14:paraId="720D88AA" w14:textId="77777777" w:rsidR="007C1AB9" w:rsidRPr="00D059AC" w:rsidRDefault="007C1AB9" w:rsidP="000C04ED">
      <w:pPr>
        <w:pStyle w:val="outlinetxt5"/>
      </w:pPr>
      <w:r w:rsidRPr="00D059AC">
        <w:tab/>
      </w:r>
      <w:r w:rsidRPr="00D059AC">
        <w:rPr>
          <w:b/>
        </w:rPr>
        <w:t>(9)</w:t>
      </w:r>
      <w:r w:rsidRPr="00D059AC">
        <w:tab/>
        <w:t xml:space="preserve">Multiply the result of </w:t>
      </w:r>
      <w:ins w:id="141" w:author="Author">
        <w:r w:rsidRPr="00D059AC">
          <w:t xml:space="preserve">Paragraph </w:t>
        </w:r>
        <w:r w:rsidRPr="00D059AC">
          <w:rPr>
            <w:b/>
            <w:bCs/>
          </w:rPr>
          <w:t>C.6.d.</w:t>
        </w:r>
      </w:ins>
      <w:r w:rsidRPr="00D059AC">
        <w:rPr>
          <w:b/>
        </w:rPr>
        <w:t>(8)</w:t>
      </w:r>
      <w:r w:rsidRPr="00D059AC">
        <w:t xml:space="preserve"> by the blanket sub-limit (in hundreds) to develop the blanket sub-limit premium.</w:t>
      </w:r>
    </w:p>
    <w:p w14:paraId="0C40C4AB" w14:textId="77777777" w:rsidR="007C1AB9" w:rsidRPr="00D059AC" w:rsidRDefault="007C1AB9" w:rsidP="000C04ED">
      <w:pPr>
        <w:pStyle w:val="blocktext5"/>
        <w:rPr>
          <w:b/>
        </w:rPr>
      </w:pPr>
      <w:r w:rsidRPr="00D059AC">
        <w:t>For an example, see the Rating Examples Appendix.</w:t>
      </w:r>
    </w:p>
    <w:p w14:paraId="2BC595AF" w14:textId="77777777" w:rsidR="007C1AB9" w:rsidRPr="00D059AC" w:rsidRDefault="007C1AB9" w:rsidP="000C04ED">
      <w:pPr>
        <w:pStyle w:val="outlinehd4"/>
      </w:pPr>
      <w:r w:rsidRPr="00D059AC">
        <w:tab/>
        <w:t>e.</w:t>
      </w:r>
      <w:r w:rsidRPr="00D059AC">
        <w:tab/>
        <w:t>Rating Of Increased Annual Aggregate Limit Option</w:t>
      </w:r>
    </w:p>
    <w:p w14:paraId="17351283" w14:textId="6D017CC5" w:rsidR="007C1AB9" w:rsidRPr="007C1AB9" w:rsidRDefault="007C1AB9" w:rsidP="000C04ED">
      <w:pPr>
        <w:pStyle w:val="blocktext5"/>
      </w:pPr>
      <w:r w:rsidRPr="00D059AC">
        <w:t>Refer to rating procedures implemented by the company in compliance with regulatory requirements.</w:t>
      </w:r>
      <w:bookmarkEnd w:id="57"/>
    </w:p>
    <w:sectPr w:rsidR="007C1AB9" w:rsidRPr="007C1AB9" w:rsidSect="007C1AB9">
      <w:headerReference w:type="even" r:id="rId13"/>
      <w:headerReference w:type="default" r:id="rId14"/>
      <w:footerReference w:type="even" r:id="rId15"/>
      <w:footerReference w:type="default" r:id="rId16"/>
      <w:headerReference w:type="first" r:id="rId17"/>
      <w:footerReference w:type="first" r:id="rId18"/>
      <w:pgSz w:w="12240" w:h="15840"/>
      <w:pgMar w:top="1735" w:right="960" w:bottom="1560" w:left="1200" w:header="575" w:footer="48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720F7" w14:textId="77777777" w:rsidR="007C1AB9" w:rsidRDefault="007C1AB9" w:rsidP="007C1AB9">
      <w:pPr>
        <w:spacing w:before="0" w:line="240" w:lineRule="auto"/>
      </w:pPr>
      <w:r>
        <w:separator/>
      </w:r>
    </w:p>
  </w:endnote>
  <w:endnote w:type="continuationSeparator" w:id="0">
    <w:p w14:paraId="74770917" w14:textId="77777777" w:rsidR="007C1AB9" w:rsidRDefault="007C1AB9" w:rsidP="007C1AB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8A333" w14:textId="7B7186A1" w:rsidR="000C04ED" w:rsidRPr="001B43E6" w:rsidRDefault="000C04ED" w:rsidP="000C04ED">
    <w:pPr>
      <w:pStyle w:val="Footer"/>
      <w:tabs>
        <w:tab w:val="right" w:pos="9360"/>
      </w:tabs>
      <w:rPr>
        <w:rFonts w:cs="Arial"/>
      </w:rPr>
    </w:pPr>
    <w:bookmarkStart w:id="56" w:name="_Hlk93052015"/>
    <w:r w:rsidRPr="001B43E6">
      <w:rPr>
        <w:rFonts w:cs="Arial"/>
        <w:szCs w:val="18"/>
      </w:rPr>
      <w:t>© Insurance Services Office, Inc., 202</w:t>
    </w:r>
    <w:bookmarkEnd w:id="56"/>
    <w:r>
      <w:rPr>
        <w:rFonts w:cs="Arial"/>
        <w:szCs w:val="18"/>
      </w:rPr>
      <w:t>3</w:t>
    </w:r>
    <w:r w:rsidRPr="001B43E6">
      <w:rPr>
        <w:rFonts w:cs="Arial"/>
      </w:rPr>
      <w:t xml:space="preserve"> </w:t>
    </w:r>
    <w:r w:rsidRPr="001B43E6">
      <w:rPr>
        <w:rFonts w:cs="Arial"/>
      </w:rPr>
      <w:tab/>
    </w:r>
    <w:r>
      <w:rPr>
        <w:rFonts w:cs="Arial"/>
        <w:sz w:val="22"/>
        <w:szCs w:val="24"/>
      </w:rPr>
      <w:t>A</w:t>
    </w:r>
    <w:r w:rsidRPr="00431B10">
      <w:rPr>
        <w:rFonts w:cs="Arial"/>
        <w:sz w:val="22"/>
        <w:szCs w:val="24"/>
      </w:rPr>
      <w:t>-</w:t>
    </w:r>
    <w:r w:rsidRPr="00431B10">
      <w:rPr>
        <w:rFonts w:cs="Arial"/>
        <w:sz w:val="22"/>
        <w:szCs w:val="24"/>
      </w:rPr>
      <w:fldChar w:fldCharType="begin"/>
    </w:r>
    <w:r w:rsidRPr="00431B10">
      <w:rPr>
        <w:rFonts w:cs="Arial"/>
        <w:sz w:val="22"/>
        <w:szCs w:val="24"/>
      </w:rPr>
      <w:instrText xml:space="preserve"> PAGE   \* MERGEFORMAT </w:instrText>
    </w:r>
    <w:r w:rsidRPr="00431B10">
      <w:rPr>
        <w:rFonts w:cs="Arial"/>
        <w:sz w:val="22"/>
        <w:szCs w:val="24"/>
      </w:rPr>
      <w:fldChar w:fldCharType="separate"/>
    </w:r>
    <w:r>
      <w:rPr>
        <w:rFonts w:cs="Arial"/>
        <w:sz w:val="22"/>
        <w:szCs w:val="24"/>
      </w:rPr>
      <w:t>1</w:t>
    </w:r>
    <w:r w:rsidRPr="00431B10">
      <w:rPr>
        <w:rFonts w:cs="Arial"/>
        <w:noProof/>
        <w:sz w:val="22"/>
        <w:szCs w:val="24"/>
      </w:rPr>
      <w:fldChar w:fldCharType="end"/>
    </w:r>
  </w:p>
  <w:p w14:paraId="6409C148" w14:textId="77777777" w:rsidR="000C04ED" w:rsidRPr="00431B10" w:rsidRDefault="000C04ED" w:rsidP="000C04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F8180" w14:textId="77777777" w:rsidR="00D059AC" w:rsidRPr="00D059AC" w:rsidRDefault="000C04ED" w:rsidP="00D059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293D" w14:textId="77777777" w:rsidR="000C04ED" w:rsidRPr="001B43E6" w:rsidRDefault="000C04ED" w:rsidP="000C04ED">
    <w:pPr>
      <w:pStyle w:val="Footer"/>
      <w:tabs>
        <w:tab w:val="right" w:pos="9360"/>
      </w:tabs>
      <w:rPr>
        <w:rFonts w:cs="Arial"/>
      </w:rPr>
    </w:pPr>
    <w:r w:rsidRPr="001B43E6">
      <w:rPr>
        <w:rFonts w:cs="Arial"/>
        <w:szCs w:val="18"/>
      </w:rPr>
      <w:t>© Insurance Services Office, Inc., 202</w:t>
    </w:r>
    <w:r>
      <w:rPr>
        <w:rFonts w:cs="Arial"/>
        <w:szCs w:val="18"/>
      </w:rPr>
      <w:t>3</w:t>
    </w:r>
    <w:r w:rsidRPr="001B43E6">
      <w:rPr>
        <w:rFonts w:cs="Arial"/>
      </w:rPr>
      <w:t xml:space="preserve"> </w:t>
    </w:r>
    <w:r w:rsidRPr="001B43E6">
      <w:rPr>
        <w:rFonts w:cs="Arial"/>
      </w:rPr>
      <w:tab/>
    </w:r>
    <w:r>
      <w:rPr>
        <w:rFonts w:cs="Arial"/>
        <w:sz w:val="22"/>
        <w:szCs w:val="24"/>
      </w:rPr>
      <w:t>A</w:t>
    </w:r>
    <w:r w:rsidRPr="00431B10">
      <w:rPr>
        <w:rFonts w:cs="Arial"/>
        <w:sz w:val="22"/>
        <w:szCs w:val="24"/>
      </w:rPr>
      <w:t>-</w:t>
    </w:r>
    <w:r w:rsidRPr="00431B10">
      <w:rPr>
        <w:rFonts w:cs="Arial"/>
        <w:sz w:val="22"/>
        <w:szCs w:val="24"/>
      </w:rPr>
      <w:fldChar w:fldCharType="begin"/>
    </w:r>
    <w:r w:rsidRPr="00431B10">
      <w:rPr>
        <w:rFonts w:cs="Arial"/>
        <w:sz w:val="22"/>
        <w:szCs w:val="24"/>
      </w:rPr>
      <w:instrText xml:space="preserve"> PAGE   \* MERGEFORMAT </w:instrText>
    </w:r>
    <w:r w:rsidRPr="00431B10">
      <w:rPr>
        <w:rFonts w:cs="Arial"/>
        <w:sz w:val="22"/>
        <w:szCs w:val="24"/>
      </w:rPr>
      <w:fldChar w:fldCharType="separate"/>
    </w:r>
    <w:r>
      <w:rPr>
        <w:rFonts w:cs="Arial"/>
        <w:sz w:val="22"/>
        <w:szCs w:val="24"/>
      </w:rPr>
      <w:t>5</w:t>
    </w:r>
    <w:r w:rsidRPr="00431B10">
      <w:rPr>
        <w:rFonts w:cs="Arial"/>
        <w:noProof/>
        <w:sz w:val="22"/>
        <w:szCs w:val="24"/>
      </w:rPr>
      <w:fldChar w:fldCharType="end"/>
    </w:r>
  </w:p>
  <w:p w14:paraId="15C4D969" w14:textId="77777777" w:rsidR="000C04ED" w:rsidRPr="00431B10" w:rsidRDefault="000C04ED" w:rsidP="000C04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362D" w14:textId="77777777" w:rsidR="00D059AC" w:rsidRPr="00D059AC" w:rsidRDefault="000C04ED" w:rsidP="00D059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E4802" w14:textId="77777777" w:rsidR="007C1AB9" w:rsidRDefault="007C1AB9" w:rsidP="007C1AB9">
      <w:pPr>
        <w:spacing w:before="0" w:line="240" w:lineRule="auto"/>
      </w:pPr>
      <w:r>
        <w:separator/>
      </w:r>
    </w:p>
  </w:footnote>
  <w:footnote w:type="continuationSeparator" w:id="0">
    <w:p w14:paraId="6EB1C564" w14:textId="77777777" w:rsidR="007C1AB9" w:rsidRDefault="007C1AB9" w:rsidP="007C1AB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8730"/>
    </w:tblGrid>
    <w:tr w:rsidR="000C04ED" w14:paraId="555A1C76" w14:textId="77777777" w:rsidTr="00CF0AA7">
      <w:tc>
        <w:tcPr>
          <w:tcW w:w="8730" w:type="dxa"/>
        </w:tcPr>
        <w:p w14:paraId="59A62158" w14:textId="77777777" w:rsidR="000C04ED" w:rsidRDefault="000C04ED" w:rsidP="000C04ED">
          <w:pPr>
            <w:pStyle w:val="EMheader"/>
          </w:pPr>
        </w:p>
      </w:tc>
    </w:tr>
    <w:tr w:rsidR="000C04ED" w14:paraId="6D7942CD" w14:textId="77777777" w:rsidTr="00CF0AA7">
      <w:tc>
        <w:tcPr>
          <w:tcW w:w="8730" w:type="dxa"/>
        </w:tcPr>
        <w:p w14:paraId="7D02BF7E" w14:textId="77777777" w:rsidR="000C04ED" w:rsidRDefault="000C04ED" w:rsidP="000C04ED">
          <w:pPr>
            <w:pStyle w:val="EMheader"/>
          </w:pPr>
          <w:r>
            <w:t>COMMERCIAL FIRE AND ALLIED LINES</w:t>
          </w:r>
        </w:p>
      </w:tc>
    </w:tr>
    <w:tr w:rsidR="000C04ED" w14:paraId="2C8A0827" w14:textId="77777777" w:rsidTr="00CF0AA7">
      <w:tc>
        <w:tcPr>
          <w:tcW w:w="8730" w:type="dxa"/>
        </w:tcPr>
        <w:p w14:paraId="6004A064" w14:textId="2219776F" w:rsidR="000C04ED" w:rsidRDefault="000C04ED" w:rsidP="000C04ED">
          <w:pPr>
            <w:pStyle w:val="EMheader"/>
          </w:pPr>
          <w:r>
            <w:t>RULES FILING CF-202</w:t>
          </w:r>
          <w:r>
            <w:t>3</w:t>
          </w:r>
          <w:r>
            <w:t>-REQRU</w:t>
          </w:r>
        </w:p>
      </w:tc>
    </w:tr>
  </w:tbl>
  <w:p w14:paraId="46678241" w14:textId="77777777" w:rsidR="000C04ED" w:rsidRDefault="000C04ED" w:rsidP="000C04ED">
    <w:pPr>
      <w:pStyle w:val="EMheader"/>
      <w:pBdr>
        <w:top w:val="single" w:sz="12"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4FB5" w14:textId="77777777" w:rsidR="00D059AC" w:rsidRPr="00D059AC" w:rsidRDefault="000C04ED" w:rsidP="00D059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8730"/>
    </w:tblGrid>
    <w:tr w:rsidR="000C04ED" w14:paraId="2F1107BA" w14:textId="77777777" w:rsidTr="00CF0AA7">
      <w:tc>
        <w:tcPr>
          <w:tcW w:w="8730" w:type="dxa"/>
        </w:tcPr>
        <w:p w14:paraId="7FC476DD" w14:textId="77777777" w:rsidR="000C04ED" w:rsidRDefault="000C04ED" w:rsidP="000C04ED">
          <w:pPr>
            <w:pStyle w:val="EMheader"/>
          </w:pPr>
        </w:p>
      </w:tc>
    </w:tr>
    <w:tr w:rsidR="000C04ED" w14:paraId="441AFF7D" w14:textId="77777777" w:rsidTr="00CF0AA7">
      <w:tc>
        <w:tcPr>
          <w:tcW w:w="8730" w:type="dxa"/>
        </w:tcPr>
        <w:p w14:paraId="3B6245C2" w14:textId="77777777" w:rsidR="000C04ED" w:rsidRDefault="000C04ED" w:rsidP="000C04ED">
          <w:pPr>
            <w:pStyle w:val="EMheader"/>
          </w:pPr>
          <w:r>
            <w:t>COMMERCIAL FIRE AND ALLIED LINES</w:t>
          </w:r>
        </w:p>
      </w:tc>
    </w:tr>
    <w:tr w:rsidR="000C04ED" w14:paraId="4E733D4D" w14:textId="77777777" w:rsidTr="00CF0AA7">
      <w:tc>
        <w:tcPr>
          <w:tcW w:w="8730" w:type="dxa"/>
        </w:tcPr>
        <w:p w14:paraId="5AC83A59" w14:textId="77777777" w:rsidR="000C04ED" w:rsidRDefault="000C04ED" w:rsidP="000C04ED">
          <w:pPr>
            <w:pStyle w:val="EMheader"/>
          </w:pPr>
          <w:r>
            <w:t>RULES FILING CF-2023-REQRU</w:t>
          </w:r>
        </w:p>
      </w:tc>
    </w:tr>
  </w:tbl>
  <w:p w14:paraId="36038C10" w14:textId="77777777" w:rsidR="000C04ED" w:rsidRDefault="000C04ED" w:rsidP="000C04ED">
    <w:pPr>
      <w:pStyle w:val="EMheader"/>
      <w:pBdr>
        <w:top w:val="single" w:sz="12" w:space="1"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6EF1D" w14:textId="77777777" w:rsidR="00D059AC" w:rsidRPr="00D059AC" w:rsidRDefault="000C04ED" w:rsidP="00D059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28365A"/>
    <w:multiLevelType w:val="hybridMultilevel"/>
    <w:tmpl w:val="A7609806"/>
    <w:lvl w:ilvl="0" w:tplc="3D381358">
      <w:start w:val="1"/>
      <w:numFmt w:val="bullet"/>
      <w:lvlText w:val="l"/>
      <w:lvlJc w:val="left"/>
      <w:pPr>
        <w:tabs>
          <w:tab w:val="num" w:pos="1440"/>
        </w:tabs>
        <w:ind w:left="1440" w:hanging="240"/>
      </w:pPr>
      <w:rPr>
        <w:rFonts w:ascii="Wingdings" w:hAnsi="Wingdings" w:hint="default"/>
        <w:sz w:val="18"/>
      </w:rPr>
    </w:lvl>
    <w:lvl w:ilvl="1" w:tplc="94E0F472" w:tentative="1">
      <w:start w:val="1"/>
      <w:numFmt w:val="bullet"/>
      <w:lvlText w:val="o"/>
      <w:lvlJc w:val="left"/>
      <w:pPr>
        <w:ind w:left="2160" w:hanging="360"/>
      </w:pPr>
      <w:rPr>
        <w:rFonts w:ascii="Courier New" w:hAnsi="Courier New" w:cs="Courier New" w:hint="default"/>
      </w:rPr>
    </w:lvl>
    <w:lvl w:ilvl="2" w:tplc="7FA08E86" w:tentative="1">
      <w:start w:val="1"/>
      <w:numFmt w:val="bullet"/>
      <w:lvlText w:val=""/>
      <w:lvlJc w:val="left"/>
      <w:pPr>
        <w:ind w:left="2880" w:hanging="360"/>
      </w:pPr>
      <w:rPr>
        <w:rFonts w:ascii="Wingdings" w:hAnsi="Wingdings" w:hint="default"/>
      </w:rPr>
    </w:lvl>
    <w:lvl w:ilvl="3" w:tplc="0C7A19BE" w:tentative="1">
      <w:start w:val="1"/>
      <w:numFmt w:val="bullet"/>
      <w:lvlText w:val=""/>
      <w:lvlJc w:val="left"/>
      <w:pPr>
        <w:ind w:left="3600" w:hanging="360"/>
      </w:pPr>
      <w:rPr>
        <w:rFonts w:ascii="Symbol" w:hAnsi="Symbol" w:hint="default"/>
      </w:rPr>
    </w:lvl>
    <w:lvl w:ilvl="4" w:tplc="03285F08" w:tentative="1">
      <w:start w:val="1"/>
      <w:numFmt w:val="bullet"/>
      <w:lvlText w:val="o"/>
      <w:lvlJc w:val="left"/>
      <w:pPr>
        <w:ind w:left="4320" w:hanging="360"/>
      </w:pPr>
      <w:rPr>
        <w:rFonts w:ascii="Courier New" w:hAnsi="Courier New" w:cs="Courier New" w:hint="default"/>
      </w:rPr>
    </w:lvl>
    <w:lvl w:ilvl="5" w:tplc="235607B8" w:tentative="1">
      <w:start w:val="1"/>
      <w:numFmt w:val="bullet"/>
      <w:lvlText w:val=""/>
      <w:lvlJc w:val="left"/>
      <w:pPr>
        <w:ind w:left="5040" w:hanging="360"/>
      </w:pPr>
      <w:rPr>
        <w:rFonts w:ascii="Wingdings" w:hAnsi="Wingdings" w:hint="default"/>
      </w:rPr>
    </w:lvl>
    <w:lvl w:ilvl="6" w:tplc="7D3CE14C" w:tentative="1">
      <w:start w:val="1"/>
      <w:numFmt w:val="bullet"/>
      <w:lvlText w:val=""/>
      <w:lvlJc w:val="left"/>
      <w:pPr>
        <w:ind w:left="5760" w:hanging="360"/>
      </w:pPr>
      <w:rPr>
        <w:rFonts w:ascii="Symbol" w:hAnsi="Symbol" w:hint="default"/>
      </w:rPr>
    </w:lvl>
    <w:lvl w:ilvl="7" w:tplc="D37A746C" w:tentative="1">
      <w:start w:val="1"/>
      <w:numFmt w:val="bullet"/>
      <w:lvlText w:val="o"/>
      <w:lvlJc w:val="left"/>
      <w:pPr>
        <w:ind w:left="6480" w:hanging="360"/>
      </w:pPr>
      <w:rPr>
        <w:rFonts w:ascii="Courier New" w:hAnsi="Courier New" w:cs="Courier New" w:hint="default"/>
      </w:rPr>
    </w:lvl>
    <w:lvl w:ilvl="8" w:tplc="C7F0C064" w:tentative="1">
      <w:start w:val="1"/>
      <w:numFmt w:val="bullet"/>
      <w:lvlText w:val=""/>
      <w:lvlJc w:val="left"/>
      <w:pPr>
        <w:ind w:left="7200" w:hanging="360"/>
      </w:pPr>
      <w:rPr>
        <w:rFonts w:ascii="Wingdings" w:hAnsi="Wingdings" w:hint="default"/>
      </w:rPr>
    </w:lvl>
  </w:abstractNum>
  <w:abstractNum w:abstractNumId="4" w15:restartNumberingAfterBreak="0">
    <w:nsid w:val="166B2E41"/>
    <w:multiLevelType w:val="hybridMultilevel"/>
    <w:tmpl w:val="4C6C417C"/>
    <w:lvl w:ilvl="0" w:tplc="F3BAE20C">
      <w:start w:val="1"/>
      <w:numFmt w:val="bullet"/>
      <w:lvlText w:val="l"/>
      <w:lvlJc w:val="left"/>
      <w:pPr>
        <w:tabs>
          <w:tab w:val="num" w:pos="1440"/>
        </w:tabs>
        <w:ind w:left="1440" w:hanging="240"/>
      </w:pPr>
      <w:rPr>
        <w:rFonts w:ascii="Wingdings" w:hAnsi="Wingdings" w:hint="default"/>
        <w:sz w:val="18"/>
      </w:rPr>
    </w:lvl>
    <w:lvl w:ilvl="1" w:tplc="AA5E7FB2" w:tentative="1">
      <w:start w:val="1"/>
      <w:numFmt w:val="bullet"/>
      <w:lvlText w:val="o"/>
      <w:lvlJc w:val="left"/>
      <w:pPr>
        <w:ind w:left="2160" w:hanging="360"/>
      </w:pPr>
      <w:rPr>
        <w:rFonts w:ascii="Courier New" w:hAnsi="Courier New" w:cs="Courier New" w:hint="default"/>
      </w:rPr>
    </w:lvl>
    <w:lvl w:ilvl="2" w:tplc="459ABAD8" w:tentative="1">
      <w:start w:val="1"/>
      <w:numFmt w:val="bullet"/>
      <w:lvlText w:val=""/>
      <w:lvlJc w:val="left"/>
      <w:pPr>
        <w:ind w:left="2880" w:hanging="360"/>
      </w:pPr>
      <w:rPr>
        <w:rFonts w:ascii="Wingdings" w:hAnsi="Wingdings" w:hint="default"/>
      </w:rPr>
    </w:lvl>
    <w:lvl w:ilvl="3" w:tplc="848C8C14" w:tentative="1">
      <w:start w:val="1"/>
      <w:numFmt w:val="bullet"/>
      <w:lvlText w:val=""/>
      <w:lvlJc w:val="left"/>
      <w:pPr>
        <w:ind w:left="3600" w:hanging="360"/>
      </w:pPr>
      <w:rPr>
        <w:rFonts w:ascii="Symbol" w:hAnsi="Symbol" w:hint="default"/>
      </w:rPr>
    </w:lvl>
    <w:lvl w:ilvl="4" w:tplc="57FCB06C" w:tentative="1">
      <w:start w:val="1"/>
      <w:numFmt w:val="bullet"/>
      <w:lvlText w:val="o"/>
      <w:lvlJc w:val="left"/>
      <w:pPr>
        <w:ind w:left="4320" w:hanging="360"/>
      </w:pPr>
      <w:rPr>
        <w:rFonts w:ascii="Courier New" w:hAnsi="Courier New" w:cs="Courier New" w:hint="default"/>
      </w:rPr>
    </w:lvl>
    <w:lvl w:ilvl="5" w:tplc="A90E1928" w:tentative="1">
      <w:start w:val="1"/>
      <w:numFmt w:val="bullet"/>
      <w:lvlText w:val=""/>
      <w:lvlJc w:val="left"/>
      <w:pPr>
        <w:ind w:left="5040" w:hanging="360"/>
      </w:pPr>
      <w:rPr>
        <w:rFonts w:ascii="Wingdings" w:hAnsi="Wingdings" w:hint="default"/>
      </w:rPr>
    </w:lvl>
    <w:lvl w:ilvl="6" w:tplc="7F624CFE" w:tentative="1">
      <w:start w:val="1"/>
      <w:numFmt w:val="bullet"/>
      <w:lvlText w:val=""/>
      <w:lvlJc w:val="left"/>
      <w:pPr>
        <w:ind w:left="5760" w:hanging="360"/>
      </w:pPr>
      <w:rPr>
        <w:rFonts w:ascii="Symbol" w:hAnsi="Symbol" w:hint="default"/>
      </w:rPr>
    </w:lvl>
    <w:lvl w:ilvl="7" w:tplc="370E863E" w:tentative="1">
      <w:start w:val="1"/>
      <w:numFmt w:val="bullet"/>
      <w:lvlText w:val="o"/>
      <w:lvlJc w:val="left"/>
      <w:pPr>
        <w:ind w:left="6480" w:hanging="360"/>
      </w:pPr>
      <w:rPr>
        <w:rFonts w:ascii="Courier New" w:hAnsi="Courier New" w:cs="Courier New" w:hint="default"/>
      </w:rPr>
    </w:lvl>
    <w:lvl w:ilvl="8" w:tplc="6DCE0B30" w:tentative="1">
      <w:start w:val="1"/>
      <w:numFmt w:val="bullet"/>
      <w:lvlText w:val=""/>
      <w:lvlJc w:val="left"/>
      <w:pPr>
        <w:ind w:left="7200" w:hanging="360"/>
      </w:pPr>
      <w:rPr>
        <w:rFonts w:ascii="Wingdings" w:hAnsi="Wingdings" w:hint="default"/>
      </w:rPr>
    </w:lvl>
  </w:abstractNum>
  <w:abstractNum w:abstractNumId="5" w15:restartNumberingAfterBreak="0">
    <w:nsid w:val="34CE0E34"/>
    <w:multiLevelType w:val="hybridMultilevel"/>
    <w:tmpl w:val="21EA8D76"/>
    <w:lvl w:ilvl="0" w:tplc="14322B54">
      <w:start w:val="1"/>
      <w:numFmt w:val="bullet"/>
      <w:lvlText w:val="l"/>
      <w:lvlJc w:val="left"/>
      <w:pPr>
        <w:tabs>
          <w:tab w:val="num" w:pos="1440"/>
        </w:tabs>
        <w:ind w:left="1440" w:hanging="240"/>
      </w:pPr>
      <w:rPr>
        <w:rFonts w:ascii="Wingdings" w:hAnsi="Wingdings" w:hint="default"/>
        <w:sz w:val="18"/>
      </w:rPr>
    </w:lvl>
    <w:lvl w:ilvl="1" w:tplc="9C0CE1B4" w:tentative="1">
      <w:start w:val="1"/>
      <w:numFmt w:val="bullet"/>
      <w:lvlText w:val="o"/>
      <w:lvlJc w:val="left"/>
      <w:pPr>
        <w:ind w:left="2160" w:hanging="360"/>
      </w:pPr>
      <w:rPr>
        <w:rFonts w:ascii="Courier New" w:hAnsi="Courier New" w:cs="Courier New" w:hint="default"/>
      </w:rPr>
    </w:lvl>
    <w:lvl w:ilvl="2" w:tplc="30C8B3BA" w:tentative="1">
      <w:start w:val="1"/>
      <w:numFmt w:val="bullet"/>
      <w:lvlText w:val=""/>
      <w:lvlJc w:val="left"/>
      <w:pPr>
        <w:ind w:left="2880" w:hanging="360"/>
      </w:pPr>
      <w:rPr>
        <w:rFonts w:ascii="Wingdings" w:hAnsi="Wingdings" w:hint="default"/>
      </w:rPr>
    </w:lvl>
    <w:lvl w:ilvl="3" w:tplc="5D3C5070" w:tentative="1">
      <w:start w:val="1"/>
      <w:numFmt w:val="bullet"/>
      <w:lvlText w:val=""/>
      <w:lvlJc w:val="left"/>
      <w:pPr>
        <w:ind w:left="3600" w:hanging="360"/>
      </w:pPr>
      <w:rPr>
        <w:rFonts w:ascii="Symbol" w:hAnsi="Symbol" w:hint="default"/>
      </w:rPr>
    </w:lvl>
    <w:lvl w:ilvl="4" w:tplc="6D664B4C" w:tentative="1">
      <w:start w:val="1"/>
      <w:numFmt w:val="bullet"/>
      <w:lvlText w:val="o"/>
      <w:lvlJc w:val="left"/>
      <w:pPr>
        <w:ind w:left="4320" w:hanging="360"/>
      </w:pPr>
      <w:rPr>
        <w:rFonts w:ascii="Courier New" w:hAnsi="Courier New" w:cs="Courier New" w:hint="default"/>
      </w:rPr>
    </w:lvl>
    <w:lvl w:ilvl="5" w:tplc="01B00C06" w:tentative="1">
      <w:start w:val="1"/>
      <w:numFmt w:val="bullet"/>
      <w:lvlText w:val=""/>
      <w:lvlJc w:val="left"/>
      <w:pPr>
        <w:ind w:left="5040" w:hanging="360"/>
      </w:pPr>
      <w:rPr>
        <w:rFonts w:ascii="Wingdings" w:hAnsi="Wingdings" w:hint="default"/>
      </w:rPr>
    </w:lvl>
    <w:lvl w:ilvl="6" w:tplc="B7FA83BE" w:tentative="1">
      <w:start w:val="1"/>
      <w:numFmt w:val="bullet"/>
      <w:lvlText w:val=""/>
      <w:lvlJc w:val="left"/>
      <w:pPr>
        <w:ind w:left="5760" w:hanging="360"/>
      </w:pPr>
      <w:rPr>
        <w:rFonts w:ascii="Symbol" w:hAnsi="Symbol" w:hint="default"/>
      </w:rPr>
    </w:lvl>
    <w:lvl w:ilvl="7" w:tplc="8D44EE3C" w:tentative="1">
      <w:start w:val="1"/>
      <w:numFmt w:val="bullet"/>
      <w:lvlText w:val="o"/>
      <w:lvlJc w:val="left"/>
      <w:pPr>
        <w:ind w:left="6480" w:hanging="360"/>
      </w:pPr>
      <w:rPr>
        <w:rFonts w:ascii="Courier New" w:hAnsi="Courier New" w:cs="Courier New" w:hint="default"/>
      </w:rPr>
    </w:lvl>
    <w:lvl w:ilvl="8" w:tplc="0E680EC0" w:tentative="1">
      <w:start w:val="1"/>
      <w:numFmt w:val="bullet"/>
      <w:lvlText w:val=""/>
      <w:lvlJc w:val="left"/>
      <w:pPr>
        <w:ind w:left="7200" w:hanging="360"/>
      </w:pPr>
      <w:rPr>
        <w:rFonts w:ascii="Wingdings" w:hAnsi="Wingdings" w:hint="default"/>
      </w:rPr>
    </w:lvl>
  </w:abstractNum>
  <w:abstractNum w:abstractNumId="6" w15:restartNumberingAfterBreak="0">
    <w:nsid w:val="3B307169"/>
    <w:multiLevelType w:val="hybridMultilevel"/>
    <w:tmpl w:val="524EE014"/>
    <w:lvl w:ilvl="0" w:tplc="6EC86896">
      <w:start w:val="1"/>
      <w:numFmt w:val="bullet"/>
      <w:lvlText w:val="l"/>
      <w:lvlJc w:val="left"/>
      <w:pPr>
        <w:tabs>
          <w:tab w:val="num" w:pos="1440"/>
        </w:tabs>
        <w:ind w:left="1440" w:hanging="240"/>
      </w:pPr>
      <w:rPr>
        <w:rFonts w:ascii="Wingdings" w:hAnsi="Wingdings" w:hint="default"/>
        <w:sz w:val="18"/>
      </w:rPr>
    </w:lvl>
    <w:lvl w:ilvl="1" w:tplc="CA9086C0" w:tentative="1">
      <w:start w:val="1"/>
      <w:numFmt w:val="bullet"/>
      <w:lvlText w:val="o"/>
      <w:lvlJc w:val="left"/>
      <w:pPr>
        <w:ind w:left="2160" w:hanging="360"/>
      </w:pPr>
      <w:rPr>
        <w:rFonts w:ascii="Courier New" w:hAnsi="Courier New" w:cs="Courier New" w:hint="default"/>
      </w:rPr>
    </w:lvl>
    <w:lvl w:ilvl="2" w:tplc="D506D9EE" w:tentative="1">
      <w:start w:val="1"/>
      <w:numFmt w:val="bullet"/>
      <w:lvlText w:val=""/>
      <w:lvlJc w:val="left"/>
      <w:pPr>
        <w:ind w:left="2880" w:hanging="360"/>
      </w:pPr>
      <w:rPr>
        <w:rFonts w:ascii="Wingdings" w:hAnsi="Wingdings" w:hint="default"/>
      </w:rPr>
    </w:lvl>
    <w:lvl w:ilvl="3" w:tplc="2CBEC63A" w:tentative="1">
      <w:start w:val="1"/>
      <w:numFmt w:val="bullet"/>
      <w:lvlText w:val=""/>
      <w:lvlJc w:val="left"/>
      <w:pPr>
        <w:ind w:left="3600" w:hanging="360"/>
      </w:pPr>
      <w:rPr>
        <w:rFonts w:ascii="Symbol" w:hAnsi="Symbol" w:hint="default"/>
      </w:rPr>
    </w:lvl>
    <w:lvl w:ilvl="4" w:tplc="4DA07038" w:tentative="1">
      <w:start w:val="1"/>
      <w:numFmt w:val="bullet"/>
      <w:lvlText w:val="o"/>
      <w:lvlJc w:val="left"/>
      <w:pPr>
        <w:ind w:left="4320" w:hanging="360"/>
      </w:pPr>
      <w:rPr>
        <w:rFonts w:ascii="Courier New" w:hAnsi="Courier New" w:cs="Courier New" w:hint="default"/>
      </w:rPr>
    </w:lvl>
    <w:lvl w:ilvl="5" w:tplc="83980428" w:tentative="1">
      <w:start w:val="1"/>
      <w:numFmt w:val="bullet"/>
      <w:lvlText w:val=""/>
      <w:lvlJc w:val="left"/>
      <w:pPr>
        <w:ind w:left="5040" w:hanging="360"/>
      </w:pPr>
      <w:rPr>
        <w:rFonts w:ascii="Wingdings" w:hAnsi="Wingdings" w:hint="default"/>
      </w:rPr>
    </w:lvl>
    <w:lvl w:ilvl="6" w:tplc="C0E48FB6" w:tentative="1">
      <w:start w:val="1"/>
      <w:numFmt w:val="bullet"/>
      <w:lvlText w:val=""/>
      <w:lvlJc w:val="left"/>
      <w:pPr>
        <w:ind w:left="5760" w:hanging="360"/>
      </w:pPr>
      <w:rPr>
        <w:rFonts w:ascii="Symbol" w:hAnsi="Symbol" w:hint="default"/>
      </w:rPr>
    </w:lvl>
    <w:lvl w:ilvl="7" w:tplc="E49CC6B2" w:tentative="1">
      <w:start w:val="1"/>
      <w:numFmt w:val="bullet"/>
      <w:lvlText w:val="o"/>
      <w:lvlJc w:val="left"/>
      <w:pPr>
        <w:ind w:left="6480" w:hanging="360"/>
      </w:pPr>
      <w:rPr>
        <w:rFonts w:ascii="Courier New" w:hAnsi="Courier New" w:cs="Courier New" w:hint="default"/>
      </w:rPr>
    </w:lvl>
    <w:lvl w:ilvl="8" w:tplc="56324C7A" w:tentative="1">
      <w:start w:val="1"/>
      <w:numFmt w:val="bullet"/>
      <w:lvlText w:val=""/>
      <w:lvlJc w:val="left"/>
      <w:pPr>
        <w:ind w:left="7200" w:hanging="360"/>
      </w:pPr>
      <w:rPr>
        <w:rFonts w:ascii="Wingdings" w:hAnsi="Wingdings" w:hint="default"/>
      </w:rPr>
    </w:lvl>
  </w:abstractNum>
  <w:abstractNum w:abstractNumId="7" w15:restartNumberingAfterBreak="0">
    <w:nsid w:val="424F24EC"/>
    <w:multiLevelType w:val="hybridMultilevel"/>
    <w:tmpl w:val="5ED2187A"/>
    <w:lvl w:ilvl="0" w:tplc="86DADEB4">
      <w:start w:val="1"/>
      <w:numFmt w:val="bullet"/>
      <w:lvlText w:val="l"/>
      <w:lvlJc w:val="left"/>
      <w:pPr>
        <w:tabs>
          <w:tab w:val="num" w:pos="1440"/>
        </w:tabs>
        <w:ind w:left="1440" w:hanging="240"/>
      </w:pPr>
      <w:rPr>
        <w:rFonts w:ascii="Wingdings" w:hAnsi="Wingdings" w:hint="default"/>
        <w:sz w:val="18"/>
      </w:rPr>
    </w:lvl>
    <w:lvl w:ilvl="1" w:tplc="284E89F0" w:tentative="1">
      <w:start w:val="1"/>
      <w:numFmt w:val="bullet"/>
      <w:lvlText w:val="o"/>
      <w:lvlJc w:val="left"/>
      <w:pPr>
        <w:ind w:left="2160" w:hanging="360"/>
      </w:pPr>
      <w:rPr>
        <w:rFonts w:ascii="Courier New" w:hAnsi="Courier New" w:cs="Courier New" w:hint="default"/>
      </w:rPr>
    </w:lvl>
    <w:lvl w:ilvl="2" w:tplc="4DE4BD8E" w:tentative="1">
      <w:start w:val="1"/>
      <w:numFmt w:val="bullet"/>
      <w:lvlText w:val=""/>
      <w:lvlJc w:val="left"/>
      <w:pPr>
        <w:ind w:left="2880" w:hanging="360"/>
      </w:pPr>
      <w:rPr>
        <w:rFonts w:ascii="Wingdings" w:hAnsi="Wingdings" w:hint="default"/>
      </w:rPr>
    </w:lvl>
    <w:lvl w:ilvl="3" w:tplc="6FB03BC4" w:tentative="1">
      <w:start w:val="1"/>
      <w:numFmt w:val="bullet"/>
      <w:lvlText w:val=""/>
      <w:lvlJc w:val="left"/>
      <w:pPr>
        <w:ind w:left="3600" w:hanging="360"/>
      </w:pPr>
      <w:rPr>
        <w:rFonts w:ascii="Symbol" w:hAnsi="Symbol" w:hint="default"/>
      </w:rPr>
    </w:lvl>
    <w:lvl w:ilvl="4" w:tplc="3836D61A" w:tentative="1">
      <w:start w:val="1"/>
      <w:numFmt w:val="bullet"/>
      <w:lvlText w:val="o"/>
      <w:lvlJc w:val="left"/>
      <w:pPr>
        <w:ind w:left="4320" w:hanging="360"/>
      </w:pPr>
      <w:rPr>
        <w:rFonts w:ascii="Courier New" w:hAnsi="Courier New" w:cs="Courier New" w:hint="default"/>
      </w:rPr>
    </w:lvl>
    <w:lvl w:ilvl="5" w:tplc="43EACE84" w:tentative="1">
      <w:start w:val="1"/>
      <w:numFmt w:val="bullet"/>
      <w:lvlText w:val=""/>
      <w:lvlJc w:val="left"/>
      <w:pPr>
        <w:ind w:left="5040" w:hanging="360"/>
      </w:pPr>
      <w:rPr>
        <w:rFonts w:ascii="Wingdings" w:hAnsi="Wingdings" w:hint="default"/>
      </w:rPr>
    </w:lvl>
    <w:lvl w:ilvl="6" w:tplc="31E68CAA" w:tentative="1">
      <w:start w:val="1"/>
      <w:numFmt w:val="bullet"/>
      <w:lvlText w:val=""/>
      <w:lvlJc w:val="left"/>
      <w:pPr>
        <w:ind w:left="5760" w:hanging="360"/>
      </w:pPr>
      <w:rPr>
        <w:rFonts w:ascii="Symbol" w:hAnsi="Symbol" w:hint="default"/>
      </w:rPr>
    </w:lvl>
    <w:lvl w:ilvl="7" w:tplc="E626BBE8" w:tentative="1">
      <w:start w:val="1"/>
      <w:numFmt w:val="bullet"/>
      <w:lvlText w:val="o"/>
      <w:lvlJc w:val="left"/>
      <w:pPr>
        <w:ind w:left="6480" w:hanging="360"/>
      </w:pPr>
      <w:rPr>
        <w:rFonts w:ascii="Courier New" w:hAnsi="Courier New" w:cs="Courier New" w:hint="default"/>
      </w:rPr>
    </w:lvl>
    <w:lvl w:ilvl="8" w:tplc="3CA4AE64" w:tentative="1">
      <w:start w:val="1"/>
      <w:numFmt w:val="bullet"/>
      <w:lvlText w:val=""/>
      <w:lvlJc w:val="left"/>
      <w:pPr>
        <w:ind w:left="7200" w:hanging="360"/>
      </w:pPr>
      <w:rPr>
        <w:rFonts w:ascii="Wingdings" w:hAnsi="Wingdings" w:hint="default"/>
      </w:rPr>
    </w:lvl>
  </w:abstractNum>
  <w:abstractNum w:abstractNumId="8" w15:restartNumberingAfterBreak="0">
    <w:nsid w:val="62092D13"/>
    <w:multiLevelType w:val="hybridMultilevel"/>
    <w:tmpl w:val="EFDC942A"/>
    <w:lvl w:ilvl="0" w:tplc="79D08DAE">
      <w:start w:val="1"/>
      <w:numFmt w:val="bullet"/>
      <w:lvlText w:val="l"/>
      <w:lvlJc w:val="left"/>
      <w:pPr>
        <w:tabs>
          <w:tab w:val="num" w:pos="1440"/>
        </w:tabs>
        <w:ind w:left="1440" w:hanging="240"/>
      </w:pPr>
      <w:rPr>
        <w:rFonts w:ascii="Wingdings" w:hAnsi="Wingdings" w:hint="default"/>
        <w:sz w:val="18"/>
      </w:rPr>
    </w:lvl>
    <w:lvl w:ilvl="1" w:tplc="B33CB20E" w:tentative="1">
      <w:start w:val="1"/>
      <w:numFmt w:val="bullet"/>
      <w:lvlText w:val="o"/>
      <w:lvlJc w:val="left"/>
      <w:pPr>
        <w:ind w:left="2160" w:hanging="360"/>
      </w:pPr>
      <w:rPr>
        <w:rFonts w:ascii="Courier New" w:hAnsi="Courier New" w:cs="Courier New" w:hint="default"/>
      </w:rPr>
    </w:lvl>
    <w:lvl w:ilvl="2" w:tplc="3C4A3D40" w:tentative="1">
      <w:start w:val="1"/>
      <w:numFmt w:val="bullet"/>
      <w:lvlText w:val=""/>
      <w:lvlJc w:val="left"/>
      <w:pPr>
        <w:ind w:left="2880" w:hanging="360"/>
      </w:pPr>
      <w:rPr>
        <w:rFonts w:ascii="Wingdings" w:hAnsi="Wingdings" w:hint="default"/>
      </w:rPr>
    </w:lvl>
    <w:lvl w:ilvl="3" w:tplc="4A9A5DB4" w:tentative="1">
      <w:start w:val="1"/>
      <w:numFmt w:val="bullet"/>
      <w:lvlText w:val=""/>
      <w:lvlJc w:val="left"/>
      <w:pPr>
        <w:ind w:left="3600" w:hanging="360"/>
      </w:pPr>
      <w:rPr>
        <w:rFonts w:ascii="Symbol" w:hAnsi="Symbol" w:hint="default"/>
      </w:rPr>
    </w:lvl>
    <w:lvl w:ilvl="4" w:tplc="443AF9C0" w:tentative="1">
      <w:start w:val="1"/>
      <w:numFmt w:val="bullet"/>
      <w:lvlText w:val="o"/>
      <w:lvlJc w:val="left"/>
      <w:pPr>
        <w:ind w:left="4320" w:hanging="360"/>
      </w:pPr>
      <w:rPr>
        <w:rFonts w:ascii="Courier New" w:hAnsi="Courier New" w:cs="Courier New" w:hint="default"/>
      </w:rPr>
    </w:lvl>
    <w:lvl w:ilvl="5" w:tplc="C24A30F8" w:tentative="1">
      <w:start w:val="1"/>
      <w:numFmt w:val="bullet"/>
      <w:lvlText w:val=""/>
      <w:lvlJc w:val="left"/>
      <w:pPr>
        <w:ind w:left="5040" w:hanging="360"/>
      </w:pPr>
      <w:rPr>
        <w:rFonts w:ascii="Wingdings" w:hAnsi="Wingdings" w:hint="default"/>
      </w:rPr>
    </w:lvl>
    <w:lvl w:ilvl="6" w:tplc="FC9CA9E2" w:tentative="1">
      <w:start w:val="1"/>
      <w:numFmt w:val="bullet"/>
      <w:lvlText w:val=""/>
      <w:lvlJc w:val="left"/>
      <w:pPr>
        <w:ind w:left="5760" w:hanging="360"/>
      </w:pPr>
      <w:rPr>
        <w:rFonts w:ascii="Symbol" w:hAnsi="Symbol" w:hint="default"/>
      </w:rPr>
    </w:lvl>
    <w:lvl w:ilvl="7" w:tplc="BF664F2C" w:tentative="1">
      <w:start w:val="1"/>
      <w:numFmt w:val="bullet"/>
      <w:lvlText w:val="o"/>
      <w:lvlJc w:val="left"/>
      <w:pPr>
        <w:ind w:left="6480" w:hanging="360"/>
      </w:pPr>
      <w:rPr>
        <w:rFonts w:ascii="Courier New" w:hAnsi="Courier New" w:cs="Courier New" w:hint="default"/>
      </w:rPr>
    </w:lvl>
    <w:lvl w:ilvl="8" w:tplc="9B5CB6B6" w:tentative="1">
      <w:start w:val="1"/>
      <w:numFmt w:val="bullet"/>
      <w:lvlText w:val=""/>
      <w:lvlJc w:val="left"/>
      <w:pPr>
        <w:ind w:left="7200" w:hanging="360"/>
      </w:pPr>
      <w:rPr>
        <w:rFonts w:ascii="Wingdings" w:hAnsi="Wingdings" w:hint="default"/>
      </w:rPr>
    </w:lvl>
  </w:abstractNum>
  <w:abstractNum w:abstractNumId="9" w15:restartNumberingAfterBreak="0">
    <w:nsid w:val="73165FAF"/>
    <w:multiLevelType w:val="hybridMultilevel"/>
    <w:tmpl w:val="058ABCC4"/>
    <w:lvl w:ilvl="0" w:tplc="3B28D7EE">
      <w:start w:val="1"/>
      <w:numFmt w:val="bullet"/>
      <w:lvlText w:val="l"/>
      <w:lvlJc w:val="left"/>
      <w:pPr>
        <w:tabs>
          <w:tab w:val="num" w:pos="1440"/>
        </w:tabs>
        <w:ind w:left="1440" w:hanging="240"/>
      </w:pPr>
      <w:rPr>
        <w:rFonts w:ascii="Wingdings" w:hAnsi="Wingdings" w:hint="default"/>
        <w:sz w:val="18"/>
      </w:rPr>
    </w:lvl>
    <w:lvl w:ilvl="1" w:tplc="65EEF3F0" w:tentative="1">
      <w:start w:val="1"/>
      <w:numFmt w:val="bullet"/>
      <w:lvlText w:val="o"/>
      <w:lvlJc w:val="left"/>
      <w:pPr>
        <w:ind w:left="2160" w:hanging="360"/>
      </w:pPr>
      <w:rPr>
        <w:rFonts w:ascii="Courier New" w:hAnsi="Courier New" w:cs="Courier New" w:hint="default"/>
      </w:rPr>
    </w:lvl>
    <w:lvl w:ilvl="2" w:tplc="BEFECEBC" w:tentative="1">
      <w:start w:val="1"/>
      <w:numFmt w:val="bullet"/>
      <w:lvlText w:val=""/>
      <w:lvlJc w:val="left"/>
      <w:pPr>
        <w:ind w:left="2880" w:hanging="360"/>
      </w:pPr>
      <w:rPr>
        <w:rFonts w:ascii="Wingdings" w:hAnsi="Wingdings" w:hint="default"/>
      </w:rPr>
    </w:lvl>
    <w:lvl w:ilvl="3" w:tplc="78BC570C" w:tentative="1">
      <w:start w:val="1"/>
      <w:numFmt w:val="bullet"/>
      <w:lvlText w:val=""/>
      <w:lvlJc w:val="left"/>
      <w:pPr>
        <w:ind w:left="3600" w:hanging="360"/>
      </w:pPr>
      <w:rPr>
        <w:rFonts w:ascii="Symbol" w:hAnsi="Symbol" w:hint="default"/>
      </w:rPr>
    </w:lvl>
    <w:lvl w:ilvl="4" w:tplc="CA1E9F88" w:tentative="1">
      <w:start w:val="1"/>
      <w:numFmt w:val="bullet"/>
      <w:lvlText w:val="o"/>
      <w:lvlJc w:val="left"/>
      <w:pPr>
        <w:ind w:left="4320" w:hanging="360"/>
      </w:pPr>
      <w:rPr>
        <w:rFonts w:ascii="Courier New" w:hAnsi="Courier New" w:cs="Courier New" w:hint="default"/>
      </w:rPr>
    </w:lvl>
    <w:lvl w:ilvl="5" w:tplc="B0FA1D4E" w:tentative="1">
      <w:start w:val="1"/>
      <w:numFmt w:val="bullet"/>
      <w:lvlText w:val=""/>
      <w:lvlJc w:val="left"/>
      <w:pPr>
        <w:ind w:left="5040" w:hanging="360"/>
      </w:pPr>
      <w:rPr>
        <w:rFonts w:ascii="Wingdings" w:hAnsi="Wingdings" w:hint="default"/>
      </w:rPr>
    </w:lvl>
    <w:lvl w:ilvl="6" w:tplc="986003AE" w:tentative="1">
      <w:start w:val="1"/>
      <w:numFmt w:val="bullet"/>
      <w:lvlText w:val=""/>
      <w:lvlJc w:val="left"/>
      <w:pPr>
        <w:ind w:left="5760" w:hanging="360"/>
      </w:pPr>
      <w:rPr>
        <w:rFonts w:ascii="Symbol" w:hAnsi="Symbol" w:hint="default"/>
      </w:rPr>
    </w:lvl>
    <w:lvl w:ilvl="7" w:tplc="6A6C1B2E" w:tentative="1">
      <w:start w:val="1"/>
      <w:numFmt w:val="bullet"/>
      <w:lvlText w:val="o"/>
      <w:lvlJc w:val="left"/>
      <w:pPr>
        <w:ind w:left="6480" w:hanging="360"/>
      </w:pPr>
      <w:rPr>
        <w:rFonts w:ascii="Courier New" w:hAnsi="Courier New" w:cs="Courier New" w:hint="default"/>
      </w:rPr>
    </w:lvl>
    <w:lvl w:ilvl="8" w:tplc="1A6C0988" w:tentative="1">
      <w:start w:val="1"/>
      <w:numFmt w:val="bullet"/>
      <w:lvlText w:val=""/>
      <w:lvlJc w:val="left"/>
      <w:pPr>
        <w:ind w:left="7200" w:hanging="360"/>
      </w:pPr>
      <w:rPr>
        <w:rFonts w:ascii="Wingdings" w:hAnsi="Wingdings" w:hint="default"/>
      </w:rPr>
    </w:lvl>
  </w:abstractNum>
  <w:abstractNum w:abstractNumId="10" w15:restartNumberingAfterBreak="0">
    <w:nsid w:val="7D741B94"/>
    <w:multiLevelType w:val="hybridMultilevel"/>
    <w:tmpl w:val="69F0B216"/>
    <w:lvl w:ilvl="0" w:tplc="C3701456">
      <w:start w:val="1"/>
      <w:numFmt w:val="bullet"/>
      <w:lvlText w:val="l"/>
      <w:lvlJc w:val="left"/>
      <w:pPr>
        <w:tabs>
          <w:tab w:val="num" w:pos="1440"/>
        </w:tabs>
        <w:ind w:left="1440" w:hanging="240"/>
      </w:pPr>
      <w:rPr>
        <w:rFonts w:ascii="Wingdings" w:hAnsi="Wingdings" w:hint="default"/>
        <w:sz w:val="18"/>
      </w:rPr>
    </w:lvl>
    <w:lvl w:ilvl="1" w:tplc="8BF0157A" w:tentative="1">
      <w:start w:val="1"/>
      <w:numFmt w:val="bullet"/>
      <w:lvlText w:val="o"/>
      <w:lvlJc w:val="left"/>
      <w:pPr>
        <w:ind w:left="2160" w:hanging="360"/>
      </w:pPr>
      <w:rPr>
        <w:rFonts w:ascii="Courier New" w:hAnsi="Courier New" w:cs="Courier New" w:hint="default"/>
      </w:rPr>
    </w:lvl>
    <w:lvl w:ilvl="2" w:tplc="5218C2C8" w:tentative="1">
      <w:start w:val="1"/>
      <w:numFmt w:val="bullet"/>
      <w:lvlText w:val=""/>
      <w:lvlJc w:val="left"/>
      <w:pPr>
        <w:ind w:left="2880" w:hanging="360"/>
      </w:pPr>
      <w:rPr>
        <w:rFonts w:ascii="Wingdings" w:hAnsi="Wingdings" w:hint="default"/>
      </w:rPr>
    </w:lvl>
    <w:lvl w:ilvl="3" w:tplc="EAFA1C6C" w:tentative="1">
      <w:start w:val="1"/>
      <w:numFmt w:val="bullet"/>
      <w:lvlText w:val=""/>
      <w:lvlJc w:val="left"/>
      <w:pPr>
        <w:ind w:left="3600" w:hanging="360"/>
      </w:pPr>
      <w:rPr>
        <w:rFonts w:ascii="Symbol" w:hAnsi="Symbol" w:hint="default"/>
      </w:rPr>
    </w:lvl>
    <w:lvl w:ilvl="4" w:tplc="AD34182C" w:tentative="1">
      <w:start w:val="1"/>
      <w:numFmt w:val="bullet"/>
      <w:lvlText w:val="o"/>
      <w:lvlJc w:val="left"/>
      <w:pPr>
        <w:ind w:left="4320" w:hanging="360"/>
      </w:pPr>
      <w:rPr>
        <w:rFonts w:ascii="Courier New" w:hAnsi="Courier New" w:cs="Courier New" w:hint="default"/>
      </w:rPr>
    </w:lvl>
    <w:lvl w:ilvl="5" w:tplc="D99A9E92" w:tentative="1">
      <w:start w:val="1"/>
      <w:numFmt w:val="bullet"/>
      <w:lvlText w:val=""/>
      <w:lvlJc w:val="left"/>
      <w:pPr>
        <w:ind w:left="5040" w:hanging="360"/>
      </w:pPr>
      <w:rPr>
        <w:rFonts w:ascii="Wingdings" w:hAnsi="Wingdings" w:hint="default"/>
      </w:rPr>
    </w:lvl>
    <w:lvl w:ilvl="6" w:tplc="D1D8DA9E" w:tentative="1">
      <w:start w:val="1"/>
      <w:numFmt w:val="bullet"/>
      <w:lvlText w:val=""/>
      <w:lvlJc w:val="left"/>
      <w:pPr>
        <w:ind w:left="5760" w:hanging="360"/>
      </w:pPr>
      <w:rPr>
        <w:rFonts w:ascii="Symbol" w:hAnsi="Symbol" w:hint="default"/>
      </w:rPr>
    </w:lvl>
    <w:lvl w:ilvl="7" w:tplc="7E7A8FBA" w:tentative="1">
      <w:start w:val="1"/>
      <w:numFmt w:val="bullet"/>
      <w:lvlText w:val="o"/>
      <w:lvlJc w:val="left"/>
      <w:pPr>
        <w:ind w:left="6480" w:hanging="360"/>
      </w:pPr>
      <w:rPr>
        <w:rFonts w:ascii="Courier New" w:hAnsi="Courier New" w:cs="Courier New" w:hint="default"/>
      </w:rPr>
    </w:lvl>
    <w:lvl w:ilvl="8" w:tplc="79706394" w:tentative="1">
      <w:start w:val="1"/>
      <w:numFmt w:val="bullet"/>
      <w:lvlText w:val=""/>
      <w:lvlJc w:val="left"/>
      <w:pPr>
        <w:ind w:left="7200" w:hanging="360"/>
      </w:pPr>
      <w:rPr>
        <w:rFonts w:ascii="Wingdings" w:hAnsi="Wingdings" w:hint="default"/>
      </w:rPr>
    </w:lvl>
  </w:abstractNum>
  <w:num w:numId="1" w16cid:durableId="1808816578">
    <w:abstractNumId w:val="2"/>
  </w:num>
  <w:num w:numId="2" w16cid:durableId="1916234762">
    <w:abstractNumId w:val="1"/>
  </w:num>
  <w:num w:numId="3" w16cid:durableId="1129980463">
    <w:abstractNumId w:val="0"/>
  </w:num>
  <w:num w:numId="4" w16cid:durableId="1329862913">
    <w:abstractNumId w:val="5"/>
  </w:num>
  <w:num w:numId="5" w16cid:durableId="1811827626">
    <w:abstractNumId w:val="9"/>
  </w:num>
  <w:num w:numId="6" w16cid:durableId="1824348759">
    <w:abstractNumId w:val="4"/>
  </w:num>
  <w:num w:numId="7" w16cid:durableId="28993122">
    <w:abstractNumId w:val="7"/>
  </w:num>
  <w:num w:numId="8" w16cid:durableId="385179477">
    <w:abstractNumId w:val="6"/>
  </w:num>
  <w:num w:numId="9" w16cid:durableId="433480930">
    <w:abstractNumId w:val="10"/>
  </w:num>
  <w:num w:numId="10" w16cid:durableId="260602226">
    <w:abstractNumId w:val="3"/>
  </w:num>
  <w:num w:numId="11" w16cid:durableId="14007871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0C04ED"/>
    <w:rsid w:val="001A14D6"/>
    <w:rsid w:val="002F4DFF"/>
    <w:rsid w:val="00387916"/>
    <w:rsid w:val="007C1AB9"/>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AB9"/>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7C1AB9"/>
    <w:pPr>
      <w:spacing w:before="240"/>
      <w:outlineLvl w:val="0"/>
    </w:pPr>
    <w:rPr>
      <w:b/>
    </w:rPr>
  </w:style>
  <w:style w:type="paragraph" w:styleId="Heading2">
    <w:name w:val="heading 2"/>
    <w:basedOn w:val="Normal"/>
    <w:next w:val="Normal"/>
    <w:link w:val="Heading2Char"/>
    <w:qFormat/>
    <w:rsid w:val="007C1AB9"/>
    <w:pPr>
      <w:spacing w:before="120"/>
      <w:outlineLvl w:val="1"/>
    </w:pPr>
    <w:rPr>
      <w:b/>
    </w:rPr>
  </w:style>
  <w:style w:type="paragraph" w:styleId="Heading3">
    <w:name w:val="heading 3"/>
    <w:basedOn w:val="Normal"/>
    <w:next w:val="Normal"/>
    <w:link w:val="Heading3Char"/>
    <w:qFormat/>
    <w:rsid w:val="007C1AB9"/>
    <w:pPr>
      <w:ind w:left="360"/>
      <w:outlineLvl w:val="2"/>
    </w:pPr>
    <w:rPr>
      <w:b/>
    </w:rPr>
  </w:style>
  <w:style w:type="paragraph" w:styleId="Heading5">
    <w:name w:val="heading 5"/>
    <w:basedOn w:val="Normal"/>
    <w:next w:val="Normal"/>
    <w:link w:val="Heading5Char"/>
    <w:qFormat/>
    <w:rsid w:val="007C1AB9"/>
    <w:pPr>
      <w:spacing w:before="240" w:after="60" w:line="240" w:lineRule="auto"/>
      <w:jc w:val="left"/>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isonormal"/>
    <w:link w:val="HeaderChar"/>
    <w:rsid w:val="007C1AB9"/>
    <w:pPr>
      <w:spacing w:line="200" w:lineRule="exact"/>
    </w:pPr>
    <w:rPr>
      <w:b/>
      <w:sz w:val="20"/>
    </w:rPr>
  </w:style>
  <w:style w:type="character" w:customStyle="1" w:styleId="HeaderChar">
    <w:name w:val="Header Char"/>
    <w:link w:val="Header"/>
    <w:rsid w:val="007C1AB9"/>
    <w:rPr>
      <w:rFonts w:ascii="Arial" w:eastAsia="Times New Roman" w:hAnsi="Arial"/>
      <w:b/>
    </w:rPr>
  </w:style>
  <w:style w:type="paragraph" w:styleId="Footer">
    <w:name w:val="footer"/>
    <w:basedOn w:val="isonormal"/>
    <w:link w:val="FooterChar"/>
    <w:rsid w:val="007C1AB9"/>
    <w:pPr>
      <w:spacing w:before="0" w:line="240" w:lineRule="auto"/>
    </w:pPr>
  </w:style>
  <w:style w:type="character" w:customStyle="1" w:styleId="FooterChar">
    <w:name w:val="Footer Char"/>
    <w:link w:val="Footer"/>
    <w:rsid w:val="007C1AB9"/>
    <w:rPr>
      <w:rFonts w:ascii="Arial" w:eastAsia="Times New Roman" w:hAnsi="Arial"/>
      <w:sz w:val="18"/>
    </w:rPr>
  </w:style>
  <w:style w:type="character" w:customStyle="1" w:styleId="Heading1Char">
    <w:name w:val="Heading 1 Char"/>
    <w:link w:val="Heading1"/>
    <w:rsid w:val="007C1AB9"/>
    <w:rPr>
      <w:rFonts w:ascii="Times New Roman" w:eastAsia="Times New Roman" w:hAnsi="Times New Roman"/>
      <w:b/>
      <w:sz w:val="24"/>
    </w:rPr>
  </w:style>
  <w:style w:type="character" w:customStyle="1" w:styleId="Heading2Char">
    <w:name w:val="Heading 2 Char"/>
    <w:link w:val="Heading2"/>
    <w:rsid w:val="007C1AB9"/>
    <w:rPr>
      <w:rFonts w:ascii="Times New Roman" w:eastAsia="Times New Roman" w:hAnsi="Times New Roman"/>
      <w:b/>
      <w:sz w:val="24"/>
    </w:rPr>
  </w:style>
  <w:style w:type="character" w:customStyle="1" w:styleId="Heading3Char">
    <w:name w:val="Heading 3 Char"/>
    <w:link w:val="Heading3"/>
    <w:rsid w:val="007C1AB9"/>
    <w:rPr>
      <w:rFonts w:ascii="Times New Roman" w:eastAsia="Times New Roman" w:hAnsi="Times New Roman"/>
      <w:b/>
      <w:sz w:val="24"/>
    </w:rPr>
  </w:style>
  <w:style w:type="character" w:customStyle="1" w:styleId="Heading5Char">
    <w:name w:val="Heading 5 Char"/>
    <w:link w:val="Heading5"/>
    <w:rsid w:val="007C1AB9"/>
    <w:rPr>
      <w:rFonts w:ascii="Times New Roman" w:eastAsia="Times New Roman" w:hAnsi="Times New Roman"/>
      <w:sz w:val="22"/>
    </w:rPr>
  </w:style>
  <w:style w:type="paragraph" w:customStyle="1" w:styleId="tablehead">
    <w:name w:val="tablehead"/>
    <w:basedOn w:val="isonormal"/>
    <w:rsid w:val="007C1AB9"/>
    <w:pPr>
      <w:spacing w:before="40" w:after="20"/>
      <w:jc w:val="center"/>
    </w:pPr>
    <w:rPr>
      <w:b/>
    </w:rPr>
  </w:style>
  <w:style w:type="paragraph" w:customStyle="1" w:styleId="tabletext11">
    <w:name w:val="tabletext1/1"/>
    <w:basedOn w:val="isonormal"/>
    <w:rsid w:val="007C1AB9"/>
    <w:pPr>
      <w:spacing w:before="20" w:after="20"/>
      <w:jc w:val="left"/>
    </w:pPr>
  </w:style>
  <w:style w:type="paragraph" w:customStyle="1" w:styleId="isonormal">
    <w:name w:val="isonormal"/>
    <w:rsid w:val="007C1AB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7C1AB9"/>
    <w:pPr>
      <w:keepNext/>
      <w:keepLines/>
      <w:suppressAutoHyphens/>
      <w:jc w:val="left"/>
    </w:pPr>
    <w:rPr>
      <w:b/>
    </w:rPr>
  </w:style>
  <w:style w:type="paragraph" w:customStyle="1" w:styleId="blockhd2">
    <w:name w:val="blockhd2"/>
    <w:basedOn w:val="isonormal"/>
    <w:next w:val="blocktext2"/>
    <w:rsid w:val="007C1AB9"/>
    <w:pPr>
      <w:keepNext/>
      <w:keepLines/>
      <w:suppressAutoHyphens/>
      <w:ind w:left="300"/>
      <w:jc w:val="left"/>
    </w:pPr>
    <w:rPr>
      <w:b/>
    </w:rPr>
  </w:style>
  <w:style w:type="paragraph" w:customStyle="1" w:styleId="blockhd3">
    <w:name w:val="blockhd3"/>
    <w:basedOn w:val="isonormal"/>
    <w:next w:val="blocktext3"/>
    <w:rsid w:val="007C1AB9"/>
    <w:pPr>
      <w:keepNext/>
      <w:keepLines/>
      <w:suppressAutoHyphens/>
      <w:ind w:left="600"/>
      <w:jc w:val="left"/>
    </w:pPr>
    <w:rPr>
      <w:b/>
    </w:rPr>
  </w:style>
  <w:style w:type="paragraph" w:customStyle="1" w:styleId="blockhd4">
    <w:name w:val="blockhd4"/>
    <w:basedOn w:val="isonormal"/>
    <w:next w:val="blocktext4"/>
    <w:rsid w:val="007C1AB9"/>
    <w:pPr>
      <w:keepNext/>
      <w:keepLines/>
      <w:suppressAutoHyphens/>
      <w:ind w:left="900"/>
      <w:jc w:val="left"/>
    </w:pPr>
    <w:rPr>
      <w:b/>
    </w:rPr>
  </w:style>
  <w:style w:type="paragraph" w:customStyle="1" w:styleId="blockhd5">
    <w:name w:val="blockhd5"/>
    <w:basedOn w:val="isonormal"/>
    <w:next w:val="blocktext5"/>
    <w:rsid w:val="007C1AB9"/>
    <w:pPr>
      <w:keepNext/>
      <w:keepLines/>
      <w:suppressAutoHyphens/>
      <w:ind w:left="1200"/>
      <w:jc w:val="left"/>
    </w:pPr>
    <w:rPr>
      <w:b/>
    </w:rPr>
  </w:style>
  <w:style w:type="paragraph" w:customStyle="1" w:styleId="blockhd6">
    <w:name w:val="blockhd6"/>
    <w:basedOn w:val="isonormal"/>
    <w:next w:val="blocktext6"/>
    <w:rsid w:val="007C1AB9"/>
    <w:pPr>
      <w:keepNext/>
      <w:keepLines/>
      <w:suppressAutoHyphens/>
      <w:ind w:left="1500"/>
      <w:jc w:val="left"/>
    </w:pPr>
    <w:rPr>
      <w:b/>
    </w:rPr>
  </w:style>
  <w:style w:type="paragraph" w:customStyle="1" w:styleId="blockhd7">
    <w:name w:val="blockhd7"/>
    <w:basedOn w:val="isonormal"/>
    <w:next w:val="blocktext7"/>
    <w:rsid w:val="007C1AB9"/>
    <w:pPr>
      <w:keepNext/>
      <w:keepLines/>
      <w:suppressAutoHyphens/>
      <w:ind w:left="1800"/>
      <w:jc w:val="left"/>
    </w:pPr>
    <w:rPr>
      <w:b/>
    </w:rPr>
  </w:style>
  <w:style w:type="paragraph" w:customStyle="1" w:styleId="blockhd8">
    <w:name w:val="blockhd8"/>
    <w:basedOn w:val="isonormal"/>
    <w:next w:val="blocktext8"/>
    <w:rsid w:val="007C1AB9"/>
    <w:pPr>
      <w:keepNext/>
      <w:keepLines/>
      <w:suppressAutoHyphens/>
      <w:ind w:left="2100"/>
      <w:jc w:val="left"/>
    </w:pPr>
    <w:rPr>
      <w:b/>
    </w:rPr>
  </w:style>
  <w:style w:type="paragraph" w:customStyle="1" w:styleId="blockhd9">
    <w:name w:val="blockhd9"/>
    <w:basedOn w:val="isonormal"/>
    <w:next w:val="blocktext9"/>
    <w:rsid w:val="007C1AB9"/>
    <w:pPr>
      <w:keepNext/>
      <w:keepLines/>
      <w:suppressAutoHyphens/>
      <w:ind w:left="2400"/>
      <w:jc w:val="left"/>
    </w:pPr>
    <w:rPr>
      <w:b/>
    </w:rPr>
  </w:style>
  <w:style w:type="paragraph" w:customStyle="1" w:styleId="blocktext1">
    <w:name w:val="blocktext1"/>
    <w:basedOn w:val="isonormal"/>
    <w:rsid w:val="007C1AB9"/>
    <w:pPr>
      <w:keepLines/>
    </w:pPr>
  </w:style>
  <w:style w:type="paragraph" w:customStyle="1" w:styleId="blocktext10">
    <w:name w:val="blocktext10"/>
    <w:basedOn w:val="isonormal"/>
    <w:rsid w:val="007C1AB9"/>
    <w:pPr>
      <w:keepLines/>
      <w:ind w:left="2700"/>
    </w:pPr>
  </w:style>
  <w:style w:type="paragraph" w:customStyle="1" w:styleId="blocktext2">
    <w:name w:val="blocktext2"/>
    <w:basedOn w:val="isonormal"/>
    <w:rsid w:val="007C1AB9"/>
    <w:pPr>
      <w:keepLines/>
      <w:ind w:left="300"/>
    </w:pPr>
  </w:style>
  <w:style w:type="paragraph" w:customStyle="1" w:styleId="blocktext3">
    <w:name w:val="blocktext3"/>
    <w:basedOn w:val="isonormal"/>
    <w:rsid w:val="007C1AB9"/>
    <w:pPr>
      <w:keepLines/>
      <w:ind w:left="600"/>
    </w:pPr>
  </w:style>
  <w:style w:type="paragraph" w:customStyle="1" w:styleId="blocktext4">
    <w:name w:val="blocktext4"/>
    <w:basedOn w:val="isonormal"/>
    <w:rsid w:val="007C1AB9"/>
    <w:pPr>
      <w:keepLines/>
      <w:ind w:left="900"/>
    </w:pPr>
  </w:style>
  <w:style w:type="paragraph" w:customStyle="1" w:styleId="blocktext5">
    <w:name w:val="blocktext5"/>
    <w:basedOn w:val="isonormal"/>
    <w:rsid w:val="007C1AB9"/>
    <w:pPr>
      <w:keepLines/>
      <w:ind w:left="1200"/>
    </w:pPr>
  </w:style>
  <w:style w:type="paragraph" w:customStyle="1" w:styleId="blocktext6">
    <w:name w:val="blocktext6"/>
    <w:basedOn w:val="isonormal"/>
    <w:rsid w:val="007C1AB9"/>
    <w:pPr>
      <w:keepLines/>
      <w:ind w:left="1500"/>
    </w:pPr>
  </w:style>
  <w:style w:type="paragraph" w:customStyle="1" w:styleId="blocktext7">
    <w:name w:val="blocktext7"/>
    <w:basedOn w:val="isonormal"/>
    <w:rsid w:val="007C1AB9"/>
    <w:pPr>
      <w:keepLines/>
      <w:ind w:left="1800"/>
    </w:pPr>
  </w:style>
  <w:style w:type="paragraph" w:customStyle="1" w:styleId="blocktext8">
    <w:name w:val="blocktext8"/>
    <w:basedOn w:val="isonormal"/>
    <w:rsid w:val="007C1AB9"/>
    <w:pPr>
      <w:keepLines/>
      <w:ind w:left="2100"/>
    </w:pPr>
  </w:style>
  <w:style w:type="paragraph" w:customStyle="1" w:styleId="blocktext9">
    <w:name w:val="blocktext9"/>
    <w:basedOn w:val="isonormal"/>
    <w:rsid w:val="007C1AB9"/>
    <w:pPr>
      <w:keepLines/>
      <w:ind w:left="2400"/>
    </w:pPr>
  </w:style>
  <w:style w:type="paragraph" w:customStyle="1" w:styleId="boxrule">
    <w:name w:val="boxrule"/>
    <w:basedOn w:val="isonormal"/>
    <w:next w:val="blocktext1"/>
    <w:rsid w:val="007C1AB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C1AB9"/>
    <w:pPr>
      <w:jc w:val="center"/>
    </w:pPr>
    <w:rPr>
      <w:b/>
    </w:rPr>
  </w:style>
  <w:style w:type="paragraph" w:customStyle="1" w:styleId="ctoutlinetxt1">
    <w:name w:val="ctoutlinetxt1"/>
    <w:basedOn w:val="isonormal"/>
    <w:rsid w:val="007C1AB9"/>
    <w:pPr>
      <w:keepLines/>
      <w:tabs>
        <w:tab w:val="right" w:pos="360"/>
        <w:tab w:val="left" w:pos="480"/>
      </w:tabs>
      <w:spacing w:before="160"/>
      <w:ind w:left="480" w:hanging="480"/>
    </w:pPr>
  </w:style>
  <w:style w:type="paragraph" w:customStyle="1" w:styleId="ctoutlinetxt2">
    <w:name w:val="ctoutlinetxt2"/>
    <w:basedOn w:val="isonormal"/>
    <w:rsid w:val="007C1AB9"/>
    <w:pPr>
      <w:keepLines/>
      <w:tabs>
        <w:tab w:val="right" w:pos="760"/>
        <w:tab w:val="left" w:pos="880"/>
      </w:tabs>
      <w:ind w:left="880" w:hanging="880"/>
    </w:pPr>
  </w:style>
  <w:style w:type="paragraph" w:customStyle="1" w:styleId="ctoutlinetxt3">
    <w:name w:val="ctoutlinetxt3"/>
    <w:basedOn w:val="isonormal"/>
    <w:rsid w:val="007C1AB9"/>
    <w:pPr>
      <w:tabs>
        <w:tab w:val="right" w:pos="1240"/>
        <w:tab w:val="left" w:pos="1360"/>
      </w:tabs>
      <w:ind w:left="1360" w:hanging="1360"/>
    </w:pPr>
  </w:style>
  <w:style w:type="paragraph" w:customStyle="1" w:styleId="ctoutlinetxt4">
    <w:name w:val="ctoutlinetxt4"/>
    <w:basedOn w:val="isonormal"/>
    <w:rsid w:val="007C1AB9"/>
    <w:pPr>
      <w:keepLines/>
      <w:tabs>
        <w:tab w:val="right" w:pos="1600"/>
        <w:tab w:val="left" w:pos="1720"/>
      </w:tabs>
      <w:ind w:left="1720" w:hanging="1720"/>
    </w:pPr>
  </w:style>
  <w:style w:type="character" w:customStyle="1" w:styleId="formlink">
    <w:name w:val="formlink"/>
    <w:rsid w:val="007C1AB9"/>
    <w:rPr>
      <w:b/>
    </w:rPr>
  </w:style>
  <w:style w:type="paragraph" w:customStyle="1" w:styleId="icblock">
    <w:name w:val="i/cblock"/>
    <w:basedOn w:val="isonormal"/>
    <w:rsid w:val="007C1AB9"/>
    <w:pPr>
      <w:tabs>
        <w:tab w:val="left" w:leader="dot" w:pos="7200"/>
      </w:tabs>
      <w:spacing w:before="0"/>
      <w:jc w:val="left"/>
    </w:pPr>
  </w:style>
  <w:style w:type="paragraph" w:customStyle="1" w:styleId="instructphrase">
    <w:name w:val="instructphrase"/>
    <w:basedOn w:val="isonormal"/>
    <w:next w:val="outlinehd2"/>
    <w:rsid w:val="007C1AB9"/>
  </w:style>
  <w:style w:type="paragraph" w:styleId="MacroText">
    <w:name w:val="macro"/>
    <w:link w:val="MacroTextChar"/>
    <w:rsid w:val="007C1AB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7C1AB9"/>
    <w:rPr>
      <w:rFonts w:ascii="Arial" w:eastAsia="Times New Roman" w:hAnsi="Arial"/>
    </w:rPr>
  </w:style>
  <w:style w:type="paragraph" w:customStyle="1" w:styleId="noboxaddlrule">
    <w:name w:val="noboxaddlrule"/>
    <w:basedOn w:val="isonormal"/>
    <w:next w:val="blocktext1"/>
    <w:rsid w:val="007C1AB9"/>
    <w:pPr>
      <w:keepLines/>
      <w:suppressAutoHyphens/>
      <w:spacing w:before="0"/>
      <w:jc w:val="left"/>
    </w:pPr>
    <w:rPr>
      <w:b/>
    </w:rPr>
  </w:style>
  <w:style w:type="paragraph" w:customStyle="1" w:styleId="outlinehd1">
    <w:name w:val="outlinehd1"/>
    <w:basedOn w:val="isonormal"/>
    <w:next w:val="blocktext2"/>
    <w:rsid w:val="007C1AB9"/>
    <w:pPr>
      <w:keepNext/>
      <w:keepLines/>
      <w:tabs>
        <w:tab w:val="right" w:pos="180"/>
        <w:tab w:val="left" w:pos="300"/>
      </w:tabs>
      <w:ind w:left="300" w:hanging="300"/>
    </w:pPr>
    <w:rPr>
      <w:b/>
    </w:rPr>
  </w:style>
  <w:style w:type="paragraph" w:customStyle="1" w:styleId="outlinehd2">
    <w:name w:val="outlinehd2"/>
    <w:basedOn w:val="isonormal"/>
    <w:next w:val="blocktext3"/>
    <w:rsid w:val="007C1AB9"/>
    <w:pPr>
      <w:keepNext/>
      <w:keepLines/>
      <w:tabs>
        <w:tab w:val="right" w:pos="480"/>
        <w:tab w:val="left" w:pos="600"/>
      </w:tabs>
      <w:ind w:left="600" w:hanging="600"/>
    </w:pPr>
    <w:rPr>
      <w:b/>
    </w:rPr>
  </w:style>
  <w:style w:type="paragraph" w:customStyle="1" w:styleId="outlinehd3">
    <w:name w:val="outlinehd3"/>
    <w:basedOn w:val="isonormal"/>
    <w:next w:val="blocktext4"/>
    <w:rsid w:val="007C1AB9"/>
    <w:pPr>
      <w:keepNext/>
      <w:keepLines/>
      <w:tabs>
        <w:tab w:val="right" w:pos="780"/>
        <w:tab w:val="left" w:pos="900"/>
      </w:tabs>
      <w:ind w:left="900" w:hanging="900"/>
    </w:pPr>
    <w:rPr>
      <w:b/>
    </w:rPr>
  </w:style>
  <w:style w:type="paragraph" w:customStyle="1" w:styleId="outlinehd4">
    <w:name w:val="outlinehd4"/>
    <w:basedOn w:val="isonormal"/>
    <w:next w:val="blocktext5"/>
    <w:rsid w:val="007C1AB9"/>
    <w:pPr>
      <w:keepNext/>
      <w:keepLines/>
      <w:tabs>
        <w:tab w:val="right" w:pos="1080"/>
        <w:tab w:val="left" w:pos="1200"/>
      </w:tabs>
      <w:ind w:left="1200" w:hanging="1200"/>
    </w:pPr>
    <w:rPr>
      <w:b/>
    </w:rPr>
  </w:style>
  <w:style w:type="paragraph" w:customStyle="1" w:styleId="outlinehd5">
    <w:name w:val="outlinehd5"/>
    <w:basedOn w:val="isonormal"/>
    <w:next w:val="blocktext6"/>
    <w:rsid w:val="007C1AB9"/>
    <w:pPr>
      <w:keepNext/>
      <w:keepLines/>
      <w:tabs>
        <w:tab w:val="right" w:pos="1380"/>
        <w:tab w:val="left" w:pos="1500"/>
      </w:tabs>
      <w:ind w:left="1500" w:hanging="1500"/>
    </w:pPr>
    <w:rPr>
      <w:b/>
    </w:rPr>
  </w:style>
  <w:style w:type="paragraph" w:customStyle="1" w:styleId="outlinehd6">
    <w:name w:val="outlinehd6"/>
    <w:basedOn w:val="isonormal"/>
    <w:next w:val="blocktext7"/>
    <w:rsid w:val="007C1AB9"/>
    <w:pPr>
      <w:keepNext/>
      <w:keepLines/>
      <w:tabs>
        <w:tab w:val="right" w:pos="1680"/>
        <w:tab w:val="left" w:pos="1800"/>
      </w:tabs>
      <w:ind w:left="1800" w:hanging="1800"/>
    </w:pPr>
    <w:rPr>
      <w:b/>
    </w:rPr>
  </w:style>
  <w:style w:type="paragraph" w:customStyle="1" w:styleId="outlinehd7">
    <w:name w:val="outlinehd7"/>
    <w:basedOn w:val="isonormal"/>
    <w:next w:val="blocktext8"/>
    <w:rsid w:val="007C1AB9"/>
    <w:pPr>
      <w:keepNext/>
      <w:keepLines/>
      <w:tabs>
        <w:tab w:val="right" w:pos="1980"/>
        <w:tab w:val="left" w:pos="2100"/>
      </w:tabs>
      <w:ind w:left="2100" w:hanging="2100"/>
    </w:pPr>
    <w:rPr>
      <w:b/>
    </w:rPr>
  </w:style>
  <w:style w:type="paragraph" w:customStyle="1" w:styleId="outlinehd8">
    <w:name w:val="outlinehd8"/>
    <w:basedOn w:val="isonormal"/>
    <w:next w:val="blocktext9"/>
    <w:rsid w:val="007C1AB9"/>
    <w:pPr>
      <w:keepNext/>
      <w:keepLines/>
      <w:tabs>
        <w:tab w:val="right" w:pos="2280"/>
        <w:tab w:val="left" w:pos="2400"/>
      </w:tabs>
      <w:ind w:left="2400" w:hanging="2400"/>
    </w:pPr>
    <w:rPr>
      <w:b/>
    </w:rPr>
  </w:style>
  <w:style w:type="paragraph" w:customStyle="1" w:styleId="outlinehd9">
    <w:name w:val="outlinehd9"/>
    <w:basedOn w:val="isonormal"/>
    <w:next w:val="blocktext10"/>
    <w:rsid w:val="007C1AB9"/>
    <w:pPr>
      <w:keepNext/>
      <w:keepLines/>
      <w:tabs>
        <w:tab w:val="right" w:pos="2580"/>
        <w:tab w:val="left" w:pos="2700"/>
      </w:tabs>
      <w:ind w:left="2700" w:hanging="2700"/>
    </w:pPr>
    <w:rPr>
      <w:b/>
    </w:rPr>
  </w:style>
  <w:style w:type="paragraph" w:customStyle="1" w:styleId="outlinetxt1">
    <w:name w:val="outlinetxt1"/>
    <w:basedOn w:val="isonormal"/>
    <w:rsid w:val="007C1AB9"/>
    <w:pPr>
      <w:keepLines/>
      <w:tabs>
        <w:tab w:val="right" w:pos="180"/>
        <w:tab w:val="left" w:pos="300"/>
      </w:tabs>
      <w:ind w:left="300" w:hanging="300"/>
    </w:pPr>
  </w:style>
  <w:style w:type="paragraph" w:customStyle="1" w:styleId="outlinetxt2">
    <w:name w:val="outlinetxt2"/>
    <w:basedOn w:val="isonormal"/>
    <w:rsid w:val="007C1AB9"/>
    <w:pPr>
      <w:keepLines/>
      <w:tabs>
        <w:tab w:val="right" w:pos="480"/>
        <w:tab w:val="left" w:pos="600"/>
      </w:tabs>
      <w:ind w:left="600" w:hanging="600"/>
    </w:pPr>
  </w:style>
  <w:style w:type="paragraph" w:customStyle="1" w:styleId="outlinetxt3">
    <w:name w:val="outlinetxt3"/>
    <w:basedOn w:val="isonormal"/>
    <w:rsid w:val="007C1AB9"/>
    <w:pPr>
      <w:keepLines/>
      <w:tabs>
        <w:tab w:val="right" w:pos="780"/>
        <w:tab w:val="left" w:pos="900"/>
      </w:tabs>
      <w:ind w:left="900" w:hanging="900"/>
    </w:pPr>
  </w:style>
  <w:style w:type="paragraph" w:customStyle="1" w:styleId="outlinetxt4">
    <w:name w:val="outlinetxt4"/>
    <w:basedOn w:val="isonormal"/>
    <w:rsid w:val="007C1AB9"/>
    <w:pPr>
      <w:keepLines/>
      <w:tabs>
        <w:tab w:val="right" w:pos="1080"/>
        <w:tab w:val="left" w:pos="1200"/>
      </w:tabs>
      <w:ind w:left="1200" w:hanging="1200"/>
    </w:pPr>
  </w:style>
  <w:style w:type="paragraph" w:customStyle="1" w:styleId="outlinetxt5">
    <w:name w:val="outlinetxt5"/>
    <w:basedOn w:val="isonormal"/>
    <w:rsid w:val="007C1AB9"/>
    <w:pPr>
      <w:keepLines/>
      <w:tabs>
        <w:tab w:val="right" w:pos="1380"/>
        <w:tab w:val="left" w:pos="1500"/>
      </w:tabs>
      <w:ind w:left="1500" w:hanging="1500"/>
    </w:pPr>
  </w:style>
  <w:style w:type="paragraph" w:customStyle="1" w:styleId="outlinetxt6">
    <w:name w:val="outlinetxt6"/>
    <w:basedOn w:val="isonormal"/>
    <w:rsid w:val="007C1AB9"/>
    <w:pPr>
      <w:keepLines/>
      <w:tabs>
        <w:tab w:val="right" w:pos="1680"/>
        <w:tab w:val="left" w:pos="1800"/>
      </w:tabs>
      <w:ind w:left="1800" w:hanging="1800"/>
    </w:pPr>
  </w:style>
  <w:style w:type="paragraph" w:customStyle="1" w:styleId="outlinetxt7">
    <w:name w:val="outlinetxt7"/>
    <w:basedOn w:val="isonormal"/>
    <w:rsid w:val="007C1AB9"/>
    <w:pPr>
      <w:keepLines/>
      <w:tabs>
        <w:tab w:val="right" w:pos="1980"/>
        <w:tab w:val="left" w:pos="2100"/>
      </w:tabs>
      <w:ind w:left="2100" w:hanging="2100"/>
    </w:pPr>
  </w:style>
  <w:style w:type="paragraph" w:customStyle="1" w:styleId="outlinetxt8">
    <w:name w:val="outlinetxt8"/>
    <w:basedOn w:val="isonormal"/>
    <w:rsid w:val="007C1AB9"/>
    <w:pPr>
      <w:keepLines/>
      <w:tabs>
        <w:tab w:val="right" w:pos="2280"/>
        <w:tab w:val="left" w:pos="2400"/>
      </w:tabs>
      <w:ind w:left="2400" w:hanging="2400"/>
    </w:pPr>
  </w:style>
  <w:style w:type="paragraph" w:customStyle="1" w:styleId="outlinetxt9">
    <w:name w:val="outlinetxt9"/>
    <w:basedOn w:val="isonormal"/>
    <w:rsid w:val="007C1AB9"/>
    <w:pPr>
      <w:keepLines/>
      <w:tabs>
        <w:tab w:val="right" w:pos="2580"/>
        <w:tab w:val="left" w:pos="2700"/>
      </w:tabs>
      <w:ind w:left="2700" w:hanging="2700"/>
    </w:pPr>
  </w:style>
  <w:style w:type="character" w:styleId="PageNumber">
    <w:name w:val="page number"/>
    <w:basedOn w:val="DefaultParagraphFont"/>
    <w:rsid w:val="007C1AB9"/>
  </w:style>
  <w:style w:type="character" w:customStyle="1" w:styleId="rulelink">
    <w:name w:val="rulelink"/>
    <w:rsid w:val="007C1AB9"/>
    <w:rPr>
      <w:b/>
    </w:rPr>
  </w:style>
  <w:style w:type="paragraph" w:styleId="Signature">
    <w:name w:val="Signature"/>
    <w:basedOn w:val="Normal"/>
    <w:link w:val="SignatureChar"/>
    <w:rsid w:val="007C1AB9"/>
    <w:pPr>
      <w:ind w:left="4320"/>
    </w:pPr>
  </w:style>
  <w:style w:type="character" w:customStyle="1" w:styleId="SignatureChar">
    <w:name w:val="Signature Char"/>
    <w:link w:val="Signature"/>
    <w:rsid w:val="007C1AB9"/>
    <w:rPr>
      <w:rFonts w:ascii="Times New Roman" w:eastAsia="Times New Roman" w:hAnsi="Times New Roman"/>
      <w:sz w:val="24"/>
    </w:rPr>
  </w:style>
  <w:style w:type="paragraph" w:customStyle="1" w:styleId="space2">
    <w:name w:val="space2"/>
    <w:basedOn w:val="isonormal"/>
    <w:next w:val="isonormal"/>
    <w:rsid w:val="007C1AB9"/>
    <w:pPr>
      <w:spacing w:before="0" w:line="40" w:lineRule="exact"/>
    </w:pPr>
  </w:style>
  <w:style w:type="paragraph" w:customStyle="1" w:styleId="space4">
    <w:name w:val="space4"/>
    <w:basedOn w:val="isonormal"/>
    <w:next w:val="isonormal"/>
    <w:rsid w:val="007C1AB9"/>
    <w:pPr>
      <w:spacing w:before="0" w:line="80" w:lineRule="exact"/>
    </w:pPr>
  </w:style>
  <w:style w:type="paragraph" w:customStyle="1" w:styleId="space8">
    <w:name w:val="space8"/>
    <w:basedOn w:val="isonormal"/>
    <w:next w:val="isonormal"/>
    <w:rsid w:val="007C1AB9"/>
    <w:pPr>
      <w:spacing w:before="0" w:line="160" w:lineRule="exact"/>
    </w:pPr>
  </w:style>
  <w:style w:type="character" w:customStyle="1" w:styleId="spotlinksource">
    <w:name w:val="spotlinksource"/>
    <w:rsid w:val="007C1AB9"/>
    <w:rPr>
      <w:b/>
    </w:rPr>
  </w:style>
  <w:style w:type="character" w:customStyle="1" w:styleId="spotlinktarget">
    <w:name w:val="spotlinktarget"/>
    <w:rsid w:val="007C1AB9"/>
    <w:rPr>
      <w:b/>
    </w:rPr>
  </w:style>
  <w:style w:type="paragraph" w:customStyle="1" w:styleId="subcap">
    <w:name w:val="subcap"/>
    <w:basedOn w:val="isonormal"/>
    <w:rsid w:val="007C1AB9"/>
    <w:pPr>
      <w:keepLines/>
      <w:suppressAutoHyphens/>
      <w:spacing w:before="0" w:line="200" w:lineRule="exact"/>
      <w:jc w:val="left"/>
    </w:pPr>
    <w:rPr>
      <w:b/>
      <w:caps/>
    </w:rPr>
  </w:style>
  <w:style w:type="paragraph" w:customStyle="1" w:styleId="subcap2">
    <w:name w:val="subcap2"/>
    <w:basedOn w:val="isonormal"/>
    <w:rsid w:val="007C1AB9"/>
    <w:pPr>
      <w:spacing w:before="0" w:line="200" w:lineRule="exact"/>
      <w:jc w:val="left"/>
    </w:pPr>
    <w:rPr>
      <w:b/>
    </w:rPr>
  </w:style>
  <w:style w:type="paragraph" w:styleId="Subtitle">
    <w:name w:val="Subtitle"/>
    <w:basedOn w:val="Normal"/>
    <w:link w:val="SubtitleChar"/>
    <w:qFormat/>
    <w:rsid w:val="007C1AB9"/>
    <w:pPr>
      <w:spacing w:after="60"/>
      <w:jc w:val="center"/>
    </w:pPr>
    <w:rPr>
      <w:i/>
    </w:rPr>
  </w:style>
  <w:style w:type="character" w:customStyle="1" w:styleId="SubtitleChar">
    <w:name w:val="Subtitle Char"/>
    <w:link w:val="Subtitle"/>
    <w:rsid w:val="007C1AB9"/>
    <w:rPr>
      <w:rFonts w:ascii="Times New Roman" w:eastAsia="Times New Roman" w:hAnsi="Times New Roman"/>
      <w:i/>
      <w:sz w:val="24"/>
    </w:rPr>
  </w:style>
  <w:style w:type="table" w:styleId="TableGrid">
    <w:name w:val="Table Grid"/>
    <w:basedOn w:val="TableNormal"/>
    <w:rsid w:val="007C1AB9"/>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C1AB9"/>
    <w:pPr>
      <w:tabs>
        <w:tab w:val="right" w:leader="dot" w:pos="10080"/>
      </w:tabs>
      <w:ind w:left="180" w:hanging="180"/>
    </w:pPr>
  </w:style>
  <w:style w:type="paragraph" w:styleId="TableofFigures">
    <w:name w:val="table of figures"/>
    <w:basedOn w:val="Normal"/>
    <w:next w:val="Normal"/>
    <w:rsid w:val="007C1AB9"/>
    <w:pPr>
      <w:tabs>
        <w:tab w:val="right" w:leader="dot" w:pos="4680"/>
      </w:tabs>
      <w:ind w:left="360" w:hanging="360"/>
    </w:pPr>
  </w:style>
  <w:style w:type="paragraph" w:customStyle="1" w:styleId="table2text04">
    <w:name w:val="table2text0/4"/>
    <w:basedOn w:val="isonormal"/>
    <w:rsid w:val="007C1AB9"/>
    <w:pPr>
      <w:suppressAutoHyphens/>
      <w:spacing w:before="0" w:after="80"/>
      <w:ind w:left="240"/>
      <w:jc w:val="left"/>
    </w:pPr>
  </w:style>
  <w:style w:type="paragraph" w:customStyle="1" w:styleId="table2text44">
    <w:name w:val="table2text4/4"/>
    <w:basedOn w:val="isonormal"/>
    <w:rsid w:val="007C1AB9"/>
    <w:pPr>
      <w:spacing w:after="80"/>
      <w:ind w:left="240"/>
      <w:jc w:val="left"/>
    </w:pPr>
  </w:style>
  <w:style w:type="paragraph" w:customStyle="1" w:styleId="table3text04">
    <w:name w:val="table3text0/4"/>
    <w:basedOn w:val="isonormal"/>
    <w:next w:val="table2text04"/>
    <w:rsid w:val="007C1AB9"/>
    <w:pPr>
      <w:suppressAutoHyphens/>
      <w:spacing w:before="0" w:after="80"/>
      <w:ind w:left="480"/>
      <w:jc w:val="left"/>
    </w:pPr>
  </w:style>
  <w:style w:type="paragraph" w:customStyle="1" w:styleId="table4text04">
    <w:name w:val="table4text0/4"/>
    <w:basedOn w:val="isonormal"/>
    <w:autoRedefine/>
    <w:rsid w:val="007C1AB9"/>
    <w:pPr>
      <w:suppressAutoHyphens/>
      <w:spacing w:before="0" w:after="80"/>
      <w:ind w:left="720"/>
      <w:jc w:val="left"/>
    </w:pPr>
  </w:style>
  <w:style w:type="paragraph" w:customStyle="1" w:styleId="tablecaption">
    <w:name w:val="tablecaption"/>
    <w:basedOn w:val="isonormal"/>
    <w:rsid w:val="007C1AB9"/>
    <w:pPr>
      <w:jc w:val="left"/>
    </w:pPr>
    <w:rPr>
      <w:b/>
    </w:rPr>
  </w:style>
  <w:style w:type="character" w:customStyle="1" w:styleId="tablelink">
    <w:name w:val="tablelink"/>
    <w:rsid w:val="007C1AB9"/>
    <w:rPr>
      <w:b/>
    </w:rPr>
  </w:style>
  <w:style w:type="paragraph" w:customStyle="1" w:styleId="tabletext00">
    <w:name w:val="tabletext0/0"/>
    <w:basedOn w:val="isonormal"/>
    <w:rsid w:val="007C1AB9"/>
    <w:pPr>
      <w:spacing w:before="0"/>
      <w:jc w:val="left"/>
    </w:pPr>
  </w:style>
  <w:style w:type="paragraph" w:customStyle="1" w:styleId="tabletext01">
    <w:name w:val="tabletext0/1"/>
    <w:basedOn w:val="isonormal"/>
    <w:rsid w:val="007C1AB9"/>
    <w:pPr>
      <w:spacing w:before="0" w:after="20"/>
      <w:jc w:val="left"/>
    </w:pPr>
  </w:style>
  <w:style w:type="paragraph" w:customStyle="1" w:styleId="tabletext10">
    <w:name w:val="tabletext1/0"/>
    <w:basedOn w:val="isonormal"/>
    <w:rsid w:val="007C1AB9"/>
    <w:pPr>
      <w:spacing w:before="20"/>
      <w:jc w:val="left"/>
    </w:pPr>
  </w:style>
  <w:style w:type="paragraph" w:customStyle="1" w:styleId="tabletext40">
    <w:name w:val="tabletext4/0"/>
    <w:basedOn w:val="isonormal"/>
    <w:rsid w:val="007C1AB9"/>
    <w:pPr>
      <w:jc w:val="left"/>
    </w:pPr>
  </w:style>
  <w:style w:type="paragraph" w:customStyle="1" w:styleId="tabletext44">
    <w:name w:val="tabletext4/4"/>
    <w:basedOn w:val="isonormal"/>
    <w:rsid w:val="007C1AB9"/>
    <w:pPr>
      <w:spacing w:after="80"/>
      <w:jc w:val="left"/>
    </w:pPr>
  </w:style>
  <w:style w:type="paragraph" w:customStyle="1" w:styleId="terr2colblock1">
    <w:name w:val="terr2colblock1"/>
    <w:basedOn w:val="isonormal"/>
    <w:rsid w:val="007C1AB9"/>
    <w:pPr>
      <w:tabs>
        <w:tab w:val="left" w:leader="dot" w:pos="4240"/>
      </w:tabs>
      <w:spacing w:before="0"/>
      <w:jc w:val="left"/>
    </w:pPr>
  </w:style>
  <w:style w:type="paragraph" w:customStyle="1" w:styleId="terr2colblock2">
    <w:name w:val="terr2colblock2"/>
    <w:basedOn w:val="isonormal"/>
    <w:rsid w:val="007C1AB9"/>
    <w:pPr>
      <w:tabs>
        <w:tab w:val="left" w:leader="dot" w:pos="4240"/>
      </w:tabs>
      <w:spacing w:before="0"/>
      <w:ind w:left="80"/>
      <w:jc w:val="left"/>
    </w:pPr>
  </w:style>
  <w:style w:type="paragraph" w:customStyle="1" w:styleId="terr2colblock3">
    <w:name w:val="terr2colblock3"/>
    <w:basedOn w:val="isonormal"/>
    <w:rsid w:val="007C1AB9"/>
    <w:pPr>
      <w:tabs>
        <w:tab w:val="left" w:leader="dot" w:pos="4240"/>
      </w:tabs>
      <w:spacing w:before="0"/>
      <w:ind w:left="160"/>
      <w:jc w:val="left"/>
    </w:pPr>
  </w:style>
  <w:style w:type="paragraph" w:customStyle="1" w:styleId="terr2colblock4">
    <w:name w:val="terr2colblock4"/>
    <w:basedOn w:val="isonormal"/>
    <w:rsid w:val="007C1AB9"/>
    <w:pPr>
      <w:tabs>
        <w:tab w:val="left" w:leader="dot" w:pos="4240"/>
      </w:tabs>
      <w:spacing w:before="0"/>
      <w:ind w:left="320"/>
      <w:jc w:val="left"/>
    </w:pPr>
  </w:style>
  <w:style w:type="paragraph" w:customStyle="1" w:styleId="terr2colhang">
    <w:name w:val="terr2colhang"/>
    <w:basedOn w:val="isonormal"/>
    <w:rsid w:val="007C1AB9"/>
    <w:pPr>
      <w:tabs>
        <w:tab w:val="left" w:leader="dot" w:pos="4240"/>
      </w:tabs>
      <w:spacing w:before="0"/>
      <w:ind w:left="160" w:hanging="160"/>
      <w:jc w:val="left"/>
    </w:pPr>
  </w:style>
  <w:style w:type="paragraph" w:customStyle="1" w:styleId="terr3colblock1">
    <w:name w:val="terr3colblock1"/>
    <w:basedOn w:val="isonormal"/>
    <w:rsid w:val="007C1AB9"/>
    <w:pPr>
      <w:tabs>
        <w:tab w:val="left" w:leader="dot" w:pos="2500"/>
      </w:tabs>
      <w:spacing w:before="0"/>
      <w:jc w:val="left"/>
    </w:pPr>
  </w:style>
  <w:style w:type="paragraph" w:customStyle="1" w:styleId="terr3colhang">
    <w:name w:val="terr3colhang"/>
    <w:basedOn w:val="isonormal"/>
    <w:rsid w:val="007C1AB9"/>
    <w:pPr>
      <w:tabs>
        <w:tab w:val="left" w:leader="dot" w:pos="2500"/>
      </w:tabs>
      <w:spacing w:before="0"/>
      <w:ind w:left="160" w:hanging="160"/>
      <w:jc w:val="left"/>
    </w:pPr>
  </w:style>
  <w:style w:type="paragraph" w:customStyle="1" w:styleId="terrtoc">
    <w:name w:val="terrtoc"/>
    <w:basedOn w:val="isonormal"/>
    <w:rsid w:val="007C1AB9"/>
    <w:pPr>
      <w:spacing w:before="50" w:after="50"/>
      <w:jc w:val="center"/>
    </w:pPr>
    <w:rPr>
      <w:b/>
    </w:rPr>
  </w:style>
  <w:style w:type="paragraph" w:customStyle="1" w:styleId="toc4outlinehd3">
    <w:name w:val="toc4outlinehd3"/>
    <w:basedOn w:val="outlinehd3"/>
    <w:next w:val="blocktext4"/>
    <w:rsid w:val="007C1AB9"/>
  </w:style>
  <w:style w:type="paragraph" w:customStyle="1" w:styleId="tabletext1">
    <w:name w:val="tabletext1"/>
    <w:rsid w:val="007C1AB9"/>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7C1AB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7C1AB9"/>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7C1AB9"/>
    <w:pPr>
      <w:tabs>
        <w:tab w:val="left" w:leader="dot" w:pos="7200"/>
      </w:tabs>
      <w:spacing w:before="0" w:line="180" w:lineRule="exact"/>
      <w:ind w:left="200" w:hanging="200"/>
      <w:jc w:val="left"/>
    </w:pPr>
  </w:style>
  <w:style w:type="paragraph" w:customStyle="1" w:styleId="FilingHeader">
    <w:name w:val="Filing Header"/>
    <w:basedOn w:val="isonormal"/>
    <w:rsid w:val="007C1AB9"/>
    <w:pPr>
      <w:spacing w:before="0" w:line="240" w:lineRule="auto"/>
      <w:jc w:val="left"/>
    </w:pPr>
    <w:rPr>
      <w:sz w:val="20"/>
    </w:rPr>
  </w:style>
  <w:style w:type="paragraph" w:customStyle="1" w:styleId="FilingFooter">
    <w:name w:val="Filing Footer"/>
    <w:basedOn w:val="isonormal"/>
    <w:rsid w:val="007C1AB9"/>
    <w:pPr>
      <w:spacing w:line="240" w:lineRule="auto"/>
      <w:jc w:val="left"/>
    </w:pPr>
    <w:rPr>
      <w:sz w:val="16"/>
    </w:rPr>
  </w:style>
  <w:style w:type="paragraph" w:customStyle="1" w:styleId="EMheading1">
    <w:name w:val="EM heading 1"/>
    <w:basedOn w:val="isonormal"/>
    <w:next w:val="isonormal"/>
    <w:rsid w:val="007C1AB9"/>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C1AB9"/>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C1AB9"/>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C1AB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C1AB9"/>
    <w:pPr>
      <w:keepLines/>
      <w:tabs>
        <w:tab w:val="right" w:pos="480"/>
        <w:tab w:val="left" w:pos="600"/>
      </w:tabs>
      <w:ind w:left="600" w:hanging="600"/>
    </w:pPr>
    <w:rPr>
      <w:b/>
    </w:rPr>
  </w:style>
  <w:style w:type="character" w:customStyle="1" w:styleId="NotocOutlinehd2Char">
    <w:name w:val="NotocOutlinehd2 Char"/>
    <w:link w:val="NotocOutlinehd2"/>
    <w:locked/>
    <w:rsid w:val="007C1AB9"/>
    <w:rPr>
      <w:rFonts w:ascii="Arial" w:eastAsia="Times New Roman" w:hAnsi="Arial"/>
      <w:b/>
      <w:sz w:val="18"/>
    </w:rPr>
  </w:style>
  <w:style w:type="paragraph" w:customStyle="1" w:styleId="NotocOutlinetxt2">
    <w:name w:val="NotocOutlinetxt2"/>
    <w:basedOn w:val="isonormal"/>
    <w:rsid w:val="007C1AB9"/>
    <w:pPr>
      <w:keepLines/>
      <w:tabs>
        <w:tab w:val="right" w:pos="480"/>
        <w:tab w:val="left" w:pos="600"/>
      </w:tabs>
      <w:ind w:left="600" w:hanging="600"/>
    </w:pPr>
  </w:style>
  <w:style w:type="paragraph" w:customStyle="1" w:styleId="Notocsubcap">
    <w:name w:val="Notocsubcap"/>
    <w:basedOn w:val="isonormal"/>
    <w:rsid w:val="007C1AB9"/>
    <w:pPr>
      <w:keepLines/>
      <w:suppressAutoHyphens/>
      <w:spacing w:before="0" w:line="200" w:lineRule="exact"/>
      <w:jc w:val="left"/>
    </w:pPr>
    <w:rPr>
      <w:b/>
      <w:caps/>
    </w:rPr>
  </w:style>
  <w:style w:type="paragraph" w:customStyle="1" w:styleId="terrver">
    <w:name w:val="terrver"/>
    <w:basedOn w:val="isonormal"/>
    <w:qFormat/>
    <w:rsid w:val="007C1AB9"/>
    <w:pPr>
      <w:spacing w:before="20" w:after="20"/>
      <w:jc w:val="center"/>
    </w:pPr>
    <w:rPr>
      <w:rFonts w:cs="Arial"/>
      <w:szCs w:val="18"/>
    </w:rPr>
  </w:style>
  <w:style w:type="paragraph" w:customStyle="1" w:styleId="subcap3">
    <w:name w:val="subcap3"/>
    <w:basedOn w:val="subcap"/>
    <w:rsid w:val="007C1AB9"/>
  </w:style>
  <w:style w:type="paragraph" w:customStyle="1" w:styleId="spacesingle">
    <w:name w:val="spacesingle"/>
    <w:basedOn w:val="isonormal"/>
    <w:next w:val="isonormal"/>
    <w:rsid w:val="007C1AB9"/>
    <w:pPr>
      <w:spacing w:line="240" w:lineRule="auto"/>
    </w:pPr>
  </w:style>
  <w:style w:type="paragraph" w:customStyle="1" w:styleId="EMheader">
    <w:name w:val="EM header"/>
    <w:basedOn w:val="Normal"/>
    <w:rsid w:val="000C04ED"/>
    <w:pPr>
      <w:spacing w:before="0" w:line="240" w:lineRule="auto"/>
      <w:jc w:val="lef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LI-CF-2023-051 - 004 -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2023-04-11T04:00:00+00:00</Date_x0020_Modified>
    <CircularDate xmlns="a86cc342-0045-41e2-80e9-abdb777d2eca">2023-04-27T04:00:00+00:00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announces the submission of multistate earthquake rules revisions in Division 5 – Commercial Property of the Commercial Lines Manual (CLM). Filing ID: CF-2023-REQRU Proposed Effective Date: 8/1/2023 Caution: Not yet implemented</KeyMessage>
    <CircularNumber xmlns="a86cc342-0045-41e2-80e9-abdb777d2eca">LI-CF-2023-051</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3</Sequence>
    <ServiceModuleString xmlns="a86cc342-0045-41e2-80e9-abdb777d2eca">Rules;</ServiceModuleString>
    <CircId xmlns="a86cc342-0045-41e2-80e9-abdb777d2eca">37922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COMMERCIAL PROPERTY MULTISTATE EARTHQUAKE RULES REVISION BEING SUBMITTED</CircularTitle>
    <Jurs xmlns="a86cc342-0045-41e2-80e9-abdb777d2eca">
      <Value>2</Value>
      <Value>1</Value>
      <Value>4</Value>
      <Value>3</Value>
      <Value>5</Value>
      <Value>6</Value>
      <Value>7</Value>
      <Value>9</Value>
      <Value>8</Value>
      <Value>10</Value>
      <Value>11</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42</Value>
      <Value>43</Value>
      <Value>44</Value>
      <Value>45</Value>
      <Value>46</Value>
      <Value>48</Value>
      <Value>50</Value>
      <Value>49</Value>
      <Value>51</Value>
      <Value>53</Value>
      <Value>52</Value>
      <Value>54</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8F18B7-D5C1-474E-BB07-0831EC23E173}"/>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8AE37E60-611F-4330-8DA5-B2B0318E687E}"/>
</file>

<file path=customXml/itemProps4.xml><?xml version="1.0" encoding="utf-8"?>
<ds:datastoreItem xmlns:ds="http://schemas.openxmlformats.org/officeDocument/2006/customXml" ds:itemID="{D654F890-7B7C-4CEB-93DD-34317CE37237}"/>
</file>

<file path=docProps/app.xml><?xml version="1.0" encoding="utf-8"?>
<Properties xmlns="http://schemas.openxmlformats.org/officeDocument/2006/extended-properties" xmlns:vt="http://schemas.openxmlformats.org/officeDocument/2006/docPropsVTypes">
  <Template>ManualsAddinAuto.dotm</Template>
  <TotalTime>1</TotalTime>
  <Pages>10</Pages>
  <Words>4885</Words>
  <Characters>26552</Characters>
  <Application>Microsoft Office Word</Application>
  <DocSecurity>0</DocSecurity>
  <Lines>695</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2023-04-11T19:08:00Z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