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CF765" w14:textId="649C4DBE" w:rsidR="0033584C" w:rsidRDefault="00B51AC0" w:rsidP="00B51AC0">
      <w:pPr>
        <w:pStyle w:val="FilingHeader"/>
        <w:jc w:val="center"/>
        <w:rPr>
          <w:b/>
          <w:bCs/>
        </w:rPr>
      </w:pPr>
      <w:r w:rsidRPr="00B51AC0">
        <w:rPr>
          <w:b/>
          <w:bCs/>
        </w:rPr>
        <w:t xml:space="preserve">DIVISION SIX – GENERAL LIABILITY </w:t>
      </w:r>
    </w:p>
    <w:p w14:paraId="6C877833" w14:textId="77777777" w:rsidR="00B51AC0" w:rsidRPr="00B51AC0" w:rsidRDefault="00B51AC0" w:rsidP="00B51AC0">
      <w:pPr>
        <w:pStyle w:val="FilingHeader"/>
        <w:jc w:val="center"/>
        <w:rPr>
          <w:b/>
          <w:bCs/>
        </w:rPr>
      </w:pPr>
    </w:p>
    <w:p w14:paraId="5E79E84A" w14:textId="77777777" w:rsidR="0033584C" w:rsidRPr="00DB63C4" w:rsidRDefault="0033584C" w:rsidP="0033584C">
      <w:pPr>
        <w:pStyle w:val="boxrule"/>
      </w:pPr>
      <w:bookmarkStart w:id="0" w:name="_Hlk170741849"/>
      <w:r w:rsidRPr="00DB63C4">
        <w:t>45.  LIQUOR LIABILITY COVERAGE (Subline Code 332)</w:t>
      </w:r>
    </w:p>
    <w:p w14:paraId="05D14444" w14:textId="77777777" w:rsidR="0033584C" w:rsidRPr="00DB63C4" w:rsidRDefault="0033584C" w:rsidP="0033584C">
      <w:pPr>
        <w:pStyle w:val="blocktext1"/>
      </w:pPr>
      <w:r w:rsidRPr="00DB63C4">
        <w:t xml:space="preserve">Paragraph </w:t>
      </w:r>
      <w:r w:rsidRPr="00DB63C4">
        <w:rPr>
          <w:b/>
        </w:rPr>
        <w:t>B.3.c</w:t>
      </w:r>
      <w:r w:rsidRPr="00DB63C4">
        <w:rPr>
          <w:b/>
          <w:bCs/>
        </w:rPr>
        <w:t>.</w:t>
      </w:r>
      <w:r w:rsidRPr="00DB63C4">
        <w:t xml:space="preserve"> is replaced by the following:</w:t>
      </w:r>
    </w:p>
    <w:p w14:paraId="48348EF6" w14:textId="77777777" w:rsidR="0033584C" w:rsidRPr="00DB63C4" w:rsidRDefault="0033584C" w:rsidP="0033584C">
      <w:pPr>
        <w:pStyle w:val="outlinetxt4"/>
      </w:pPr>
      <w:r w:rsidRPr="00DB63C4">
        <w:rPr>
          <w:b/>
        </w:rPr>
        <w:tab/>
        <w:t>c.</w:t>
      </w:r>
      <w:r w:rsidRPr="00DB63C4">
        <w:rPr>
          <w:b/>
        </w:rPr>
        <w:tab/>
      </w:r>
      <w:r w:rsidRPr="00DB63C4">
        <w:t>Refer to mandatory state endorsements:</w:t>
      </w:r>
    </w:p>
    <w:p w14:paraId="235D5E4B" w14:textId="77777777" w:rsidR="0033584C" w:rsidRPr="00DB63C4" w:rsidRDefault="0033584C" w:rsidP="0033584C">
      <w:pPr>
        <w:pStyle w:val="outlinetxt5"/>
      </w:pPr>
      <w:r w:rsidRPr="00DB63C4">
        <w:rPr>
          <w:b/>
        </w:rPr>
        <w:tab/>
        <w:t>(1)</w:t>
      </w:r>
      <w:r w:rsidRPr="00DB63C4">
        <w:rPr>
          <w:b/>
        </w:rPr>
        <w:tab/>
      </w:r>
      <w:r w:rsidRPr="00DB63C4">
        <w:t xml:space="preserve">Oklahoma Notice Endorsement </w:t>
      </w:r>
      <w:r w:rsidRPr="00DB63C4">
        <w:rPr>
          <w:rStyle w:val="formlink"/>
        </w:rPr>
        <w:t>IL 01 79</w:t>
      </w:r>
      <w:r w:rsidRPr="00DB63C4">
        <w:rPr>
          <w:b/>
        </w:rPr>
        <w:t>.</w:t>
      </w:r>
    </w:p>
    <w:p w14:paraId="4FF71E70" w14:textId="77777777" w:rsidR="0033584C" w:rsidRPr="00DB63C4" w:rsidRDefault="0033584C" w:rsidP="0033584C">
      <w:pPr>
        <w:pStyle w:val="outlinetxt5"/>
      </w:pPr>
      <w:r w:rsidRPr="00DB63C4">
        <w:rPr>
          <w:b/>
        </w:rPr>
        <w:tab/>
        <w:t>(2)</w:t>
      </w:r>
      <w:r w:rsidRPr="00DB63C4">
        <w:rPr>
          <w:b/>
        </w:rPr>
        <w:tab/>
      </w:r>
      <w:r w:rsidRPr="00DB63C4">
        <w:t xml:space="preserve">Oklahoma Changes </w:t>
      </w:r>
      <w:r w:rsidRPr="00DB63C4">
        <w:rPr>
          <w:rFonts w:cs="Arial"/>
        </w:rPr>
        <w:t>–</w:t>
      </w:r>
      <w:r w:rsidRPr="00DB63C4">
        <w:t xml:space="preserve"> Cancellation And Nonrenewal Endorsement </w:t>
      </w:r>
      <w:r w:rsidRPr="00DB63C4">
        <w:rPr>
          <w:rStyle w:val="formlink"/>
        </w:rPr>
        <w:t>IL 02 36</w:t>
      </w:r>
      <w:r w:rsidRPr="00DB63C4">
        <w:rPr>
          <w:b/>
        </w:rPr>
        <w:t>.</w:t>
      </w:r>
    </w:p>
    <w:p w14:paraId="56579B8F" w14:textId="77777777" w:rsidR="0033584C" w:rsidRPr="00DB63C4" w:rsidRDefault="0033584C" w:rsidP="0033584C">
      <w:pPr>
        <w:pStyle w:val="outlinetxt5"/>
        <w:rPr>
          <w:bCs/>
        </w:rPr>
      </w:pPr>
      <w:r w:rsidRPr="00DB63C4">
        <w:rPr>
          <w:b/>
          <w:bCs/>
        </w:rPr>
        <w:tab/>
        <w:t>(3)</w:t>
      </w:r>
      <w:r w:rsidRPr="00DB63C4">
        <w:rPr>
          <w:b/>
          <w:bCs/>
        </w:rPr>
        <w:tab/>
      </w:r>
      <w:r w:rsidRPr="00DB63C4">
        <w:rPr>
          <w:bCs/>
        </w:rPr>
        <w:t xml:space="preserve">Oklahoma Changes </w:t>
      </w:r>
      <w:r w:rsidRPr="00DB63C4">
        <w:rPr>
          <w:rFonts w:cs="Arial"/>
          <w:bCs/>
        </w:rPr>
        <w:t>–</w:t>
      </w:r>
      <w:r w:rsidRPr="00DB63C4">
        <w:rPr>
          <w:bCs/>
        </w:rPr>
        <w:t xml:space="preserve"> Your Right To Claim And Injury Information Endorsement </w:t>
      </w:r>
      <w:r w:rsidRPr="00DB63C4">
        <w:rPr>
          <w:rStyle w:val="formlink"/>
        </w:rPr>
        <w:t>CG 27 48</w:t>
      </w:r>
      <w:r w:rsidRPr="00DB63C4">
        <w:rPr>
          <w:bCs/>
        </w:rPr>
        <w:t xml:space="preserve"> </w:t>
      </w:r>
      <w:r w:rsidRPr="00DB63C4">
        <w:t>(</w:t>
      </w:r>
      <w:r w:rsidRPr="00DB63C4">
        <w:rPr>
          <w:bCs/>
        </w:rPr>
        <w:t>Claims-made Only).</w:t>
      </w:r>
    </w:p>
    <w:p w14:paraId="79F793DD" w14:textId="77777777" w:rsidR="0033584C" w:rsidRPr="00DB63C4" w:rsidRDefault="0033584C" w:rsidP="0033584C">
      <w:pPr>
        <w:pStyle w:val="blocktext1"/>
      </w:pPr>
      <w:r w:rsidRPr="00DB63C4">
        <w:t xml:space="preserve">Paragraph </w:t>
      </w:r>
      <w:r w:rsidRPr="00DB63C4">
        <w:rPr>
          <w:b/>
        </w:rPr>
        <w:t>G.5.</w:t>
      </w:r>
      <w:r w:rsidRPr="00DB63C4">
        <w:t xml:space="preserve"> is replaced by the following:</w:t>
      </w:r>
    </w:p>
    <w:p w14:paraId="29F07A1A" w14:textId="77777777" w:rsidR="0033584C" w:rsidRPr="00DB63C4" w:rsidRDefault="0033584C" w:rsidP="0033584C">
      <w:pPr>
        <w:pStyle w:val="outlinehd2"/>
      </w:pPr>
      <w:r w:rsidRPr="00DB63C4">
        <w:tab/>
        <w:t>G.</w:t>
      </w:r>
      <w:r w:rsidRPr="00DB63C4">
        <w:tab/>
        <w:t>Liquor Liability Grades</w:t>
      </w:r>
    </w:p>
    <w:p w14:paraId="0988F1D1" w14:textId="77777777" w:rsidR="0033584C" w:rsidRPr="00DB63C4" w:rsidRDefault="0033584C" w:rsidP="0033584C">
      <w:pPr>
        <w:pStyle w:val="outlinetxt3"/>
      </w:pPr>
      <w:r w:rsidRPr="00DB63C4">
        <w:rPr>
          <w:b/>
        </w:rPr>
        <w:tab/>
        <w:t>5.</w:t>
      </w:r>
      <w:r w:rsidRPr="00DB63C4">
        <w:rPr>
          <w:b/>
        </w:rPr>
        <w:tab/>
      </w:r>
      <w:r w:rsidRPr="00DB63C4">
        <w:t>The Liquor Liability Numerical Grade is</w:t>
      </w:r>
      <w:del w:id="1" w:author="Author">
        <w:r w:rsidRPr="00DB63C4" w:rsidDel="00175C49">
          <w:delText xml:space="preserve"> </w:delText>
        </w:r>
        <w:r w:rsidRPr="0033584C" w:rsidDel="00284174">
          <w:rPr>
            <w:rPrChange w:id="2" w:author="Author">
              <w:rPr>
                <w:highlight w:val="yellow"/>
              </w:rPr>
            </w:rPrChange>
          </w:rPr>
          <w:delText>3 for off-premises exposure and 5 for on-premises exposure</w:delText>
        </w:r>
      </w:del>
      <w:ins w:id="3" w:author="Author">
        <w:r w:rsidRPr="0033584C">
          <w:rPr>
            <w:rPrChange w:id="4" w:author="Author">
              <w:rPr>
                <w:highlight w:val="yellow"/>
              </w:rPr>
            </w:rPrChange>
          </w:rPr>
          <w:t xml:space="preserve"> 1 for</w:t>
        </w:r>
        <w:r w:rsidRPr="00DB63C4">
          <w:t xml:space="preserve"> </w:t>
        </w:r>
        <w:r w:rsidRPr="0033584C">
          <w:rPr>
            <w:rPrChange w:id="5" w:author="Author">
              <w:rPr>
                <w:highlight w:val="green"/>
              </w:rPr>
            </w:rPrChange>
          </w:rPr>
          <w:t>any federally recognized Native American Indian Tribe</w:t>
        </w:r>
        <w:r w:rsidRPr="00DB63C4">
          <w:t xml:space="preserve"> </w:t>
        </w:r>
        <w:r w:rsidRPr="0033584C">
          <w:rPr>
            <w:rPrChange w:id="6" w:author="Author">
              <w:rPr>
                <w:highlight w:val="green"/>
              </w:rPr>
            </w:rPrChange>
          </w:rPr>
          <w:t>state liquor</w:t>
        </w:r>
        <w:r w:rsidRPr="00DB63C4">
          <w:t xml:space="preserve"> </w:t>
        </w:r>
        <w:r w:rsidRPr="0033584C">
          <w:rPr>
            <w:rPrChange w:id="7" w:author="Author">
              <w:rPr>
                <w:highlight w:val="yellow"/>
              </w:rPr>
            </w:rPrChange>
          </w:rPr>
          <w:t>licensees and 5 for all other vendors</w:t>
        </w:r>
      </w:ins>
      <w:r w:rsidRPr="0033584C">
        <w:rPr>
          <w:rPrChange w:id="8" w:author="Author">
            <w:rPr>
              <w:highlight w:val="yellow"/>
            </w:rPr>
          </w:rPrChange>
        </w:rPr>
        <w:t>.</w:t>
      </w:r>
    </w:p>
    <w:p w14:paraId="65B1A582" w14:textId="77777777" w:rsidR="0033584C" w:rsidRPr="0033584C" w:rsidRDefault="0033584C" w:rsidP="0033584C">
      <w:pPr>
        <w:pStyle w:val="blocktext4"/>
        <w:rPr>
          <w:ins w:id="9" w:author="Author"/>
          <w:color w:val="FF0000"/>
          <w:rPrChange w:id="10" w:author="Author">
            <w:rPr>
              <w:ins w:id="11" w:author="Author"/>
              <w:highlight w:val="yellow"/>
            </w:rPr>
          </w:rPrChange>
        </w:rPr>
      </w:pPr>
      <w:r w:rsidRPr="0033584C">
        <w:rPr>
          <w:rPrChange w:id="12" w:author="Author">
            <w:rPr>
              <w:highlight w:val="yellow"/>
            </w:rPr>
          </w:rPrChange>
        </w:rPr>
        <w:t>Citation of Statute: OKLA. STAT.</w:t>
      </w:r>
      <w:r w:rsidRPr="00DB63C4">
        <w:t xml:space="preserve"> tit. </w:t>
      </w:r>
      <w:r w:rsidRPr="0033584C">
        <w:rPr>
          <w:rPrChange w:id="13" w:author="Author">
            <w:rPr>
              <w:highlight w:val="yellow"/>
            </w:rPr>
          </w:rPrChange>
        </w:rPr>
        <w:t>37</w:t>
      </w:r>
      <w:ins w:id="14" w:author="Author">
        <w:r w:rsidRPr="0033584C">
          <w:rPr>
            <w:rPrChange w:id="15" w:author="Author">
              <w:rPr>
                <w:highlight w:val="yellow"/>
              </w:rPr>
            </w:rPrChange>
          </w:rPr>
          <w:t>A. Alcoholic Beverage, including:</w:t>
        </w:r>
      </w:ins>
    </w:p>
    <w:p w14:paraId="6B274A1C" w14:textId="77777777" w:rsidR="0033584C" w:rsidRPr="0033584C" w:rsidRDefault="0033584C" w:rsidP="0033584C">
      <w:pPr>
        <w:pStyle w:val="blocktext4"/>
        <w:rPr>
          <w:ins w:id="16" w:author="Author"/>
          <w:rPrChange w:id="17" w:author="Author">
            <w:rPr>
              <w:ins w:id="18" w:author="Author"/>
              <w:highlight w:val="yellow"/>
            </w:rPr>
          </w:rPrChange>
        </w:rPr>
      </w:pPr>
      <w:del w:id="19" w:author="Author">
        <w:r w:rsidRPr="0033584C" w:rsidDel="00A36C76">
          <w:rPr>
            <w:rPrChange w:id="20" w:author="Author">
              <w:rPr>
                <w:highlight w:val="yellow"/>
              </w:rPr>
            </w:rPrChange>
          </w:rPr>
          <w:delText>, Section</w:delText>
        </w:r>
        <w:r w:rsidRPr="0033584C" w:rsidDel="00626111">
          <w:rPr>
            <w:rPrChange w:id="21" w:author="Author">
              <w:rPr>
                <w:highlight w:val="yellow"/>
              </w:rPr>
            </w:rPrChange>
          </w:rPr>
          <w:delText xml:space="preserve"> 537</w:delText>
        </w:r>
      </w:del>
      <w:ins w:id="22" w:author="Author">
        <w:r w:rsidRPr="00DB63C4">
          <w:t xml:space="preserve">OKLA. STAT. tit. </w:t>
        </w:r>
        <w:r w:rsidRPr="0033584C">
          <w:rPr>
            <w:rPrChange w:id="23" w:author="Author">
              <w:rPr>
                <w:highlight w:val="yellow"/>
              </w:rPr>
            </w:rPrChange>
          </w:rPr>
          <w:t xml:space="preserve">37A. </w:t>
        </w:r>
        <w:r w:rsidRPr="00DB63C4">
          <w:t xml:space="preserve">§ </w:t>
        </w:r>
        <w:r w:rsidRPr="0033584C">
          <w:rPr>
            <w:rPrChange w:id="24" w:author="Author">
              <w:rPr>
                <w:highlight w:val="yellow"/>
              </w:rPr>
            </w:rPrChange>
          </w:rPr>
          <w:t>6-101. Prohibited acts – Violations – Penalties;</w:t>
        </w:r>
      </w:ins>
    </w:p>
    <w:p w14:paraId="5D5304DD" w14:textId="77777777" w:rsidR="0033584C" w:rsidRPr="0033584C" w:rsidRDefault="0033584C" w:rsidP="0033584C">
      <w:pPr>
        <w:pStyle w:val="blocktext4"/>
        <w:rPr>
          <w:ins w:id="25" w:author="Author"/>
          <w:rPrChange w:id="26" w:author="Author">
            <w:rPr>
              <w:ins w:id="27" w:author="Author"/>
              <w:highlight w:val="yellow"/>
            </w:rPr>
          </w:rPrChange>
        </w:rPr>
      </w:pPr>
      <w:ins w:id="28" w:author="Author">
        <w:r w:rsidRPr="00DB63C4">
          <w:t xml:space="preserve">OKLA. STAT. tit. </w:t>
        </w:r>
        <w:r w:rsidRPr="0033584C">
          <w:rPr>
            <w:rPrChange w:id="29" w:author="Author">
              <w:rPr>
                <w:highlight w:val="yellow"/>
              </w:rPr>
            </w:rPrChange>
          </w:rPr>
          <w:t>37A</w:t>
        </w:r>
        <w:r w:rsidRPr="00DB63C4">
          <w:t>.</w:t>
        </w:r>
        <w:r w:rsidRPr="0033584C">
          <w:rPr>
            <w:rPrChange w:id="30" w:author="Author">
              <w:rPr>
                <w:highlight w:val="yellow"/>
              </w:rPr>
            </w:rPrChange>
          </w:rPr>
          <w:t xml:space="preserve"> </w:t>
        </w:r>
        <w:r w:rsidRPr="00DB63C4">
          <w:t>§</w:t>
        </w:r>
        <w:r w:rsidRPr="0033584C">
          <w:rPr>
            <w:rPrChange w:id="31" w:author="Author">
              <w:rPr>
                <w:highlight w:val="yellow"/>
              </w:rPr>
            </w:rPrChange>
          </w:rPr>
          <w:t xml:space="preserve"> 6-102. Prohibited acts of licensees; </w:t>
        </w:r>
      </w:ins>
    </w:p>
    <w:p w14:paraId="54EE7351" w14:textId="77777777" w:rsidR="0033584C" w:rsidRPr="0033584C" w:rsidRDefault="0033584C" w:rsidP="0033584C">
      <w:pPr>
        <w:pStyle w:val="blocktext4"/>
        <w:rPr>
          <w:ins w:id="32" w:author="Author"/>
          <w:rPrChange w:id="33" w:author="Author">
            <w:rPr>
              <w:ins w:id="34" w:author="Author"/>
              <w:highlight w:val="yellow"/>
            </w:rPr>
          </w:rPrChange>
        </w:rPr>
      </w:pPr>
      <w:ins w:id="35" w:author="Author">
        <w:r w:rsidRPr="00DB63C4">
          <w:t xml:space="preserve">OKLA. STAT. tit. </w:t>
        </w:r>
        <w:r w:rsidRPr="0033584C">
          <w:rPr>
            <w:rPrChange w:id="36" w:author="Author">
              <w:rPr>
                <w:highlight w:val="yellow"/>
              </w:rPr>
            </w:rPrChange>
          </w:rPr>
          <w:t>37A</w:t>
        </w:r>
        <w:r w:rsidRPr="00DB63C4">
          <w:t>.</w:t>
        </w:r>
        <w:r w:rsidRPr="0033584C">
          <w:rPr>
            <w:rPrChange w:id="37" w:author="Author">
              <w:rPr>
                <w:highlight w:val="yellow"/>
              </w:rPr>
            </w:rPrChange>
          </w:rPr>
          <w:t xml:space="preserve"> </w:t>
        </w:r>
        <w:r w:rsidRPr="00DB63C4">
          <w:t>§</w:t>
        </w:r>
        <w:r w:rsidRPr="0033584C">
          <w:rPr>
            <w:rPrChange w:id="38" w:author="Author">
              <w:rPr>
                <w:highlight w:val="yellow"/>
              </w:rPr>
            </w:rPrChange>
          </w:rPr>
          <w:t xml:space="preserve"> 6-120. Selling, furnishing or giving alcoholic beverages to persons under 21 – Penalties; and</w:t>
        </w:r>
      </w:ins>
    </w:p>
    <w:p w14:paraId="5ACACCE1" w14:textId="77777777" w:rsidR="0033584C" w:rsidRPr="0033584C" w:rsidRDefault="0033584C" w:rsidP="0033584C">
      <w:pPr>
        <w:pStyle w:val="blocktext4"/>
        <w:rPr>
          <w:rPrChange w:id="39" w:author="Author">
            <w:rPr>
              <w:highlight w:val="yellow"/>
            </w:rPr>
          </w:rPrChange>
        </w:rPr>
      </w:pPr>
      <w:ins w:id="40" w:author="Author">
        <w:r w:rsidRPr="00DB63C4">
          <w:t xml:space="preserve">OKLA. STAT. tit. </w:t>
        </w:r>
        <w:r w:rsidRPr="0033584C">
          <w:rPr>
            <w:rPrChange w:id="41" w:author="Author">
              <w:rPr>
                <w:highlight w:val="yellow"/>
              </w:rPr>
            </w:rPrChange>
          </w:rPr>
          <w:t>37A</w:t>
        </w:r>
        <w:r w:rsidRPr="00DB63C4">
          <w:t>.</w:t>
        </w:r>
        <w:r w:rsidRPr="0033584C">
          <w:rPr>
            <w:rPrChange w:id="42" w:author="Author">
              <w:rPr>
                <w:highlight w:val="yellow"/>
              </w:rPr>
            </w:rPrChange>
          </w:rPr>
          <w:t xml:space="preserve"> </w:t>
        </w:r>
        <w:r w:rsidRPr="00DB63C4">
          <w:t>§</w:t>
        </w:r>
        <w:r w:rsidRPr="0033584C">
          <w:rPr>
            <w:rPrChange w:id="43" w:author="Author">
              <w:rPr>
                <w:highlight w:val="yellow"/>
              </w:rPr>
            </w:rPrChange>
          </w:rPr>
          <w:t xml:space="preserve"> 6-121.</w:t>
        </w:r>
        <w:r w:rsidRPr="00DB63C4">
          <w:t xml:space="preserve"> </w:t>
        </w:r>
        <w:r w:rsidRPr="0033584C">
          <w:rPr>
            <w:rPrChange w:id="44" w:author="Author">
              <w:rPr>
                <w:highlight w:val="yellow"/>
              </w:rPr>
            </w:rPrChange>
          </w:rPr>
          <w:t>Knowingly selling, furnishing or giving alcoholic beverages to insane, mentally deficient or intoxicated persons – Penalties.</w:t>
        </w:r>
      </w:ins>
    </w:p>
    <w:p w14:paraId="3122C781" w14:textId="77777777" w:rsidR="0033584C" w:rsidRPr="0033584C" w:rsidRDefault="0033584C" w:rsidP="0033584C">
      <w:pPr>
        <w:pStyle w:val="blocktext4"/>
        <w:rPr>
          <w:rPrChange w:id="45" w:author="Author">
            <w:rPr>
              <w:highlight w:val="yellow"/>
            </w:rPr>
          </w:rPrChange>
        </w:rPr>
      </w:pPr>
      <w:r w:rsidRPr="0033584C">
        <w:rPr>
          <w:rPrChange w:id="46" w:author="Author">
            <w:rPr>
              <w:highlight w:val="yellow"/>
            </w:rPr>
          </w:rPrChange>
        </w:rPr>
        <w:t>Th</w:t>
      </w:r>
      <w:ins w:id="47" w:author="Author">
        <w:r w:rsidRPr="0033584C">
          <w:rPr>
            <w:rPrChange w:id="48" w:author="Author">
              <w:rPr>
                <w:highlight w:val="yellow"/>
              </w:rPr>
            </w:rPrChange>
          </w:rPr>
          <w:t>ese</w:t>
        </w:r>
      </w:ins>
      <w:del w:id="49" w:author="Author">
        <w:r w:rsidRPr="0033584C" w:rsidDel="00917937">
          <w:rPr>
            <w:rPrChange w:id="50" w:author="Author">
              <w:rPr>
                <w:highlight w:val="yellow"/>
              </w:rPr>
            </w:rPrChange>
          </w:rPr>
          <w:delText>is</w:delText>
        </w:r>
      </w:del>
      <w:r w:rsidRPr="0033584C">
        <w:rPr>
          <w:rPrChange w:id="51" w:author="Author">
            <w:rPr>
              <w:highlight w:val="yellow"/>
            </w:rPr>
          </w:rPrChange>
        </w:rPr>
        <w:t xml:space="preserve"> statute</w:t>
      </w:r>
      <w:ins w:id="52" w:author="Author">
        <w:r w:rsidRPr="0033584C">
          <w:rPr>
            <w:rPrChange w:id="53" w:author="Author">
              <w:rPr>
                <w:highlight w:val="yellow"/>
              </w:rPr>
            </w:rPrChange>
          </w:rPr>
          <w:t>s</w:t>
        </w:r>
      </w:ins>
      <w:r w:rsidRPr="0033584C">
        <w:rPr>
          <w:rPrChange w:id="54" w:author="Author">
            <w:rPr>
              <w:highlight w:val="yellow"/>
            </w:rPr>
          </w:rPrChange>
        </w:rPr>
        <w:t xml:space="preserve"> </w:t>
      </w:r>
      <w:del w:id="55" w:author="Author">
        <w:r w:rsidRPr="0033584C" w:rsidDel="00917937">
          <w:rPr>
            <w:rPrChange w:id="56" w:author="Author">
              <w:rPr>
                <w:highlight w:val="yellow"/>
              </w:rPr>
            </w:rPrChange>
          </w:rPr>
          <w:delText xml:space="preserve">is </w:delText>
        </w:r>
      </w:del>
      <w:ins w:id="57" w:author="Author">
        <w:r w:rsidRPr="0033584C">
          <w:rPr>
            <w:rPrChange w:id="58" w:author="Author">
              <w:rPr>
                <w:highlight w:val="yellow"/>
              </w:rPr>
            </w:rPrChange>
          </w:rPr>
          <w:t>are</w:t>
        </w:r>
      </w:ins>
      <w:del w:id="59" w:author="Author">
        <w:r w:rsidRPr="0033584C" w:rsidDel="002D25F6">
          <w:rPr>
            <w:rPrChange w:id="60" w:author="Author">
              <w:rPr>
                <w:highlight w:val="yellow"/>
              </w:rPr>
            </w:rPrChange>
          </w:rPr>
          <w:delText>a</w:delText>
        </w:r>
      </w:del>
      <w:r w:rsidRPr="0033584C">
        <w:rPr>
          <w:rPrChange w:id="61" w:author="Author">
            <w:rPr>
              <w:highlight w:val="yellow"/>
            </w:rPr>
          </w:rPrChange>
        </w:rPr>
        <w:t xml:space="preserve"> liquor control law</w:t>
      </w:r>
      <w:ins w:id="62" w:author="Author">
        <w:r w:rsidRPr="0033584C">
          <w:rPr>
            <w:rPrChange w:id="63" w:author="Author">
              <w:rPr>
                <w:highlight w:val="yellow"/>
              </w:rPr>
            </w:rPrChange>
          </w:rPr>
          <w:t>s</w:t>
        </w:r>
      </w:ins>
      <w:r w:rsidRPr="0033584C">
        <w:rPr>
          <w:rPrChange w:id="64" w:author="Author">
            <w:rPr>
              <w:highlight w:val="yellow"/>
            </w:rPr>
          </w:rPrChange>
        </w:rPr>
        <w:t>, not</w:t>
      </w:r>
      <w:del w:id="65" w:author="Author">
        <w:r w:rsidRPr="0033584C" w:rsidDel="00554912">
          <w:rPr>
            <w:rPrChange w:id="66" w:author="Author">
              <w:rPr>
                <w:highlight w:val="yellow"/>
              </w:rPr>
            </w:rPrChange>
          </w:rPr>
          <w:delText xml:space="preserve"> </w:delText>
        </w:r>
        <w:r w:rsidRPr="0033584C" w:rsidDel="002D25F6">
          <w:rPr>
            <w:rPrChange w:id="67" w:author="Author">
              <w:rPr>
                <w:highlight w:val="yellow"/>
              </w:rPr>
            </w:rPrChange>
          </w:rPr>
          <w:delText>a</w:delText>
        </w:r>
      </w:del>
      <w:r w:rsidRPr="0033584C">
        <w:rPr>
          <w:rPrChange w:id="68" w:author="Author">
            <w:rPr>
              <w:highlight w:val="yellow"/>
            </w:rPr>
          </w:rPrChange>
        </w:rPr>
        <w:t xml:space="preserve"> dramshop statute</w:t>
      </w:r>
      <w:ins w:id="69" w:author="Author">
        <w:r w:rsidRPr="0033584C">
          <w:rPr>
            <w:rPrChange w:id="70" w:author="Author">
              <w:rPr>
                <w:highlight w:val="yellow"/>
              </w:rPr>
            </w:rPrChange>
          </w:rPr>
          <w:t>s</w:t>
        </w:r>
      </w:ins>
      <w:r w:rsidRPr="0033584C">
        <w:rPr>
          <w:rPrChange w:id="71" w:author="Author">
            <w:rPr>
              <w:highlight w:val="yellow"/>
            </w:rPr>
          </w:rPrChange>
        </w:rPr>
        <w:t>.</w:t>
      </w:r>
    </w:p>
    <w:p w14:paraId="1E4C6BB1" w14:textId="77777777" w:rsidR="0033584C" w:rsidRPr="0033584C" w:rsidRDefault="0033584C" w:rsidP="0033584C">
      <w:pPr>
        <w:pStyle w:val="blocktext4"/>
        <w:rPr>
          <w:ins w:id="72" w:author="Author"/>
          <w:rPrChange w:id="73" w:author="Author">
            <w:rPr>
              <w:ins w:id="74" w:author="Author"/>
              <w:highlight w:val="yellow"/>
            </w:rPr>
          </w:rPrChange>
        </w:rPr>
      </w:pPr>
      <w:ins w:id="75" w:author="Author">
        <w:r w:rsidRPr="00DB63C4">
          <w:t>Among other aspects, t</w:t>
        </w:r>
      </w:ins>
      <w:del w:id="76" w:author="Author">
        <w:r w:rsidRPr="0033584C" w:rsidDel="00D3682A">
          <w:rPr>
            <w:rPrChange w:id="77" w:author="Author">
              <w:rPr>
                <w:highlight w:val="yellow"/>
              </w:rPr>
            </w:rPrChange>
          </w:rPr>
          <w:delText>T</w:delText>
        </w:r>
      </w:del>
      <w:r w:rsidRPr="0033584C">
        <w:rPr>
          <w:rPrChange w:id="78" w:author="Author">
            <w:rPr>
              <w:highlight w:val="yellow"/>
            </w:rPr>
          </w:rPrChange>
        </w:rPr>
        <w:t>he</w:t>
      </w:r>
      <w:ins w:id="79" w:author="Author">
        <w:r w:rsidRPr="0033584C">
          <w:rPr>
            <w:rPrChange w:id="80" w:author="Author">
              <w:rPr>
                <w:highlight w:val="yellow"/>
              </w:rPr>
            </w:rPrChange>
          </w:rPr>
          <w:t>se</w:t>
        </w:r>
      </w:ins>
      <w:r w:rsidRPr="0033584C">
        <w:rPr>
          <w:rPrChange w:id="81" w:author="Author">
            <w:rPr>
              <w:highlight w:val="yellow"/>
            </w:rPr>
          </w:rPrChange>
        </w:rPr>
        <w:t xml:space="preserve"> statute</w:t>
      </w:r>
      <w:ins w:id="82" w:author="Author">
        <w:r w:rsidRPr="0033584C">
          <w:rPr>
            <w:rPrChange w:id="83" w:author="Author">
              <w:rPr>
                <w:highlight w:val="yellow"/>
              </w:rPr>
            </w:rPrChange>
          </w:rPr>
          <w:t>s</w:t>
        </w:r>
      </w:ins>
      <w:r w:rsidRPr="0033584C">
        <w:rPr>
          <w:rPrChange w:id="84" w:author="Author">
            <w:rPr>
              <w:highlight w:val="yellow"/>
            </w:rPr>
          </w:rPrChange>
        </w:rPr>
        <w:t xml:space="preserve"> </w:t>
      </w:r>
      <w:ins w:id="85" w:author="Author">
        <w:r w:rsidRPr="00DB63C4">
          <w:t xml:space="preserve">generally </w:t>
        </w:r>
      </w:ins>
      <w:r w:rsidRPr="0033584C">
        <w:rPr>
          <w:rPrChange w:id="86" w:author="Author">
            <w:rPr>
              <w:highlight w:val="yellow"/>
            </w:rPr>
          </w:rPrChange>
        </w:rPr>
        <w:t>provide</w:t>
      </w:r>
      <w:del w:id="87" w:author="Author">
        <w:r w:rsidRPr="0033584C" w:rsidDel="00917937">
          <w:rPr>
            <w:rPrChange w:id="88" w:author="Author">
              <w:rPr>
                <w:highlight w:val="yellow"/>
              </w:rPr>
            </w:rPrChange>
          </w:rPr>
          <w:delText>s</w:delText>
        </w:r>
        <w:r w:rsidRPr="0033584C" w:rsidDel="00D3682A">
          <w:rPr>
            <w:rPrChange w:id="89" w:author="Author">
              <w:rPr>
                <w:highlight w:val="yellow"/>
              </w:rPr>
            </w:rPrChange>
          </w:rPr>
          <w:delText>, in part,</w:delText>
        </w:r>
      </w:del>
      <w:r w:rsidRPr="0033584C">
        <w:rPr>
          <w:rPrChange w:id="90" w:author="Author">
            <w:rPr>
              <w:highlight w:val="yellow"/>
            </w:rPr>
          </w:rPrChange>
        </w:rPr>
        <w:t xml:space="preserve"> that no person shall</w:t>
      </w:r>
      <w:ins w:id="91" w:author="Author">
        <w:r w:rsidRPr="0033584C">
          <w:rPr>
            <w:rPrChange w:id="92" w:author="Author">
              <w:rPr>
                <w:highlight w:val="yellow"/>
              </w:rPr>
            </w:rPrChange>
          </w:rPr>
          <w:t>;</w:t>
        </w:r>
      </w:ins>
      <w:r w:rsidRPr="0033584C">
        <w:rPr>
          <w:rPrChange w:id="93" w:author="Author">
            <w:rPr>
              <w:highlight w:val="yellow"/>
            </w:rPr>
          </w:rPrChange>
        </w:rPr>
        <w:t xml:space="preserve"> </w:t>
      </w:r>
    </w:p>
    <w:p w14:paraId="74CC383E" w14:textId="77777777" w:rsidR="0033584C" w:rsidRPr="0033584C" w:rsidRDefault="0033584C">
      <w:pPr>
        <w:pStyle w:val="outlinetxt4"/>
        <w:rPr>
          <w:ins w:id="94" w:author="Author"/>
          <w:rPrChange w:id="95" w:author="Author">
            <w:rPr>
              <w:ins w:id="96" w:author="Author"/>
              <w:highlight w:val="yellow"/>
            </w:rPr>
          </w:rPrChange>
        </w:rPr>
        <w:pPrChange w:id="97" w:author="Author">
          <w:pPr>
            <w:pStyle w:val="blocktext4"/>
          </w:pPr>
        </w:pPrChange>
      </w:pPr>
      <w:ins w:id="98" w:author="Author">
        <w:r w:rsidRPr="0033584C">
          <w:rPr>
            <w:bCs/>
            <w:rPrChange w:id="99" w:author="Author">
              <w:rPr>
                <w:b/>
                <w:highlight w:val="yellow"/>
              </w:rPr>
            </w:rPrChange>
          </w:rPr>
          <w:tab/>
        </w:r>
        <w:r w:rsidRPr="0033584C">
          <w:rPr>
            <w:b/>
            <w:rPrChange w:id="100" w:author="Author">
              <w:rPr>
                <w:b/>
                <w:highlight w:val="yellow"/>
              </w:rPr>
            </w:rPrChange>
          </w:rPr>
          <w:t>a.</w:t>
        </w:r>
        <w:r w:rsidRPr="0033584C">
          <w:rPr>
            <w:rPrChange w:id="101" w:author="Author">
              <w:rPr>
                <w:b/>
                <w:highlight w:val="yellow"/>
              </w:rPr>
            </w:rPrChange>
          </w:rPr>
          <w:tab/>
        </w:r>
      </w:ins>
      <w:del w:id="102" w:author="Author">
        <w:r w:rsidRPr="0033584C" w:rsidDel="00AE58C7">
          <w:rPr>
            <w:rPrChange w:id="103" w:author="Author">
              <w:rPr>
                <w:highlight w:val="yellow"/>
              </w:rPr>
            </w:rPrChange>
          </w:rPr>
          <w:delText>k</w:delText>
        </w:r>
      </w:del>
      <w:ins w:id="104" w:author="Author">
        <w:r w:rsidRPr="0033584C">
          <w:rPr>
            <w:rPrChange w:id="105" w:author="Author">
              <w:rPr>
                <w:highlight w:val="yellow"/>
              </w:rPr>
            </w:rPrChange>
          </w:rPr>
          <w:t>K</w:t>
        </w:r>
      </w:ins>
      <w:r w:rsidRPr="0033584C">
        <w:rPr>
          <w:rPrChange w:id="106" w:author="Author">
            <w:rPr>
              <w:highlight w:val="yellow"/>
            </w:rPr>
          </w:rPrChange>
        </w:rPr>
        <w:t>nowingly sell, deliver or furnish alcoholic beverages to any person under 21</w:t>
      </w:r>
      <w:ins w:id="107" w:author="Author">
        <w:r w:rsidRPr="0033584C">
          <w:rPr>
            <w:rPrChange w:id="108" w:author="Author">
              <w:rPr>
                <w:highlight w:val="yellow"/>
              </w:rPr>
            </w:rPrChange>
          </w:rPr>
          <w:t>;</w:t>
        </w:r>
      </w:ins>
      <w:r w:rsidRPr="0033584C">
        <w:rPr>
          <w:rPrChange w:id="109" w:author="Author">
            <w:rPr>
              <w:highlight w:val="yellow"/>
            </w:rPr>
          </w:rPrChange>
        </w:rPr>
        <w:t xml:space="preserve"> or </w:t>
      </w:r>
    </w:p>
    <w:p w14:paraId="5996A5A6" w14:textId="77777777" w:rsidR="0033584C" w:rsidRPr="00DB63C4" w:rsidRDefault="0033584C" w:rsidP="0033584C">
      <w:pPr>
        <w:pStyle w:val="outlinetxt4"/>
      </w:pPr>
      <w:ins w:id="110" w:author="Author">
        <w:r w:rsidRPr="0033584C">
          <w:rPr>
            <w:b/>
            <w:rPrChange w:id="111" w:author="Author">
              <w:rPr>
                <w:b/>
                <w:highlight w:val="yellow"/>
              </w:rPr>
            </w:rPrChange>
          </w:rPr>
          <w:tab/>
          <w:t>b.</w:t>
        </w:r>
        <w:r w:rsidRPr="0033584C">
          <w:rPr>
            <w:b/>
            <w:rPrChange w:id="112" w:author="Author">
              <w:rPr>
                <w:b/>
                <w:highlight w:val="yellow"/>
              </w:rPr>
            </w:rPrChange>
          </w:rPr>
          <w:tab/>
        </w:r>
        <w:r w:rsidRPr="0033584C">
          <w:rPr>
            <w:rPrChange w:id="113" w:author="Author">
              <w:rPr>
                <w:highlight w:val="yellow"/>
              </w:rPr>
            </w:rPrChange>
          </w:rPr>
          <w:t xml:space="preserve">Sell, deliver or knowingly furnish alcoholic beverages </w:t>
        </w:r>
      </w:ins>
      <w:r w:rsidRPr="0033584C">
        <w:rPr>
          <w:rPrChange w:id="114" w:author="Author">
            <w:rPr>
              <w:highlight w:val="yellow"/>
            </w:rPr>
          </w:rPrChange>
        </w:rPr>
        <w:t>to an intoxicated person</w:t>
      </w:r>
      <w:ins w:id="115" w:author="Author">
        <w:r w:rsidRPr="0033584C">
          <w:rPr>
            <w:rPrChange w:id="116" w:author="Author">
              <w:rPr>
                <w:highlight w:val="yellow"/>
              </w:rPr>
            </w:rPrChange>
          </w:rPr>
          <w:t xml:space="preserve"> or to any person who has been adjudged insane or mentally deficient</w:t>
        </w:r>
      </w:ins>
      <w:r w:rsidRPr="0033584C">
        <w:rPr>
          <w:rPrChange w:id="117" w:author="Author">
            <w:rPr>
              <w:highlight w:val="yellow"/>
            </w:rPr>
          </w:rPrChange>
        </w:rPr>
        <w:t>.</w:t>
      </w:r>
    </w:p>
    <w:p w14:paraId="035DA65A" w14:textId="77777777" w:rsidR="0033584C" w:rsidRPr="00DB63C4" w:rsidRDefault="0033584C" w:rsidP="0033584C">
      <w:pPr>
        <w:pStyle w:val="blockhd4"/>
      </w:pPr>
      <w:r w:rsidRPr="00DB63C4">
        <w:t>Comments</w:t>
      </w:r>
      <w:del w:id="118" w:author="Author">
        <w:r w:rsidRPr="00DB63C4" w:rsidDel="00D90423">
          <w:delText>:</w:delText>
        </w:r>
      </w:del>
    </w:p>
    <w:p w14:paraId="3AC38464" w14:textId="77777777" w:rsidR="0033584C" w:rsidRPr="00DB63C4" w:rsidRDefault="0033584C" w:rsidP="0033584C">
      <w:pPr>
        <w:pStyle w:val="blocktext4"/>
        <w:rPr>
          <w:ins w:id="119" w:author="Author"/>
        </w:rPr>
      </w:pPr>
      <w:ins w:id="120" w:author="Author">
        <w:r w:rsidRPr="00DB63C4">
          <w:t xml:space="preserve">The Oklahoma Supreme Court in </w:t>
        </w:r>
        <w:r w:rsidRPr="0033584C">
          <w:rPr>
            <w:i/>
            <w:iCs/>
            <w:rPrChange w:id="121" w:author="Author">
              <w:rPr/>
            </w:rPrChange>
          </w:rPr>
          <w:t>Busby v. Quail Creek Golf and Country Club, 885 P.2d 1326 (Okla. 1994)</w:t>
        </w:r>
        <w:r w:rsidRPr="00DB63C4">
          <w:t xml:space="preserve"> stated that to establish negligence per se on the basis of a statutory violation, the plaintiff must establish that: 1) the injury was caused by a statutory violation; 2) the injury was a type to be prevented by the statute; and 3) the injured party was of the class meant to be protected by the statute.</w:t>
        </w:r>
      </w:ins>
    </w:p>
    <w:p w14:paraId="79BAC4EB" w14:textId="77777777" w:rsidR="0033584C" w:rsidRPr="00DB63C4" w:rsidRDefault="0033584C" w:rsidP="0033584C">
      <w:pPr>
        <w:pStyle w:val="blocktext4"/>
      </w:pPr>
      <w:r w:rsidRPr="00DB63C4">
        <w:t>The</w:t>
      </w:r>
      <w:r w:rsidRPr="00DB63C4">
        <w:rPr>
          <w:b/>
        </w:rPr>
        <w:t xml:space="preserve"> </w:t>
      </w:r>
      <w:r w:rsidRPr="00DB63C4">
        <w:t xml:space="preserve">Oklahoma Supreme Court in </w:t>
      </w:r>
      <w:r w:rsidRPr="0033584C">
        <w:rPr>
          <w:i/>
          <w:iCs/>
          <w:rPrChange w:id="122" w:author="Author">
            <w:rPr/>
          </w:rPrChange>
        </w:rPr>
        <w:t>Brigance v. The Velvet Dove Restaurant, Inc., 725 P. 2d 300 (Okla. 1986)</w:t>
      </w:r>
      <w:r w:rsidRPr="00DB63C4">
        <w:t xml:space="preserve"> </w:t>
      </w:r>
      <w:ins w:id="123" w:author="Author">
        <w:r w:rsidRPr="00DB63C4">
          <w:t xml:space="preserve">generally </w:t>
        </w:r>
      </w:ins>
      <w:r w:rsidRPr="00DB63C4">
        <w:t>ruled that a third-party passenger injured by an intoxicated driver had a civil cause of action against a commercial vendor for the on-premises consumption, for negligent sale of an intoxicating beverage to a person the vendor knew or should have known was noticeably intoxicated, and whose consumption of alcohol was the alleged cause of the injuries.</w:t>
      </w:r>
    </w:p>
    <w:p w14:paraId="0D216E59" w14:textId="77777777" w:rsidR="0033584C" w:rsidRPr="00DB63C4" w:rsidRDefault="0033584C" w:rsidP="0033584C">
      <w:pPr>
        <w:pStyle w:val="blocktext4"/>
        <w:rPr>
          <w:ins w:id="124" w:author="Author"/>
        </w:rPr>
      </w:pPr>
      <w:r w:rsidRPr="00DB63C4">
        <w:t xml:space="preserve">The Oklahoma Supreme Court in </w:t>
      </w:r>
      <w:r w:rsidRPr="0033584C">
        <w:rPr>
          <w:i/>
          <w:iCs/>
          <w:rPrChange w:id="125" w:author="Author">
            <w:rPr/>
          </w:rPrChange>
        </w:rPr>
        <w:t>Tomlinson v. Love's Country Stores, 854 P.2d. 910 (Okla. 1993)</w:t>
      </w:r>
      <w:r w:rsidRPr="00DB63C4">
        <w:t xml:space="preserve"> </w:t>
      </w:r>
      <w:del w:id="126" w:author="Author">
        <w:r w:rsidRPr="00DB63C4" w:rsidDel="00D81EFF">
          <w:delText>extended Brigance to apply to vendors who sell alcoholic beverages to minors for consumption off the premises of the vendor.</w:delText>
        </w:r>
      </w:del>
      <w:ins w:id="127" w:author="Author">
        <w:r w:rsidRPr="00DB63C4">
          <w:t>generally held that:</w:t>
        </w:r>
      </w:ins>
    </w:p>
    <w:p w14:paraId="5693134A" w14:textId="77777777" w:rsidR="0033584C" w:rsidRPr="00DB63C4" w:rsidRDefault="0033584C">
      <w:pPr>
        <w:pStyle w:val="blocktext5"/>
        <w:numPr>
          <w:ilvl w:val="0"/>
          <w:numId w:val="5"/>
        </w:numPr>
        <w:rPr>
          <w:ins w:id="128" w:author="Author"/>
        </w:rPr>
        <w:pPrChange w:id="129" w:author="Author">
          <w:pPr>
            <w:pStyle w:val="blocktext4"/>
          </w:pPr>
        </w:pPrChange>
      </w:pPr>
      <w:ins w:id="130" w:author="Author">
        <w:r w:rsidRPr="00DB63C4">
          <w:t>The vendor has a duty not to sell alcoholic beverages to a person under 21 regardless of whether consumption was on- or off-premises of the vendor;</w:t>
        </w:r>
      </w:ins>
    </w:p>
    <w:p w14:paraId="6357D83F" w14:textId="77777777" w:rsidR="0033584C" w:rsidRPr="00DB63C4" w:rsidRDefault="0033584C">
      <w:pPr>
        <w:pStyle w:val="blocktext5"/>
        <w:numPr>
          <w:ilvl w:val="0"/>
          <w:numId w:val="5"/>
        </w:numPr>
        <w:rPr>
          <w:ins w:id="131" w:author="Author"/>
        </w:rPr>
        <w:pPrChange w:id="132" w:author="Author">
          <w:pPr>
            <w:pStyle w:val="blocktext4"/>
          </w:pPr>
        </w:pPrChange>
      </w:pPr>
      <w:ins w:id="133" w:author="Author">
        <w:r w:rsidRPr="00DB63C4">
          <w:t>The vendor may rebut its duty not to sell to a minor by demonstrating that the purchaser appeared to be of age and that the vendor used reasonable means of identification to ascertain age of purchaser; and</w:t>
        </w:r>
      </w:ins>
    </w:p>
    <w:p w14:paraId="3C0FC4F9" w14:textId="77777777" w:rsidR="0033584C" w:rsidRPr="00DB63C4" w:rsidRDefault="0033584C" w:rsidP="0033584C">
      <w:pPr>
        <w:pStyle w:val="blocktext5"/>
        <w:numPr>
          <w:ilvl w:val="0"/>
          <w:numId w:val="5"/>
        </w:numPr>
        <w:rPr>
          <w:ins w:id="134" w:author="Author"/>
        </w:rPr>
      </w:pPr>
      <w:ins w:id="135" w:author="Author">
        <w:r w:rsidRPr="00DB63C4">
          <w:t>The common law duty is to exercise ordinary care in providing alcoholic beverages to an individual.</w:t>
        </w:r>
      </w:ins>
    </w:p>
    <w:p w14:paraId="4404675D" w14:textId="77777777" w:rsidR="0033584C" w:rsidRPr="00DB63C4" w:rsidRDefault="0033584C" w:rsidP="0033584C">
      <w:pPr>
        <w:pStyle w:val="blocktext4"/>
      </w:pPr>
      <w:ins w:id="136" w:author="Author">
        <w:r w:rsidRPr="00DB63C4">
          <w:t>The court also generally noted that the vendor may assert the negligence of the injured party, whether a minor or an adult, as a defense under Oklahoma's comparative negligence statute.</w:t>
        </w:r>
      </w:ins>
    </w:p>
    <w:p w14:paraId="77FE2BA1" w14:textId="77777777" w:rsidR="0033584C" w:rsidRPr="00DB63C4" w:rsidRDefault="0033584C" w:rsidP="0033584C">
      <w:pPr>
        <w:pStyle w:val="blocktext4"/>
      </w:pPr>
      <w:ins w:id="137" w:author="Author">
        <w:r w:rsidRPr="00DB63C4">
          <w:t xml:space="preserve">The Oklahoma Supreme Court in </w:t>
        </w:r>
        <w:r w:rsidRPr="0033584C">
          <w:rPr>
            <w:i/>
            <w:iCs/>
            <w:rPrChange w:id="138" w:author="Author">
              <w:rPr/>
            </w:rPrChange>
          </w:rPr>
          <w:t>Boyle v. ASAP Energy, Inc., 408 P. 3d 183 (</w:t>
        </w:r>
        <w:r w:rsidRPr="0033584C">
          <w:rPr>
            <w:i/>
            <w:iCs/>
            <w:rPrChange w:id="139" w:author="Author">
              <w:rPr>
                <w:highlight w:val="yellow"/>
              </w:rPr>
            </w:rPrChange>
          </w:rPr>
          <w:t xml:space="preserve">Okla. </w:t>
        </w:r>
        <w:r w:rsidRPr="0033584C">
          <w:rPr>
            <w:i/>
            <w:iCs/>
            <w:rPrChange w:id="140" w:author="Author">
              <w:rPr/>
            </w:rPrChange>
          </w:rPr>
          <w:t>2017)</w:t>
        </w:r>
        <w:r w:rsidRPr="00DB63C4">
          <w:t xml:space="preserve"> held that Oklahoma recognizes a cause of action when a commercial vendor </w:t>
        </w:r>
        <w:r w:rsidRPr="0033584C">
          <w:rPr>
            <w:rPrChange w:id="141" w:author="Author">
              <w:rPr>
                <w:highlight w:val="yellow"/>
              </w:rPr>
            </w:rPrChange>
          </w:rPr>
          <w:t xml:space="preserve">of </w:t>
        </w:r>
        <w:r w:rsidRPr="00DB63C4">
          <w:t>alcohol sells alcohol to a noticeably intoxicated person for consumption off the premises of the vendor when a person is injured as a result of the vendor violating a statute which prohibits such sales. The court also held that one who sells intoxicating beverages for consumption off the premises has a duty to exercise reasonable ca</w:t>
        </w:r>
        <w:r w:rsidRPr="0033584C">
          <w:rPr>
            <w:rPrChange w:id="142" w:author="Author">
              <w:rPr>
                <w:highlight w:val="yellow"/>
              </w:rPr>
            </w:rPrChange>
          </w:rPr>
          <w:t>r</w:t>
        </w:r>
        <w:r w:rsidRPr="00DB63C4">
          <w:t>e not to sell liquor to a noticeably intoxicated person.</w:t>
        </w:r>
      </w:ins>
    </w:p>
    <w:p w14:paraId="4901A092" w14:textId="6DCF36C4" w:rsidR="0033584C" w:rsidRDefault="0033584C" w:rsidP="0033584C">
      <w:pPr>
        <w:pStyle w:val="blocktext4"/>
      </w:pPr>
      <w:ins w:id="143" w:author="Author">
        <w:r w:rsidRPr="00DB63C4">
          <w:t xml:space="preserve">The Oklahoma Supreme Court in </w:t>
        </w:r>
        <w:r w:rsidRPr="0033584C">
          <w:rPr>
            <w:i/>
            <w:iCs/>
            <w:rPrChange w:id="144" w:author="Author">
              <w:rPr/>
            </w:rPrChange>
          </w:rPr>
          <w:t>Scheffer v. Buffalo Run Casino, PTE, Inc., 315 P.3d 359 (Okla. 2013)</w:t>
        </w:r>
        <w:r w:rsidRPr="00DB63C4">
          <w:t xml:space="preserve"> held that a tribe does not expressly waive its sovereign immunity by applying for and receiving a liquor license from the State of Oklahoma, and consequently the named tribe defendant in this case is immune from dram-shop liability in state court.</w:t>
        </w:r>
      </w:ins>
      <w:bookmarkEnd w:id="0"/>
    </w:p>
    <w:p w14:paraId="5AC23563" w14:textId="3680A731" w:rsidR="00B51AC0" w:rsidRPr="004A31E0" w:rsidRDefault="00B51AC0" w:rsidP="004A31E0">
      <w:pPr>
        <w:pStyle w:val="FilingHeader"/>
        <w:jc w:val="center"/>
        <w:rPr>
          <w:b/>
          <w:bCs/>
        </w:rPr>
      </w:pPr>
      <w:r>
        <w:br w:type="page"/>
      </w:r>
      <w:r w:rsidRPr="004A31E0">
        <w:rPr>
          <w:b/>
          <w:bCs/>
        </w:rPr>
        <w:lastRenderedPageBreak/>
        <w:t>DIVISION TEN – BUSINESSOWNERS</w:t>
      </w:r>
    </w:p>
    <w:p w14:paraId="20EBD4FD" w14:textId="77777777" w:rsidR="00B51AC0" w:rsidRDefault="00B51AC0" w:rsidP="0033584C">
      <w:pPr>
        <w:pStyle w:val="blocktext4"/>
      </w:pPr>
    </w:p>
    <w:p w14:paraId="1682FD0E" w14:textId="77777777" w:rsidR="00B51AC0" w:rsidRPr="00555C55" w:rsidRDefault="00B51AC0" w:rsidP="00B51AC0">
      <w:pPr>
        <w:pStyle w:val="boxrule"/>
      </w:pPr>
      <w:bookmarkStart w:id="145" w:name="_Hlk170741681"/>
      <w:r w:rsidRPr="00555C55">
        <w:t>29.  ENDORSEMENTS</w:t>
      </w:r>
    </w:p>
    <w:p w14:paraId="3A32D0D6" w14:textId="77777777" w:rsidR="00B51AC0" w:rsidRPr="00555C55" w:rsidRDefault="00B51AC0" w:rsidP="00B51AC0">
      <w:pPr>
        <w:pStyle w:val="blocktext1"/>
      </w:pPr>
      <w:r w:rsidRPr="00555C55">
        <w:t xml:space="preserve">Paragraph </w:t>
      </w:r>
      <w:r w:rsidRPr="00555C55">
        <w:rPr>
          <w:b/>
        </w:rPr>
        <w:t>B.13.b.(4)</w:t>
      </w:r>
      <w:r w:rsidRPr="00555C55">
        <w:t xml:space="preserve"> is replaced by the following:</w:t>
      </w:r>
    </w:p>
    <w:p w14:paraId="4A8277E9" w14:textId="77777777" w:rsidR="00B51AC0" w:rsidRPr="00555C55" w:rsidRDefault="00B51AC0" w:rsidP="00B51AC0">
      <w:pPr>
        <w:pStyle w:val="outlinehd2"/>
      </w:pPr>
      <w:r w:rsidRPr="00555C55">
        <w:tab/>
        <w:t>B.</w:t>
      </w:r>
      <w:r w:rsidRPr="00555C55">
        <w:tab/>
        <w:t>Liability Endorsements</w:t>
      </w:r>
    </w:p>
    <w:p w14:paraId="0A3EFB24" w14:textId="77777777" w:rsidR="00B51AC0" w:rsidRPr="00555C55" w:rsidRDefault="00B51AC0" w:rsidP="00B51AC0">
      <w:pPr>
        <w:pStyle w:val="outlinehd3"/>
      </w:pPr>
      <w:r w:rsidRPr="00555C55">
        <w:tab/>
        <w:t>13.</w:t>
      </w:r>
      <w:r w:rsidRPr="00555C55">
        <w:tab/>
        <w:t>Liquor Liability Coverage</w:t>
      </w:r>
    </w:p>
    <w:p w14:paraId="2D355139" w14:textId="77777777" w:rsidR="00B51AC0" w:rsidRPr="00555C55" w:rsidRDefault="00B51AC0" w:rsidP="00B51AC0">
      <w:pPr>
        <w:pStyle w:val="outlinehd4"/>
      </w:pPr>
      <w:r w:rsidRPr="00555C55">
        <w:tab/>
        <w:t>b.</w:t>
      </w:r>
      <w:r w:rsidRPr="00555C55">
        <w:tab/>
        <w:t>Liquor Liability Grades</w:t>
      </w:r>
    </w:p>
    <w:p w14:paraId="7179B392" w14:textId="77777777" w:rsidR="00B51AC0" w:rsidRPr="00555C55" w:rsidRDefault="00B51AC0" w:rsidP="00B51AC0">
      <w:pPr>
        <w:pStyle w:val="outlinetxt5"/>
      </w:pPr>
      <w:r w:rsidRPr="00555C55">
        <w:tab/>
      </w:r>
      <w:r w:rsidRPr="00555C55">
        <w:rPr>
          <w:b/>
        </w:rPr>
        <w:t>(4)</w:t>
      </w:r>
      <w:r w:rsidRPr="00555C55">
        <w:rPr>
          <w:b/>
        </w:rPr>
        <w:tab/>
      </w:r>
      <w:r w:rsidRPr="00555C55">
        <w:t>The Liquor Liability Numerical Grade is</w:t>
      </w:r>
      <w:del w:id="146" w:author="Author">
        <w:r w:rsidRPr="00555C55" w:rsidDel="00175C49">
          <w:delText xml:space="preserve"> </w:delText>
        </w:r>
        <w:r w:rsidRPr="0033584C" w:rsidDel="00284174">
          <w:rPr>
            <w:rPrChange w:id="147" w:author="Author">
              <w:rPr>
                <w:highlight w:val="yellow"/>
              </w:rPr>
            </w:rPrChange>
          </w:rPr>
          <w:delText>3 for off-premises exposure and 5 for on-premises exposure</w:delText>
        </w:r>
      </w:del>
      <w:ins w:id="148" w:author="Author">
        <w:r w:rsidRPr="0033584C">
          <w:rPr>
            <w:rPrChange w:id="149" w:author="Author">
              <w:rPr>
                <w:highlight w:val="yellow"/>
              </w:rPr>
            </w:rPrChange>
          </w:rPr>
          <w:t xml:space="preserve"> 1 for</w:t>
        </w:r>
        <w:r w:rsidRPr="00555C55">
          <w:t xml:space="preserve"> any federally recognized Native American Indian Tribe state liquor </w:t>
        </w:r>
        <w:r w:rsidRPr="0033584C">
          <w:rPr>
            <w:rPrChange w:id="150" w:author="Author">
              <w:rPr>
                <w:highlight w:val="yellow"/>
              </w:rPr>
            </w:rPrChange>
          </w:rPr>
          <w:t>licensees and 5 for all other vendors</w:t>
        </w:r>
      </w:ins>
      <w:r w:rsidRPr="0033584C">
        <w:rPr>
          <w:rPrChange w:id="151" w:author="Author">
            <w:rPr>
              <w:highlight w:val="yellow"/>
            </w:rPr>
          </w:rPrChange>
        </w:rPr>
        <w:t>.</w:t>
      </w:r>
    </w:p>
    <w:p w14:paraId="64EAED42" w14:textId="77777777" w:rsidR="00B51AC0" w:rsidRPr="0033584C" w:rsidRDefault="00B51AC0" w:rsidP="00B51AC0">
      <w:pPr>
        <w:pStyle w:val="blocktext6"/>
        <w:rPr>
          <w:ins w:id="152" w:author="Author"/>
          <w:rPrChange w:id="153" w:author="Author">
            <w:rPr>
              <w:ins w:id="154" w:author="Author"/>
              <w:highlight w:val="yellow"/>
            </w:rPr>
          </w:rPrChange>
        </w:rPr>
      </w:pPr>
      <w:r w:rsidRPr="0033584C">
        <w:rPr>
          <w:rPrChange w:id="155" w:author="Author">
            <w:rPr>
              <w:highlight w:val="yellow"/>
            </w:rPr>
          </w:rPrChange>
        </w:rPr>
        <w:t>Citation of Statute: OKLA. STAT.</w:t>
      </w:r>
      <w:r w:rsidRPr="00555C55">
        <w:t xml:space="preserve"> tit. </w:t>
      </w:r>
      <w:r w:rsidRPr="0033584C">
        <w:rPr>
          <w:rPrChange w:id="156" w:author="Author">
            <w:rPr>
              <w:highlight w:val="yellow"/>
            </w:rPr>
          </w:rPrChange>
        </w:rPr>
        <w:t>37</w:t>
      </w:r>
      <w:ins w:id="157" w:author="Author">
        <w:r w:rsidRPr="0033584C">
          <w:rPr>
            <w:rPrChange w:id="158" w:author="Author">
              <w:rPr>
                <w:highlight w:val="yellow"/>
              </w:rPr>
            </w:rPrChange>
          </w:rPr>
          <w:t>A. Alcoholic Beverage, including:</w:t>
        </w:r>
      </w:ins>
    </w:p>
    <w:p w14:paraId="239CFBAF" w14:textId="77777777" w:rsidR="00B51AC0" w:rsidRPr="0033584C" w:rsidRDefault="00B51AC0" w:rsidP="00B51AC0">
      <w:pPr>
        <w:pStyle w:val="blocktext6"/>
        <w:rPr>
          <w:ins w:id="159" w:author="Author"/>
          <w:rPrChange w:id="160" w:author="Author">
            <w:rPr>
              <w:ins w:id="161" w:author="Author"/>
              <w:highlight w:val="yellow"/>
            </w:rPr>
          </w:rPrChange>
        </w:rPr>
      </w:pPr>
      <w:del w:id="162" w:author="Author">
        <w:r w:rsidRPr="0033584C" w:rsidDel="00A36C76">
          <w:rPr>
            <w:rPrChange w:id="163" w:author="Author">
              <w:rPr>
                <w:highlight w:val="yellow"/>
              </w:rPr>
            </w:rPrChange>
          </w:rPr>
          <w:delText>, Section</w:delText>
        </w:r>
        <w:r w:rsidRPr="0033584C" w:rsidDel="00626111">
          <w:rPr>
            <w:rPrChange w:id="164" w:author="Author">
              <w:rPr>
                <w:highlight w:val="yellow"/>
              </w:rPr>
            </w:rPrChange>
          </w:rPr>
          <w:delText xml:space="preserve"> 537</w:delText>
        </w:r>
      </w:del>
      <w:bookmarkStart w:id="165" w:name="_Hlk162286361"/>
      <w:ins w:id="166" w:author="Author">
        <w:r w:rsidRPr="00555C55">
          <w:t>OKLA. STAT.</w:t>
        </w:r>
        <w:bookmarkEnd w:id="165"/>
        <w:r w:rsidRPr="00555C55">
          <w:t xml:space="preserve"> tit. </w:t>
        </w:r>
        <w:r w:rsidRPr="0033584C">
          <w:rPr>
            <w:rPrChange w:id="167" w:author="Author">
              <w:rPr>
                <w:highlight w:val="yellow"/>
              </w:rPr>
            </w:rPrChange>
          </w:rPr>
          <w:t xml:space="preserve">37A. </w:t>
        </w:r>
        <w:r w:rsidRPr="00555C55">
          <w:t xml:space="preserve">§ </w:t>
        </w:r>
        <w:r w:rsidRPr="0033584C">
          <w:rPr>
            <w:rPrChange w:id="168" w:author="Author">
              <w:rPr>
                <w:highlight w:val="yellow"/>
              </w:rPr>
            </w:rPrChange>
          </w:rPr>
          <w:t>6-101. Prohibited acts – Violations – Penalties;</w:t>
        </w:r>
      </w:ins>
    </w:p>
    <w:p w14:paraId="587021F8" w14:textId="77777777" w:rsidR="00B51AC0" w:rsidRPr="0033584C" w:rsidRDefault="00B51AC0" w:rsidP="00B51AC0">
      <w:pPr>
        <w:pStyle w:val="blocktext6"/>
        <w:rPr>
          <w:ins w:id="169" w:author="Author"/>
          <w:rPrChange w:id="170" w:author="Author">
            <w:rPr>
              <w:ins w:id="171" w:author="Author"/>
              <w:highlight w:val="yellow"/>
            </w:rPr>
          </w:rPrChange>
        </w:rPr>
      </w:pPr>
      <w:ins w:id="172" w:author="Author">
        <w:r w:rsidRPr="00555C55">
          <w:t xml:space="preserve">OKLA. STAT. tit. </w:t>
        </w:r>
        <w:r w:rsidRPr="0033584C">
          <w:rPr>
            <w:rPrChange w:id="173" w:author="Author">
              <w:rPr>
                <w:highlight w:val="yellow"/>
              </w:rPr>
            </w:rPrChange>
          </w:rPr>
          <w:t>37A</w:t>
        </w:r>
        <w:r w:rsidRPr="00555C55">
          <w:t>.</w:t>
        </w:r>
        <w:r w:rsidRPr="0033584C">
          <w:rPr>
            <w:rPrChange w:id="174" w:author="Author">
              <w:rPr>
                <w:highlight w:val="yellow"/>
              </w:rPr>
            </w:rPrChange>
          </w:rPr>
          <w:t xml:space="preserve"> </w:t>
        </w:r>
        <w:r w:rsidRPr="00555C55">
          <w:t>§</w:t>
        </w:r>
        <w:r w:rsidRPr="0033584C">
          <w:rPr>
            <w:rPrChange w:id="175" w:author="Author">
              <w:rPr>
                <w:highlight w:val="yellow"/>
              </w:rPr>
            </w:rPrChange>
          </w:rPr>
          <w:t xml:space="preserve"> 6-102. Prohibited acts of licensees; </w:t>
        </w:r>
      </w:ins>
    </w:p>
    <w:p w14:paraId="60D4062D" w14:textId="77777777" w:rsidR="00B51AC0" w:rsidRPr="0033584C" w:rsidRDefault="00B51AC0" w:rsidP="00B51AC0">
      <w:pPr>
        <w:pStyle w:val="blocktext6"/>
        <w:rPr>
          <w:ins w:id="176" w:author="Author"/>
          <w:rPrChange w:id="177" w:author="Author">
            <w:rPr>
              <w:ins w:id="178" w:author="Author"/>
              <w:highlight w:val="yellow"/>
            </w:rPr>
          </w:rPrChange>
        </w:rPr>
      </w:pPr>
      <w:ins w:id="179" w:author="Author">
        <w:r w:rsidRPr="00555C55">
          <w:t xml:space="preserve">OKLA. STAT. tit. </w:t>
        </w:r>
        <w:r w:rsidRPr="0033584C">
          <w:rPr>
            <w:rPrChange w:id="180" w:author="Author">
              <w:rPr>
                <w:highlight w:val="yellow"/>
              </w:rPr>
            </w:rPrChange>
          </w:rPr>
          <w:t>37A</w:t>
        </w:r>
        <w:r w:rsidRPr="00555C55">
          <w:t>.</w:t>
        </w:r>
        <w:r w:rsidRPr="0033584C">
          <w:rPr>
            <w:rPrChange w:id="181" w:author="Author">
              <w:rPr>
                <w:highlight w:val="yellow"/>
              </w:rPr>
            </w:rPrChange>
          </w:rPr>
          <w:t xml:space="preserve"> </w:t>
        </w:r>
        <w:r w:rsidRPr="00555C55">
          <w:t>§</w:t>
        </w:r>
        <w:r w:rsidRPr="0033584C">
          <w:rPr>
            <w:rPrChange w:id="182" w:author="Author">
              <w:rPr>
                <w:highlight w:val="yellow"/>
              </w:rPr>
            </w:rPrChange>
          </w:rPr>
          <w:t xml:space="preserve"> 6-120. Selling, furnishing or giving alcoholic beverages to persons under 21 – Penalties; and</w:t>
        </w:r>
      </w:ins>
    </w:p>
    <w:p w14:paraId="40FDD972" w14:textId="77777777" w:rsidR="00B51AC0" w:rsidRPr="0033584C" w:rsidRDefault="00B51AC0" w:rsidP="00B51AC0">
      <w:pPr>
        <w:pStyle w:val="blocktext6"/>
        <w:rPr>
          <w:rPrChange w:id="183" w:author="Author">
            <w:rPr>
              <w:highlight w:val="yellow"/>
            </w:rPr>
          </w:rPrChange>
        </w:rPr>
      </w:pPr>
      <w:ins w:id="184" w:author="Author">
        <w:r w:rsidRPr="00555C55">
          <w:t xml:space="preserve">OKLA. STAT. tit. </w:t>
        </w:r>
        <w:r w:rsidRPr="0033584C">
          <w:rPr>
            <w:rPrChange w:id="185" w:author="Author">
              <w:rPr>
                <w:highlight w:val="yellow"/>
              </w:rPr>
            </w:rPrChange>
          </w:rPr>
          <w:t>37A</w:t>
        </w:r>
        <w:r w:rsidRPr="00555C55">
          <w:t>.</w:t>
        </w:r>
        <w:r w:rsidRPr="0033584C">
          <w:rPr>
            <w:rPrChange w:id="186" w:author="Author">
              <w:rPr>
                <w:highlight w:val="yellow"/>
              </w:rPr>
            </w:rPrChange>
          </w:rPr>
          <w:t xml:space="preserve"> </w:t>
        </w:r>
        <w:r w:rsidRPr="00555C55">
          <w:t>§</w:t>
        </w:r>
        <w:r w:rsidRPr="0033584C">
          <w:rPr>
            <w:rPrChange w:id="187" w:author="Author">
              <w:rPr>
                <w:highlight w:val="yellow"/>
              </w:rPr>
            </w:rPrChange>
          </w:rPr>
          <w:t xml:space="preserve"> 6-121.</w:t>
        </w:r>
        <w:r w:rsidRPr="00555C55">
          <w:t xml:space="preserve"> </w:t>
        </w:r>
        <w:r w:rsidRPr="0033584C">
          <w:rPr>
            <w:rPrChange w:id="188" w:author="Author">
              <w:rPr>
                <w:highlight w:val="yellow"/>
              </w:rPr>
            </w:rPrChange>
          </w:rPr>
          <w:t>Knowingly selling, furnishing or giving alcoholic beverages to insane, mentally deficient or intoxicated persons – Penalties.</w:t>
        </w:r>
      </w:ins>
    </w:p>
    <w:p w14:paraId="658BAFDF" w14:textId="77777777" w:rsidR="00B51AC0" w:rsidRPr="00555C55" w:rsidRDefault="00B51AC0" w:rsidP="00B51AC0">
      <w:pPr>
        <w:pStyle w:val="blocktext6"/>
      </w:pPr>
      <w:r w:rsidRPr="0033584C">
        <w:rPr>
          <w:rPrChange w:id="189" w:author="Author">
            <w:rPr>
              <w:highlight w:val="yellow"/>
            </w:rPr>
          </w:rPrChange>
        </w:rPr>
        <w:t>Th</w:t>
      </w:r>
      <w:ins w:id="190" w:author="Author">
        <w:r w:rsidRPr="0033584C">
          <w:rPr>
            <w:rPrChange w:id="191" w:author="Author">
              <w:rPr>
                <w:highlight w:val="yellow"/>
              </w:rPr>
            </w:rPrChange>
          </w:rPr>
          <w:t>ese</w:t>
        </w:r>
      </w:ins>
      <w:del w:id="192" w:author="Author">
        <w:r w:rsidRPr="0033584C" w:rsidDel="00917937">
          <w:rPr>
            <w:rPrChange w:id="193" w:author="Author">
              <w:rPr>
                <w:highlight w:val="yellow"/>
              </w:rPr>
            </w:rPrChange>
          </w:rPr>
          <w:delText>is</w:delText>
        </w:r>
      </w:del>
      <w:r w:rsidRPr="0033584C">
        <w:rPr>
          <w:rPrChange w:id="194" w:author="Author">
            <w:rPr>
              <w:highlight w:val="yellow"/>
            </w:rPr>
          </w:rPrChange>
        </w:rPr>
        <w:t xml:space="preserve"> statute</w:t>
      </w:r>
      <w:ins w:id="195" w:author="Author">
        <w:r w:rsidRPr="0033584C">
          <w:rPr>
            <w:rPrChange w:id="196" w:author="Author">
              <w:rPr>
                <w:highlight w:val="yellow"/>
              </w:rPr>
            </w:rPrChange>
          </w:rPr>
          <w:t>s</w:t>
        </w:r>
      </w:ins>
      <w:r w:rsidRPr="0033584C">
        <w:rPr>
          <w:rPrChange w:id="197" w:author="Author">
            <w:rPr>
              <w:highlight w:val="yellow"/>
            </w:rPr>
          </w:rPrChange>
        </w:rPr>
        <w:t xml:space="preserve"> </w:t>
      </w:r>
      <w:del w:id="198" w:author="Author">
        <w:r w:rsidRPr="0033584C" w:rsidDel="00917937">
          <w:rPr>
            <w:rPrChange w:id="199" w:author="Author">
              <w:rPr>
                <w:highlight w:val="yellow"/>
              </w:rPr>
            </w:rPrChange>
          </w:rPr>
          <w:delText xml:space="preserve">is </w:delText>
        </w:r>
      </w:del>
      <w:ins w:id="200" w:author="Author">
        <w:r w:rsidRPr="0033584C">
          <w:rPr>
            <w:rPrChange w:id="201" w:author="Author">
              <w:rPr>
                <w:highlight w:val="yellow"/>
              </w:rPr>
            </w:rPrChange>
          </w:rPr>
          <w:t>are</w:t>
        </w:r>
      </w:ins>
      <w:del w:id="202" w:author="Author">
        <w:r w:rsidRPr="0033584C" w:rsidDel="002D25F6">
          <w:rPr>
            <w:rPrChange w:id="203" w:author="Author">
              <w:rPr>
                <w:highlight w:val="yellow"/>
              </w:rPr>
            </w:rPrChange>
          </w:rPr>
          <w:delText>a</w:delText>
        </w:r>
      </w:del>
      <w:r w:rsidRPr="0033584C">
        <w:rPr>
          <w:rPrChange w:id="204" w:author="Author">
            <w:rPr>
              <w:highlight w:val="yellow"/>
            </w:rPr>
          </w:rPrChange>
        </w:rPr>
        <w:t xml:space="preserve"> liquor control law</w:t>
      </w:r>
      <w:ins w:id="205" w:author="Author">
        <w:r w:rsidRPr="0033584C">
          <w:rPr>
            <w:rPrChange w:id="206" w:author="Author">
              <w:rPr>
                <w:highlight w:val="yellow"/>
              </w:rPr>
            </w:rPrChange>
          </w:rPr>
          <w:t>s</w:t>
        </w:r>
      </w:ins>
      <w:r w:rsidRPr="0033584C">
        <w:rPr>
          <w:rPrChange w:id="207" w:author="Author">
            <w:rPr>
              <w:highlight w:val="yellow"/>
            </w:rPr>
          </w:rPrChange>
        </w:rPr>
        <w:t>, not</w:t>
      </w:r>
      <w:del w:id="208" w:author="Author">
        <w:r w:rsidRPr="0033584C" w:rsidDel="00103F37">
          <w:rPr>
            <w:rPrChange w:id="209" w:author="Author">
              <w:rPr>
                <w:highlight w:val="yellow"/>
              </w:rPr>
            </w:rPrChange>
          </w:rPr>
          <w:delText xml:space="preserve"> </w:delText>
        </w:r>
        <w:r w:rsidRPr="0033584C" w:rsidDel="002D25F6">
          <w:rPr>
            <w:rPrChange w:id="210" w:author="Author">
              <w:rPr>
                <w:highlight w:val="yellow"/>
              </w:rPr>
            </w:rPrChange>
          </w:rPr>
          <w:delText>a</w:delText>
        </w:r>
      </w:del>
      <w:r w:rsidRPr="0033584C">
        <w:rPr>
          <w:rPrChange w:id="211" w:author="Author">
            <w:rPr>
              <w:highlight w:val="yellow"/>
            </w:rPr>
          </w:rPrChange>
        </w:rPr>
        <w:t xml:space="preserve"> dramshop statute</w:t>
      </w:r>
      <w:ins w:id="212" w:author="Author">
        <w:r w:rsidRPr="0033584C">
          <w:rPr>
            <w:rPrChange w:id="213" w:author="Author">
              <w:rPr>
                <w:highlight w:val="yellow"/>
              </w:rPr>
            </w:rPrChange>
          </w:rPr>
          <w:t>s</w:t>
        </w:r>
      </w:ins>
      <w:r w:rsidRPr="0033584C">
        <w:rPr>
          <w:rPrChange w:id="214" w:author="Author">
            <w:rPr>
              <w:highlight w:val="yellow"/>
            </w:rPr>
          </w:rPrChange>
        </w:rPr>
        <w:t>.</w:t>
      </w:r>
    </w:p>
    <w:p w14:paraId="3AE6E676" w14:textId="77777777" w:rsidR="00B51AC0" w:rsidRPr="00555C55" w:rsidRDefault="00B51AC0" w:rsidP="00B51AC0">
      <w:pPr>
        <w:pStyle w:val="blocktext6"/>
        <w:rPr>
          <w:ins w:id="215" w:author="Author"/>
        </w:rPr>
      </w:pPr>
      <w:ins w:id="216" w:author="Author">
        <w:r w:rsidRPr="00555C55">
          <w:t>Among other aspects, t</w:t>
        </w:r>
      </w:ins>
      <w:del w:id="217" w:author="Author">
        <w:r w:rsidRPr="0033584C" w:rsidDel="00D3682A">
          <w:rPr>
            <w:rPrChange w:id="218" w:author="Author">
              <w:rPr>
                <w:highlight w:val="yellow"/>
              </w:rPr>
            </w:rPrChange>
          </w:rPr>
          <w:delText>T</w:delText>
        </w:r>
      </w:del>
      <w:r w:rsidRPr="0033584C">
        <w:rPr>
          <w:rPrChange w:id="219" w:author="Author">
            <w:rPr>
              <w:highlight w:val="yellow"/>
            </w:rPr>
          </w:rPrChange>
        </w:rPr>
        <w:t>he</w:t>
      </w:r>
      <w:ins w:id="220" w:author="Author">
        <w:r w:rsidRPr="0033584C">
          <w:rPr>
            <w:rPrChange w:id="221" w:author="Author">
              <w:rPr>
                <w:highlight w:val="yellow"/>
              </w:rPr>
            </w:rPrChange>
          </w:rPr>
          <w:t>se</w:t>
        </w:r>
      </w:ins>
      <w:r w:rsidRPr="0033584C">
        <w:rPr>
          <w:rPrChange w:id="222" w:author="Author">
            <w:rPr>
              <w:highlight w:val="yellow"/>
            </w:rPr>
          </w:rPrChange>
        </w:rPr>
        <w:t xml:space="preserve"> statute</w:t>
      </w:r>
      <w:ins w:id="223" w:author="Author">
        <w:r w:rsidRPr="0033584C">
          <w:rPr>
            <w:rPrChange w:id="224" w:author="Author">
              <w:rPr>
                <w:highlight w:val="yellow"/>
              </w:rPr>
            </w:rPrChange>
          </w:rPr>
          <w:t>s</w:t>
        </w:r>
      </w:ins>
      <w:r w:rsidRPr="0033584C">
        <w:rPr>
          <w:rPrChange w:id="225" w:author="Author">
            <w:rPr>
              <w:highlight w:val="yellow"/>
            </w:rPr>
          </w:rPrChange>
        </w:rPr>
        <w:t xml:space="preserve"> </w:t>
      </w:r>
      <w:ins w:id="226" w:author="Author">
        <w:r w:rsidRPr="00555C55">
          <w:t xml:space="preserve">generally </w:t>
        </w:r>
      </w:ins>
      <w:r w:rsidRPr="0033584C">
        <w:rPr>
          <w:rPrChange w:id="227" w:author="Author">
            <w:rPr>
              <w:highlight w:val="yellow"/>
            </w:rPr>
          </w:rPrChange>
        </w:rPr>
        <w:t>provide</w:t>
      </w:r>
      <w:del w:id="228" w:author="Author">
        <w:r w:rsidRPr="0033584C" w:rsidDel="00917937">
          <w:rPr>
            <w:rPrChange w:id="229" w:author="Author">
              <w:rPr>
                <w:highlight w:val="yellow"/>
              </w:rPr>
            </w:rPrChange>
          </w:rPr>
          <w:delText>s</w:delText>
        </w:r>
        <w:r w:rsidRPr="0033584C" w:rsidDel="00D3682A">
          <w:rPr>
            <w:rPrChange w:id="230" w:author="Author">
              <w:rPr>
                <w:highlight w:val="yellow"/>
              </w:rPr>
            </w:rPrChange>
          </w:rPr>
          <w:delText>, in part,</w:delText>
        </w:r>
      </w:del>
      <w:r w:rsidRPr="0033584C">
        <w:rPr>
          <w:rPrChange w:id="231" w:author="Author">
            <w:rPr>
              <w:highlight w:val="yellow"/>
            </w:rPr>
          </w:rPrChange>
        </w:rPr>
        <w:t xml:space="preserve"> </w:t>
      </w:r>
      <w:r w:rsidRPr="00555C55">
        <w:t>that no person shall</w:t>
      </w:r>
      <w:ins w:id="232" w:author="Author">
        <w:r w:rsidRPr="00555C55">
          <w:t>:</w:t>
        </w:r>
      </w:ins>
      <w:r w:rsidRPr="00555C55">
        <w:t xml:space="preserve"> </w:t>
      </w:r>
    </w:p>
    <w:p w14:paraId="47241EA6" w14:textId="77777777" w:rsidR="00B51AC0" w:rsidRPr="00555C55" w:rsidRDefault="00B51AC0" w:rsidP="00B51AC0">
      <w:pPr>
        <w:pStyle w:val="outlinetxt6"/>
        <w:rPr>
          <w:ins w:id="233" w:author="Author"/>
        </w:rPr>
      </w:pPr>
      <w:r w:rsidRPr="0033584C">
        <w:rPr>
          <w:rPrChange w:id="234" w:author="Author">
            <w:rPr>
              <w:b/>
              <w:bCs/>
            </w:rPr>
          </w:rPrChange>
        </w:rPr>
        <w:tab/>
      </w:r>
      <w:ins w:id="235" w:author="Author">
        <w:r w:rsidRPr="0033584C">
          <w:rPr>
            <w:b/>
            <w:bCs/>
            <w:rPrChange w:id="236" w:author="Author">
              <w:rPr/>
            </w:rPrChange>
          </w:rPr>
          <w:t>a.</w:t>
        </w:r>
        <w:r w:rsidRPr="00555C55">
          <w:tab/>
          <w:t>K</w:t>
        </w:r>
      </w:ins>
      <w:del w:id="237" w:author="Author">
        <w:r w:rsidRPr="00555C55" w:rsidDel="0027301F">
          <w:delText>k</w:delText>
        </w:r>
      </w:del>
      <w:r w:rsidRPr="00555C55">
        <w:t>nowingly sell, deliver or furnish alcoholic beverages to any person under 21</w:t>
      </w:r>
      <w:ins w:id="238" w:author="Author">
        <w:r w:rsidRPr="00555C55">
          <w:t>;</w:t>
        </w:r>
      </w:ins>
      <w:r w:rsidRPr="00555C55">
        <w:t xml:space="preserve"> or </w:t>
      </w:r>
    </w:p>
    <w:p w14:paraId="4FB8A1B7" w14:textId="77777777" w:rsidR="00B51AC0" w:rsidRPr="00555C55" w:rsidRDefault="00B51AC0">
      <w:pPr>
        <w:pStyle w:val="outlinetxt6"/>
        <w:pPrChange w:id="239" w:author="Author">
          <w:pPr>
            <w:pStyle w:val="blocktext6"/>
          </w:pPr>
        </w:pPrChange>
      </w:pPr>
      <w:ins w:id="240" w:author="Author">
        <w:r w:rsidRPr="00555C55">
          <w:tab/>
        </w:r>
        <w:r w:rsidRPr="0033584C">
          <w:rPr>
            <w:b/>
            <w:bCs/>
            <w:rPrChange w:id="241" w:author="Author">
              <w:rPr/>
            </w:rPrChange>
          </w:rPr>
          <w:t>b.</w:t>
        </w:r>
        <w:r w:rsidRPr="00555C55">
          <w:tab/>
        </w:r>
        <w:r w:rsidRPr="0033584C">
          <w:rPr>
            <w:rPrChange w:id="242" w:author="Author">
              <w:rPr>
                <w:highlight w:val="yellow"/>
              </w:rPr>
            </w:rPrChange>
          </w:rPr>
          <w:t xml:space="preserve">Sell, deliver or knowingly furnish alcoholic beverages </w:t>
        </w:r>
      </w:ins>
      <w:r w:rsidRPr="00555C55">
        <w:t>to an intoxicated person</w:t>
      </w:r>
      <w:del w:id="243" w:author="Author">
        <w:r w:rsidRPr="00555C55" w:rsidDel="0027301F">
          <w:delText>.</w:delText>
        </w:r>
      </w:del>
      <w:ins w:id="244" w:author="Author">
        <w:r w:rsidRPr="00555C55">
          <w:t xml:space="preserve"> or to any person who has been </w:t>
        </w:r>
        <w:r w:rsidRPr="0033584C">
          <w:rPr>
            <w:rPrChange w:id="245" w:author="Author">
              <w:rPr>
                <w:highlight w:val="yellow"/>
              </w:rPr>
            </w:rPrChange>
          </w:rPr>
          <w:t>adjudged insane or mentally deficient.</w:t>
        </w:r>
      </w:ins>
    </w:p>
    <w:p w14:paraId="7920DA65" w14:textId="77777777" w:rsidR="00B51AC0" w:rsidRPr="00555C55" w:rsidRDefault="00B51AC0">
      <w:pPr>
        <w:pStyle w:val="blockhd6"/>
        <w:pPrChange w:id="246" w:author="Author">
          <w:pPr>
            <w:pStyle w:val="blocktext6"/>
          </w:pPr>
        </w:pPrChange>
      </w:pPr>
      <w:r w:rsidRPr="00555C55">
        <w:t>Comments</w:t>
      </w:r>
      <w:del w:id="247" w:author="Author">
        <w:r w:rsidRPr="00555C55" w:rsidDel="0017223D">
          <w:delText>:</w:delText>
        </w:r>
      </w:del>
    </w:p>
    <w:p w14:paraId="7C674AA0" w14:textId="77777777" w:rsidR="00B51AC0" w:rsidRPr="00555C55" w:rsidRDefault="00B51AC0" w:rsidP="00B51AC0">
      <w:pPr>
        <w:pStyle w:val="blocktext6"/>
        <w:rPr>
          <w:ins w:id="248" w:author="Author"/>
        </w:rPr>
      </w:pPr>
      <w:ins w:id="249" w:author="Author">
        <w:r w:rsidRPr="00555C55">
          <w:t xml:space="preserve">The Oklahoma Supreme Court in </w:t>
        </w:r>
        <w:r w:rsidRPr="0033584C">
          <w:rPr>
            <w:i/>
            <w:iCs/>
            <w:rPrChange w:id="250" w:author="Author">
              <w:rPr/>
            </w:rPrChange>
          </w:rPr>
          <w:t>Busby v. Quail Creek Golf and Country Club, 885 P.2d 1326 (Okla. 1994)</w:t>
        </w:r>
        <w:r w:rsidRPr="00555C55">
          <w:t xml:space="preserve"> stated that to establish negligence per se on the basis of a statutory violation, the plaintiff must establish that: 1) the injury was caused by a statutory violation; 2) the injury was a type to be prevented by the statute; and 3) the injured party was of the class meant to be protected by the statute.</w:t>
        </w:r>
      </w:ins>
    </w:p>
    <w:p w14:paraId="21A6D8BC" w14:textId="77777777" w:rsidR="00B51AC0" w:rsidRPr="00555C55" w:rsidRDefault="00B51AC0" w:rsidP="00B51AC0">
      <w:pPr>
        <w:pStyle w:val="blocktext6"/>
      </w:pPr>
      <w:r w:rsidRPr="00555C55">
        <w:t xml:space="preserve">The Oklahoma Supreme Court in </w:t>
      </w:r>
      <w:r w:rsidRPr="00555C55">
        <w:rPr>
          <w:i/>
          <w:iCs/>
        </w:rPr>
        <w:t>Brigance v. The Velvet Dove Restaurant, Inc.,</w:t>
      </w:r>
      <w:r w:rsidRPr="0033584C">
        <w:rPr>
          <w:i/>
          <w:iCs/>
          <w:rPrChange w:id="251" w:author="Author">
            <w:rPr/>
          </w:rPrChange>
        </w:rPr>
        <w:t xml:space="preserve"> 725 P.2d 300 (Okla. 1986)</w:t>
      </w:r>
      <w:r w:rsidRPr="00555C55">
        <w:t xml:space="preserve"> </w:t>
      </w:r>
      <w:ins w:id="252" w:author="Author">
        <w:r w:rsidRPr="00555C55">
          <w:t xml:space="preserve">generally </w:t>
        </w:r>
      </w:ins>
      <w:r w:rsidRPr="00555C55">
        <w:t>ruled that a third-party passenger injured by an intoxicated driver had a civil cause of action against a commercial vendor for the on-premises consumption, for negligent sale of an intoxicating beverage to a person the vendor knew or should have known was noticeably intoxicated, and whose consumption of alcohol was the alleged cause of the injuries.</w:t>
      </w:r>
    </w:p>
    <w:p w14:paraId="18D55A79" w14:textId="77777777" w:rsidR="00B51AC0" w:rsidRPr="00555C55" w:rsidRDefault="00B51AC0" w:rsidP="00B51AC0">
      <w:pPr>
        <w:pStyle w:val="blocktext6"/>
      </w:pPr>
      <w:r w:rsidRPr="00555C55">
        <w:t xml:space="preserve">The Oklahoma Supreme Court in </w:t>
      </w:r>
      <w:r w:rsidRPr="0033584C">
        <w:rPr>
          <w:i/>
          <w:iCs/>
          <w:rPrChange w:id="253" w:author="Author">
            <w:rPr/>
          </w:rPrChange>
        </w:rPr>
        <w:t>Tomlinson v. Love's Country Stores, 854 P.2d. 910 (Okla. 1993)</w:t>
      </w:r>
      <w:r w:rsidRPr="00555C55">
        <w:t xml:space="preserve"> </w:t>
      </w:r>
      <w:del w:id="254" w:author="Author">
        <w:r w:rsidRPr="00555C55" w:rsidDel="00D81EFF">
          <w:delText>extended Brigance to apply to vendors who sell alcoholic beverages to minors for consumption off the premises of the vendor.</w:delText>
        </w:r>
      </w:del>
      <w:ins w:id="255" w:author="Author">
        <w:r w:rsidRPr="00555C55">
          <w:t>generally held that:</w:t>
        </w:r>
      </w:ins>
    </w:p>
    <w:p w14:paraId="4BFC93F2" w14:textId="77777777" w:rsidR="00B51AC0" w:rsidRPr="00555C55" w:rsidRDefault="00B51AC0">
      <w:pPr>
        <w:pStyle w:val="blocktext7"/>
        <w:numPr>
          <w:ilvl w:val="0"/>
          <w:numId w:val="4"/>
        </w:numPr>
        <w:rPr>
          <w:ins w:id="256" w:author="Author"/>
        </w:rPr>
        <w:pPrChange w:id="257" w:author="Author">
          <w:pPr>
            <w:pStyle w:val="blocktext4"/>
          </w:pPr>
        </w:pPrChange>
      </w:pPr>
      <w:ins w:id="258" w:author="Author">
        <w:r w:rsidRPr="00555C55">
          <w:t>The vendor has a duty not to sell alcoholic beverages to a person under 21 regardless of whether consumption was on- or off-premises of the vendor;</w:t>
        </w:r>
      </w:ins>
    </w:p>
    <w:p w14:paraId="33C48966" w14:textId="77777777" w:rsidR="00B51AC0" w:rsidRPr="00555C55" w:rsidRDefault="00B51AC0">
      <w:pPr>
        <w:pStyle w:val="blocktext7"/>
        <w:numPr>
          <w:ilvl w:val="0"/>
          <w:numId w:val="4"/>
        </w:numPr>
        <w:rPr>
          <w:ins w:id="259" w:author="Author"/>
        </w:rPr>
        <w:pPrChange w:id="260" w:author="Author">
          <w:pPr>
            <w:pStyle w:val="blocktext4"/>
          </w:pPr>
        </w:pPrChange>
      </w:pPr>
      <w:ins w:id="261" w:author="Author">
        <w:r w:rsidRPr="00555C55">
          <w:t>The vendor may rebut its duty not to sell to a minor by demonstrating that the purchaser appeared to be of age and that the vendor used reasonable means of identification to ascertain age of purchaser; and</w:t>
        </w:r>
      </w:ins>
    </w:p>
    <w:p w14:paraId="15D7E9C5" w14:textId="77777777" w:rsidR="00B51AC0" w:rsidRPr="00555C55" w:rsidRDefault="00B51AC0">
      <w:pPr>
        <w:pStyle w:val="blocktext7"/>
        <w:numPr>
          <w:ilvl w:val="0"/>
          <w:numId w:val="4"/>
        </w:numPr>
        <w:rPr>
          <w:ins w:id="262" w:author="Author"/>
        </w:rPr>
        <w:pPrChange w:id="263" w:author="Author">
          <w:pPr>
            <w:pStyle w:val="blocktext6"/>
          </w:pPr>
        </w:pPrChange>
      </w:pPr>
      <w:ins w:id="264" w:author="Author">
        <w:r w:rsidRPr="00555C55">
          <w:t>The common law duty is to exercise ordinary care in providing alcoholic beverages to an individual.</w:t>
        </w:r>
      </w:ins>
    </w:p>
    <w:p w14:paraId="172FEAA2" w14:textId="77777777" w:rsidR="00B51AC0" w:rsidRPr="00555C55" w:rsidRDefault="00B51AC0" w:rsidP="00B51AC0">
      <w:pPr>
        <w:pStyle w:val="blocktext6"/>
      </w:pPr>
      <w:ins w:id="265" w:author="Author">
        <w:r w:rsidRPr="00555C55">
          <w:t>The court also generally noted that the vendor may assert the negligence of the injured party, whether a minor or an adult, as a defense under Oklahoma's comparative negligence statute.</w:t>
        </w:r>
      </w:ins>
    </w:p>
    <w:p w14:paraId="244907F1" w14:textId="77777777" w:rsidR="00B51AC0" w:rsidRPr="00555C55" w:rsidRDefault="00B51AC0">
      <w:pPr>
        <w:pStyle w:val="blocktext6"/>
        <w:pPrChange w:id="266" w:author="Author">
          <w:pPr>
            <w:pStyle w:val="blocktext4"/>
          </w:pPr>
        </w:pPrChange>
      </w:pPr>
      <w:ins w:id="267" w:author="Author">
        <w:r w:rsidRPr="00555C55">
          <w:t xml:space="preserve">The Oklahoma Supreme Court in </w:t>
        </w:r>
        <w:r w:rsidRPr="0033584C">
          <w:rPr>
            <w:i/>
            <w:iCs/>
            <w:rPrChange w:id="268" w:author="Author">
              <w:rPr/>
            </w:rPrChange>
          </w:rPr>
          <w:t>Boyle v. ASAP Energy, Inc., 408 P. 3d 183 (</w:t>
        </w:r>
        <w:r w:rsidRPr="0033584C">
          <w:rPr>
            <w:i/>
            <w:iCs/>
            <w:rPrChange w:id="269" w:author="Author">
              <w:rPr>
                <w:highlight w:val="yellow"/>
              </w:rPr>
            </w:rPrChange>
          </w:rPr>
          <w:t xml:space="preserve">Okla. </w:t>
        </w:r>
        <w:r w:rsidRPr="0033584C">
          <w:rPr>
            <w:i/>
            <w:iCs/>
            <w:rPrChange w:id="270" w:author="Author">
              <w:rPr/>
            </w:rPrChange>
          </w:rPr>
          <w:t>2017)</w:t>
        </w:r>
        <w:r w:rsidRPr="00555C55">
          <w:t xml:space="preserve"> held that Oklahoma recognizes a cause of action when a commercial vendor </w:t>
        </w:r>
        <w:r w:rsidRPr="0033584C">
          <w:rPr>
            <w:rPrChange w:id="271" w:author="Author">
              <w:rPr>
                <w:highlight w:val="yellow"/>
              </w:rPr>
            </w:rPrChange>
          </w:rPr>
          <w:t xml:space="preserve">of </w:t>
        </w:r>
        <w:r w:rsidRPr="00555C55">
          <w:t>alcohol sells alcohol to a noticeably intoxicated person for consumption off the premises of the vendor when a person is injured as a result of the vendor violating a statute which prohibits such sales. The court also held that one who sells intoxicating beverages for consumption off the premises has a duty to exercise reasonable ca</w:t>
        </w:r>
        <w:r w:rsidRPr="0033584C">
          <w:rPr>
            <w:rPrChange w:id="272" w:author="Author">
              <w:rPr>
                <w:highlight w:val="yellow"/>
              </w:rPr>
            </w:rPrChange>
          </w:rPr>
          <w:t>r</w:t>
        </w:r>
        <w:r w:rsidRPr="00555C55">
          <w:t>e not to sell liquor to a noticeably intoxicated person.</w:t>
        </w:r>
      </w:ins>
    </w:p>
    <w:p w14:paraId="20C28025" w14:textId="77777777" w:rsidR="00B51AC0" w:rsidRDefault="00B51AC0" w:rsidP="00B51AC0">
      <w:pPr>
        <w:pStyle w:val="blocktext6"/>
      </w:pPr>
      <w:ins w:id="273" w:author="Author">
        <w:r w:rsidRPr="00555C55">
          <w:t xml:space="preserve">The Oklahoma Supreme Court in </w:t>
        </w:r>
        <w:r w:rsidRPr="0033584C">
          <w:rPr>
            <w:i/>
            <w:iCs/>
            <w:rPrChange w:id="274" w:author="Author">
              <w:rPr/>
            </w:rPrChange>
          </w:rPr>
          <w:t>Scheffer v. Buffalo Run Casino, PTE, Inc., 315 P.3d 359 (Okla. 2013)</w:t>
        </w:r>
        <w:r w:rsidRPr="00555C55">
          <w:t xml:space="preserve"> held that a tribe does not expressly waive its sovereign immunity by applying for and receiving a liquor license from the State of Oklahoma, and consequently the named tribe defendant in this case is immune from dram-shop liability in state court.</w:t>
        </w:r>
      </w:ins>
    </w:p>
    <w:bookmarkEnd w:id="145"/>
    <w:p w14:paraId="792C58AB" w14:textId="77777777" w:rsidR="00B51AC0" w:rsidRPr="00B51AC0" w:rsidRDefault="00B51AC0" w:rsidP="00B51AC0">
      <w:pPr>
        <w:pStyle w:val="isonormal"/>
        <w:jc w:val="center"/>
        <w:rPr>
          <w:i/>
          <w:iCs/>
        </w:rPr>
      </w:pPr>
      <w:r w:rsidRPr="00B51AC0">
        <w:rPr>
          <w:i/>
          <w:iCs/>
        </w:rPr>
        <w:t>The remainder of the rule is unchanged</w:t>
      </w:r>
    </w:p>
    <w:sectPr w:rsidR="00B51AC0" w:rsidRPr="00B51AC0" w:rsidSect="005D320F">
      <w:headerReference w:type="default" r:id="rId12"/>
      <w:footerReference w:type="default" r:id="rId13"/>
      <w:type w:val="evenPage"/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E2DD7" w14:textId="77777777" w:rsidR="0033584C" w:rsidRDefault="0033584C" w:rsidP="0033584C">
      <w:pPr>
        <w:spacing w:before="0" w:line="240" w:lineRule="auto"/>
      </w:pPr>
      <w:r>
        <w:separator/>
      </w:r>
    </w:p>
  </w:endnote>
  <w:endnote w:type="continuationSeparator" w:id="0">
    <w:p w14:paraId="4D9C7C35" w14:textId="77777777" w:rsidR="0033584C" w:rsidRDefault="0033584C" w:rsidP="0033584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5D320F" w14:paraId="003B8C8E" w14:textId="77777777">
      <w:tc>
        <w:tcPr>
          <w:tcW w:w="6900" w:type="dxa"/>
        </w:tcPr>
        <w:p w14:paraId="71CA9A94" w14:textId="171E258E" w:rsidR="005D320F" w:rsidRDefault="005D320F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04991808" w14:textId="77777777" w:rsidR="005D320F" w:rsidRDefault="005D320F" w:rsidP="00143BE8">
          <w:pPr>
            <w:pStyle w:val="FilingFooter"/>
          </w:pPr>
        </w:p>
      </w:tc>
    </w:tr>
  </w:tbl>
  <w:p w14:paraId="4FE6920D" w14:textId="77777777" w:rsidR="005D320F" w:rsidRDefault="005D320F" w:rsidP="005D320F">
    <w:pPr>
      <w:pStyle w:val="Filing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B08B4" w14:textId="77777777" w:rsidR="0033584C" w:rsidRDefault="0033584C" w:rsidP="0033584C">
      <w:pPr>
        <w:spacing w:before="0" w:line="240" w:lineRule="auto"/>
      </w:pPr>
      <w:r>
        <w:separator/>
      </w:r>
    </w:p>
  </w:footnote>
  <w:footnote w:type="continuationSeparator" w:id="0">
    <w:p w14:paraId="5B8894EA" w14:textId="77777777" w:rsidR="0033584C" w:rsidRDefault="0033584C" w:rsidP="0033584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D320F" w14:paraId="0F22E137" w14:textId="77777777">
      <w:tc>
        <w:tcPr>
          <w:tcW w:w="10100" w:type="dxa"/>
          <w:gridSpan w:val="2"/>
        </w:tcPr>
        <w:p w14:paraId="6BCF6A03" w14:textId="071B7605" w:rsidR="005D320F" w:rsidRDefault="005D320F" w:rsidP="00143BE8">
          <w:pPr>
            <w:pStyle w:val="FilingHeader"/>
          </w:pPr>
          <w:r>
            <w:t>OKLAHOMA – COMMERCIAL LINES</w:t>
          </w:r>
        </w:p>
      </w:tc>
    </w:tr>
    <w:tr w:rsidR="005D320F" w14:paraId="1CB2119E" w14:textId="77777777">
      <w:tc>
        <w:tcPr>
          <w:tcW w:w="8300" w:type="dxa"/>
        </w:tcPr>
        <w:p w14:paraId="4826B2A7" w14:textId="1FCED79A" w:rsidR="005D320F" w:rsidRDefault="005D320F" w:rsidP="00143BE8">
          <w:pPr>
            <w:pStyle w:val="FilingHeader"/>
          </w:pPr>
          <w:r>
            <w:t xml:space="preserve">RULES FILING CL-2024-OLIQ1 </w:t>
          </w:r>
        </w:p>
      </w:tc>
      <w:tc>
        <w:tcPr>
          <w:tcW w:w="1800" w:type="dxa"/>
        </w:tcPr>
        <w:p w14:paraId="0FA088F0" w14:textId="01C33DC2" w:rsidR="005D320F" w:rsidRPr="005D320F" w:rsidRDefault="00B32E6E" w:rsidP="00B32E6E">
          <w:pPr>
            <w:pStyle w:val="FilingHeader"/>
            <w:tabs>
              <w:tab w:val="center" w:pos="900"/>
              <w:tab w:val="right" w:pos="1800"/>
            </w:tabs>
          </w:pPr>
          <w:r>
            <w:tab/>
          </w:r>
          <w:r>
            <w:tab/>
          </w:r>
          <w:r w:rsidR="005D320F" w:rsidRPr="005D320F">
            <w:t xml:space="preserve">Page </w:t>
          </w:r>
          <w:r w:rsidR="005D320F" w:rsidRPr="005D320F">
            <w:fldChar w:fldCharType="begin"/>
          </w:r>
          <w:r w:rsidR="005D320F" w:rsidRPr="005D320F">
            <w:instrText xml:space="preserve"> = </w:instrText>
          </w:r>
          <w:r w:rsidR="005D320F" w:rsidRPr="005D320F">
            <w:fldChar w:fldCharType="begin"/>
          </w:r>
          <w:r w:rsidR="005D320F" w:rsidRPr="005D320F">
            <w:instrText xml:space="preserve"> PAGE  \* MERGEFORMAT </w:instrText>
          </w:r>
          <w:r w:rsidR="005D320F" w:rsidRPr="005D320F">
            <w:fldChar w:fldCharType="separate"/>
          </w:r>
          <w:r w:rsidR="004A31E0">
            <w:rPr>
              <w:noProof/>
            </w:rPr>
            <w:instrText>3</w:instrText>
          </w:r>
          <w:r w:rsidR="005D320F" w:rsidRPr="005D320F">
            <w:fldChar w:fldCharType="end"/>
          </w:r>
          <w:r w:rsidR="005D320F" w:rsidRPr="005D320F">
            <w:instrText xml:space="preserve"> + 2  \* MERGEFORMAT </w:instrText>
          </w:r>
          <w:r w:rsidR="005D320F" w:rsidRPr="005D320F">
            <w:fldChar w:fldCharType="separate"/>
          </w:r>
          <w:r w:rsidR="004A31E0">
            <w:rPr>
              <w:noProof/>
            </w:rPr>
            <w:t>5</w:t>
          </w:r>
          <w:r w:rsidR="005D320F" w:rsidRPr="005D320F">
            <w:fldChar w:fldCharType="end"/>
          </w:r>
          <w:r w:rsidR="005D320F" w:rsidRPr="005D320F">
            <w:t xml:space="preserve"> </w:t>
          </w:r>
        </w:p>
      </w:tc>
    </w:tr>
  </w:tbl>
  <w:p w14:paraId="3DAC07B0" w14:textId="77777777" w:rsidR="005D320F" w:rsidRDefault="005D320F" w:rsidP="005D320F">
    <w:pPr>
      <w:pStyle w:val="FilingHeader"/>
    </w:pPr>
  </w:p>
  <w:p w14:paraId="3CE53030" w14:textId="77777777" w:rsidR="00B51AC0" w:rsidRPr="00B51AC0" w:rsidRDefault="00B51AC0" w:rsidP="00B51AC0">
    <w:pPr>
      <w:pStyle w:val="FilingHeader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D0F4D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BBD2F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13C27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65E2ED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32F5F90"/>
    <w:multiLevelType w:val="hybridMultilevel"/>
    <w:tmpl w:val="BC3029BE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5" w15:restartNumberingAfterBreak="0">
    <w:nsid w:val="6A9A5457"/>
    <w:multiLevelType w:val="hybridMultilevel"/>
    <w:tmpl w:val="A06A877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384913200">
    <w:abstractNumId w:val="3"/>
  </w:num>
  <w:num w:numId="2" w16cid:durableId="39012406">
    <w:abstractNumId w:val="2"/>
  </w:num>
  <w:num w:numId="3" w16cid:durableId="243803617">
    <w:abstractNumId w:val="1"/>
  </w:num>
  <w:num w:numId="4" w16cid:durableId="359667295">
    <w:abstractNumId w:val="4"/>
  </w:num>
  <w:num w:numId="5" w16cid:durableId="1377198044">
    <w:abstractNumId w:val="5"/>
  </w:num>
  <w:num w:numId="6" w16cid:durableId="1779913507">
    <w:abstractNumId w:val="2"/>
  </w:num>
  <w:num w:numId="7" w16cid:durableId="1206403353">
    <w:abstractNumId w:val="0"/>
  </w:num>
  <w:num w:numId="8" w16cid:durableId="984550420">
    <w:abstractNumId w:val="2"/>
  </w:num>
  <w:num w:numId="9" w16cid:durableId="62423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linkStyle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ssFlag$" w:val="S"/>
    <w:docVar w:name="dbflag$" w:val="N"/>
    <w:docVar w:name="dcy$" w:val="2024"/>
    <w:docVar w:name="dfullob$" w:val="Commercial Lines"/>
    <w:docVar w:name="didnum$" w:val="OLIQ1"/>
    <w:docVar w:name="didyr$" w:val="2024"/>
    <w:docVar w:name="dlob$" w:val="CL"/>
    <w:docVar w:name="dpageno$" w:val="4"/>
    <w:docVar w:name="dRP$" w:val="RP"/>
    <w:docVar w:name="drpflag$" w:val="N"/>
    <w:docVar w:name="dst$" w:val="Oklahoma"/>
    <w:docVar w:name="dtype$" w:val="RULES FILING"/>
  </w:docVars>
  <w:rsids>
    <w:rsidRoot w:val="00E20D61"/>
    <w:rsid w:val="001A14D6"/>
    <w:rsid w:val="002F4DFF"/>
    <w:rsid w:val="00302D21"/>
    <w:rsid w:val="0033584C"/>
    <w:rsid w:val="00387916"/>
    <w:rsid w:val="004A31E0"/>
    <w:rsid w:val="004C6868"/>
    <w:rsid w:val="005D320F"/>
    <w:rsid w:val="008208C3"/>
    <w:rsid w:val="00AB2720"/>
    <w:rsid w:val="00B32E6E"/>
    <w:rsid w:val="00B51AC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1E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A31E0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4A31E0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4A31E0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4A31E0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4A31E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A31E0"/>
  </w:style>
  <w:style w:type="paragraph" w:styleId="Header">
    <w:name w:val="header"/>
    <w:basedOn w:val="isonormal"/>
    <w:link w:val="HeaderChar"/>
    <w:rsid w:val="004A31E0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4A31E0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4A31E0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4A31E0"/>
    <w:rPr>
      <w:rFonts w:ascii="Arial" w:eastAsia="Times New Roman" w:hAnsi="Arial"/>
      <w:sz w:val="18"/>
    </w:rPr>
  </w:style>
  <w:style w:type="character" w:customStyle="1" w:styleId="Heading1Char">
    <w:name w:val="Heading 1 Char"/>
    <w:basedOn w:val="DefaultParagraphFont"/>
    <w:link w:val="Heading1"/>
    <w:rsid w:val="004A31E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4A31E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4A31E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4A31E0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4A31E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4A31E0"/>
    <w:pPr>
      <w:spacing w:before="20" w:after="20"/>
      <w:jc w:val="left"/>
    </w:pPr>
  </w:style>
  <w:style w:type="paragraph" w:customStyle="1" w:styleId="isonormal">
    <w:name w:val="isonormal"/>
    <w:link w:val="isonormalChar"/>
    <w:rsid w:val="004A31E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4A31E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4A31E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4A31E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4A31E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4A31E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4A31E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4A31E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4A31E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4A31E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4A31E0"/>
    <w:pPr>
      <w:keepLines/>
    </w:pPr>
  </w:style>
  <w:style w:type="paragraph" w:customStyle="1" w:styleId="blocktext10">
    <w:name w:val="blocktext10"/>
    <w:basedOn w:val="isonormal"/>
    <w:rsid w:val="004A31E0"/>
    <w:pPr>
      <w:keepLines/>
      <w:ind w:left="2700"/>
    </w:pPr>
  </w:style>
  <w:style w:type="paragraph" w:customStyle="1" w:styleId="blocktext2">
    <w:name w:val="blocktext2"/>
    <w:basedOn w:val="isonormal"/>
    <w:rsid w:val="004A31E0"/>
    <w:pPr>
      <w:keepLines/>
      <w:ind w:left="300"/>
    </w:pPr>
  </w:style>
  <w:style w:type="paragraph" w:customStyle="1" w:styleId="blocktext3">
    <w:name w:val="blocktext3"/>
    <w:basedOn w:val="isonormal"/>
    <w:rsid w:val="004A31E0"/>
    <w:pPr>
      <w:keepLines/>
      <w:ind w:left="600"/>
    </w:pPr>
  </w:style>
  <w:style w:type="paragraph" w:customStyle="1" w:styleId="blocktext4">
    <w:name w:val="blocktext4"/>
    <w:basedOn w:val="isonormal"/>
    <w:rsid w:val="004A31E0"/>
    <w:pPr>
      <w:keepLines/>
      <w:ind w:left="900"/>
    </w:pPr>
  </w:style>
  <w:style w:type="paragraph" w:customStyle="1" w:styleId="blocktext5">
    <w:name w:val="blocktext5"/>
    <w:basedOn w:val="isonormal"/>
    <w:rsid w:val="004A31E0"/>
    <w:pPr>
      <w:keepLines/>
      <w:ind w:left="1200"/>
    </w:pPr>
  </w:style>
  <w:style w:type="paragraph" w:customStyle="1" w:styleId="blocktext6">
    <w:name w:val="blocktext6"/>
    <w:basedOn w:val="isonormal"/>
    <w:rsid w:val="004A31E0"/>
    <w:pPr>
      <w:keepLines/>
      <w:ind w:left="1500"/>
    </w:pPr>
  </w:style>
  <w:style w:type="paragraph" w:customStyle="1" w:styleId="blocktext7">
    <w:name w:val="blocktext7"/>
    <w:basedOn w:val="isonormal"/>
    <w:rsid w:val="004A31E0"/>
    <w:pPr>
      <w:keepLines/>
      <w:ind w:left="1800"/>
    </w:pPr>
  </w:style>
  <w:style w:type="paragraph" w:customStyle="1" w:styleId="blocktext8">
    <w:name w:val="blocktext8"/>
    <w:basedOn w:val="isonormal"/>
    <w:rsid w:val="004A31E0"/>
    <w:pPr>
      <w:keepLines/>
      <w:ind w:left="2100"/>
    </w:pPr>
  </w:style>
  <w:style w:type="paragraph" w:customStyle="1" w:styleId="blocktext9">
    <w:name w:val="blocktext9"/>
    <w:basedOn w:val="isonormal"/>
    <w:rsid w:val="004A31E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4A31E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4A31E0"/>
    <w:pPr>
      <w:jc w:val="center"/>
    </w:pPr>
    <w:rPr>
      <w:b/>
    </w:rPr>
  </w:style>
  <w:style w:type="paragraph" w:customStyle="1" w:styleId="ctoutlinetxt1">
    <w:name w:val="ctoutlinetxt1"/>
    <w:basedOn w:val="isonormal"/>
    <w:rsid w:val="004A31E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4A31E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4A31E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4A31E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4A31E0"/>
    <w:rPr>
      <w:b/>
    </w:rPr>
  </w:style>
  <w:style w:type="paragraph" w:customStyle="1" w:styleId="icblock">
    <w:name w:val="i/cblock"/>
    <w:basedOn w:val="isonormal"/>
    <w:rsid w:val="004A31E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4A31E0"/>
  </w:style>
  <w:style w:type="paragraph" w:styleId="MacroText">
    <w:name w:val="macro"/>
    <w:link w:val="MacroTextChar"/>
    <w:rsid w:val="004A31E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4A31E0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4A31E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4A31E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4A31E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4A31E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4A31E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4A31E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4A31E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4A31E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4A31E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4A31E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4A31E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4A31E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4A31E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4A31E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4A31E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4A31E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4A31E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4A31E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4A31E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4A31E0"/>
  </w:style>
  <w:style w:type="character" w:customStyle="1" w:styleId="rulelink">
    <w:name w:val="rulelink"/>
    <w:basedOn w:val="DefaultParagraphFont"/>
    <w:rsid w:val="004A31E0"/>
    <w:rPr>
      <w:b/>
    </w:rPr>
  </w:style>
  <w:style w:type="paragraph" w:styleId="Signature">
    <w:name w:val="Signature"/>
    <w:basedOn w:val="Normal"/>
    <w:link w:val="SignatureChar"/>
    <w:rsid w:val="004A31E0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4A31E0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4A31E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4A31E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4A31E0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4A31E0"/>
    <w:rPr>
      <w:b/>
    </w:rPr>
  </w:style>
  <w:style w:type="character" w:customStyle="1" w:styleId="spotlinktarget">
    <w:name w:val="spotlinktarget"/>
    <w:basedOn w:val="DefaultParagraphFont"/>
    <w:rsid w:val="004A31E0"/>
    <w:rPr>
      <w:b/>
    </w:rPr>
  </w:style>
  <w:style w:type="paragraph" w:customStyle="1" w:styleId="subcap">
    <w:name w:val="subcap"/>
    <w:basedOn w:val="isonormal"/>
    <w:rsid w:val="004A31E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4A31E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4A31E0"/>
    <w:pPr>
      <w:spacing w:after="60"/>
      <w:jc w:val="center"/>
    </w:pPr>
    <w:rPr>
      <w:i/>
    </w:rPr>
  </w:style>
  <w:style w:type="character" w:customStyle="1" w:styleId="SubtitleChar">
    <w:name w:val="Subtitle Char"/>
    <w:basedOn w:val="DefaultParagraphFont"/>
    <w:link w:val="Subtitle"/>
    <w:rsid w:val="004A31E0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4A31E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4A31E0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4A31E0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4A31E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4A31E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4A31E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4A31E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4A31E0"/>
    <w:pPr>
      <w:jc w:val="left"/>
    </w:pPr>
    <w:rPr>
      <w:b/>
    </w:rPr>
  </w:style>
  <w:style w:type="character" w:customStyle="1" w:styleId="tablelink">
    <w:name w:val="tablelink"/>
    <w:basedOn w:val="DefaultParagraphFont"/>
    <w:rsid w:val="004A31E0"/>
    <w:rPr>
      <w:b/>
    </w:rPr>
  </w:style>
  <w:style w:type="paragraph" w:customStyle="1" w:styleId="tabletext00">
    <w:name w:val="tabletext0/0"/>
    <w:basedOn w:val="isonormal"/>
    <w:rsid w:val="004A31E0"/>
    <w:pPr>
      <w:spacing w:before="0"/>
      <w:jc w:val="left"/>
    </w:pPr>
  </w:style>
  <w:style w:type="paragraph" w:customStyle="1" w:styleId="tabletext01">
    <w:name w:val="tabletext0/1"/>
    <w:basedOn w:val="isonormal"/>
    <w:rsid w:val="004A31E0"/>
    <w:pPr>
      <w:spacing w:before="0" w:after="20"/>
      <w:jc w:val="left"/>
    </w:pPr>
  </w:style>
  <w:style w:type="paragraph" w:customStyle="1" w:styleId="tabletext10">
    <w:name w:val="tabletext1/0"/>
    <w:basedOn w:val="isonormal"/>
    <w:rsid w:val="004A31E0"/>
    <w:pPr>
      <w:spacing w:before="20"/>
      <w:jc w:val="left"/>
    </w:pPr>
  </w:style>
  <w:style w:type="paragraph" w:customStyle="1" w:styleId="tabletext40">
    <w:name w:val="tabletext4/0"/>
    <w:basedOn w:val="isonormal"/>
    <w:rsid w:val="004A31E0"/>
    <w:pPr>
      <w:jc w:val="left"/>
    </w:pPr>
  </w:style>
  <w:style w:type="paragraph" w:customStyle="1" w:styleId="tabletext44">
    <w:name w:val="tabletext4/4"/>
    <w:basedOn w:val="isonormal"/>
    <w:rsid w:val="004A31E0"/>
    <w:pPr>
      <w:spacing w:after="80"/>
      <w:jc w:val="left"/>
    </w:pPr>
  </w:style>
  <w:style w:type="paragraph" w:customStyle="1" w:styleId="terr2colblock1">
    <w:name w:val="terr2colblock1"/>
    <w:basedOn w:val="isonormal"/>
    <w:rsid w:val="004A31E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4A31E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4A31E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4A31E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4A31E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4A31E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4A31E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4A31E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4A31E0"/>
  </w:style>
  <w:style w:type="paragraph" w:customStyle="1" w:styleId="tabletext1">
    <w:name w:val="tabletext1"/>
    <w:rsid w:val="004A31E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4A31E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4A31E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4A31E0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4A31E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4A31E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4A31E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4A31E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4A31E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4A31E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4A31E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4A31E0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4A31E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4A31E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4A31E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4A31E0"/>
  </w:style>
  <w:style w:type="paragraph" w:customStyle="1" w:styleId="spacesingle">
    <w:name w:val="spacesingle"/>
    <w:basedOn w:val="isonormal"/>
    <w:next w:val="isonormal"/>
    <w:rsid w:val="004A31E0"/>
    <w:pPr>
      <w:spacing w:line="240" w:lineRule="auto"/>
    </w:pPr>
  </w:style>
  <w:style w:type="character" w:customStyle="1" w:styleId="isonormalChar">
    <w:name w:val="isonormal Char"/>
    <w:basedOn w:val="DefaultParagraphFont"/>
    <w:link w:val="isonormal"/>
    <w:locked/>
    <w:rsid w:val="0033584C"/>
    <w:rPr>
      <w:rFonts w:ascii="Arial" w:eastAsia="Times New Roman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LI-BP-2024-270 - 003 - Rules.docx</DocumentName>
    <LOB xmlns="a86cc342-0045-41e2-80e9-abdb777d2eca">5</LOB>
    <Filings xmlns="a86cc342-0045-41e2-80e9-abdb777d2eca" xsi:nil="true"/>
    <AdditionalCircularNumbers xmlns="a86cc342-0045-41e2-80e9-abdb777d2eca">LI-GL-2024-120
</AdditionalCircularNumbers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i64612</AuthorId>
    <CircularDocDescription xmlns="a86cc342-0045-41e2-80e9-abdb777d2eca">Rules</CircularDocDescription>
    <Date_x0020_Modified xmlns="a86cc342-0045-41e2-80e9-abdb777d2eca">2024-07-29T04:00:00+00:00</Date_x0020_Modified>
    <CircularDate xmlns="a86cc342-0045-41e2-80e9-abdb777d2eca">2024-08-08T04:00:00+00:00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Commercial Lines filing CL-2024-OLIQ1 is filed to revise existing liquor liability provisions in Oklahoma. Applicable Lines: BP, GL Proposed Effective Date: 2/1/2025</KeyMessage>
    <CircularNumber xmlns="a86cc342-0045-41e2-80e9-abdb777d2eca">LI-BP-2024-270</CircularNumber>
    <AttachmentType xmlns="a86cc342-0045-41e2-80e9-abdb777d2eca">Rules</AttachmentType>
    <ActionTopic xmlns="a86cc342-0045-41e2-80e9-abdb777d2eca">8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Hamilton, Michael C.</AuthorName>
    <Sequence xmlns="a86cc342-0045-41e2-80e9-abdb777d2eca">2</Sequence>
    <ServiceModuleString xmlns="a86cc342-0045-41e2-80e9-abdb777d2eca">Rules;</ServiceModuleString>
    <CircId xmlns="a86cc342-0045-41e2-80e9-abdb777d2eca">41775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OKLAHOMA LIQUOR LIABILITY RULES REVISION FILED</CircularTitle>
    <Jurs xmlns="a86cc342-0045-41e2-80e9-abdb777d2eca">
      <Value>38</Value>
    </Jurs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33BE8F-723C-42CF-9C43-CC1BA5D5E148}"/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44adf9ce-3942-48ca-8943-eff3b9f4244a"/>
    <ds:schemaRef ds:uri="b46ec5a0-05e9-4998-b314-ddd445f86ee4"/>
    <ds:schemaRef ds:uri="http://purl.org/dc/elements/1.1/"/>
    <ds:schemaRef ds:uri="1ae2436d-1410-4b82-ac58-53a409a2fdb5"/>
    <ds:schemaRef ds:uri="4c5c0a7e-6ba6-48c9-8758-39008b2fdc61"/>
  </ds:schemaRefs>
</ds:datastoreItem>
</file>

<file path=customXml/itemProps4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5E18FED-E602-4B21-9C8B-11B709598C3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2</Pages>
  <Words>1259</Words>
  <Characters>6518</Characters>
  <Application>Microsoft Office Word</Application>
  <DocSecurity>0</DocSecurity>
  <Lines>104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2024-07-29T18:07:00Z</dcterms:created>
  <dcterms:modified xsi:type="dcterms:W3CDTF">2024-07-29T19:31:00Z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MediaServiceImageTags">
    <vt:lpwstr/>
  </property>
  <property fmtid="{D5CDD505-2E9C-101B-9397-08002B2CF9AE}" pid="11" name="_docset_NoMedatataSyncRequired">
    <vt:lpwstr>False</vt:lpwstr>
  </property>
  <property fmtid="{D5CDD505-2E9C-101B-9397-08002B2CF9AE}" pid="12" name="PSDName">
    <vt:lpwstr/>
  </property>
  <property fmtid="{D5CDD505-2E9C-101B-9397-08002B2CF9AE}" pid="13" name="PSDId">
    <vt:lpwstr/>
  </property>
</Properties>
</file>