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B9" w:rsidRDefault="006D13B9" w:rsidP="00EA6168">
      <w:pPr>
        <w:widowControl w:val="0"/>
        <w:autoSpaceDE w:val="0"/>
        <w:autoSpaceDN w:val="0"/>
        <w:adjustRightInd w:val="0"/>
        <w:spacing w:before="34" w:after="0" w:line="223" w:lineRule="exact"/>
        <w:ind w:right="-20"/>
        <w:rPr>
          <w:rFonts w:ascii="Arial" w:hAnsi="Arial" w:cs="Arial"/>
          <w:sz w:val="20"/>
          <w:szCs w:val="20"/>
        </w:rPr>
      </w:pP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34" w:after="0" w:line="223" w:lineRule="exact"/>
        <w:ind w:left="360" w:right="-20"/>
        <w:rPr>
          <w:rFonts w:ascii="Arial" w:hAnsi="Arial" w:cs="Arial"/>
          <w:sz w:val="20"/>
          <w:szCs w:val="20"/>
        </w:rPr>
      </w:pPr>
    </w:p>
    <w:p w:rsidR="006D13B9" w:rsidRPr="006D13B9" w:rsidRDefault="001D2FA9" w:rsidP="00EA616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4" w:after="0" w:line="223" w:lineRule="exact"/>
        <w:ind w:left="720" w:right="-2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Social Services Professional Liability </w:t>
      </w:r>
      <w:r w:rsidR="006510E2" w:rsidRPr="006D13B9">
        <w:rPr>
          <w:rFonts w:ascii="Arial" w:hAnsi="Arial" w:cs="Arial"/>
          <w:sz w:val="20"/>
          <w:szCs w:val="20"/>
        </w:rPr>
        <w:t xml:space="preserve">Coverage - </w:t>
      </w:r>
      <w:r w:rsidRPr="006D13B9">
        <w:rPr>
          <w:rFonts w:ascii="Arial" w:hAnsi="Arial" w:cs="Arial"/>
          <w:sz w:val="20"/>
          <w:szCs w:val="20"/>
        </w:rPr>
        <w:t>Alcohol and Drug Abuse Treatment</w:t>
      </w:r>
      <w:r w:rsidR="00EA6168" w:rsidRPr="006D13B9">
        <w:rPr>
          <w:rFonts w:ascii="Arial" w:hAnsi="Arial" w:cs="Arial"/>
          <w:sz w:val="20"/>
          <w:szCs w:val="20"/>
        </w:rPr>
        <w:t xml:space="preserve"> </w:t>
      </w:r>
      <w:r w:rsidRPr="006D13B9">
        <w:rPr>
          <w:rFonts w:ascii="Arial" w:hAnsi="Arial" w:cs="Arial"/>
          <w:sz w:val="20"/>
          <w:szCs w:val="20"/>
        </w:rPr>
        <w:t>Facilities (Addiction Treatment Centers)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8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</w:t>
      </w:r>
      <w:r w:rsidR="00475028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Professional Liability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4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118395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09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118397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AC6249" w:rsidRDefault="00EA6168" w:rsidP="00AC6249">
      <w:pPr>
        <w:widowControl w:val="0"/>
        <w:autoSpaceDE w:val="0"/>
        <w:autoSpaceDN w:val="0"/>
        <w:adjustRightInd w:val="0"/>
        <w:spacing w:after="0" w:line="240" w:lineRule="auto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</w:t>
      </w:r>
      <w:r w:rsidR="00CE14E9" w:rsidRPr="00EA6168">
        <w:rPr>
          <w:rFonts w:ascii="Arial" w:hAnsi="Arial" w:cs="Arial"/>
          <w:sz w:val="20"/>
          <w:szCs w:val="20"/>
        </w:rPr>
        <w:t xml:space="preserve">  </w:t>
      </w:r>
      <w:r w:rsidR="001D2FA9" w:rsidRPr="00EA6168">
        <w:rPr>
          <w:rFonts w:ascii="Arial" w:hAnsi="Arial" w:cs="Arial"/>
          <w:sz w:val="20"/>
          <w:szCs w:val="20"/>
        </w:rPr>
        <w:t>Mandatory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20" w:lineRule="exact"/>
        <w:ind w:left="1080" w:right="34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118437 (Exclusion of Specific Professional Incident)</w:t>
      </w:r>
    </w:p>
    <w:p w:rsidR="00B26801" w:rsidRDefault="001D2FA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15" w:lineRule="exact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Premium Determination</w:t>
      </w:r>
      <w:r w:rsidR="007415B1" w:rsidRPr="00AC6249">
        <w:rPr>
          <w:rFonts w:ascii="Arial" w:hAnsi="Arial" w:cs="Arial"/>
          <w:sz w:val="20"/>
          <w:szCs w:val="20"/>
        </w:rPr>
        <w:t>:</w:t>
      </w: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after="0" w:line="215" w:lineRule="exact"/>
        <w:ind w:left="720" w:right="-20"/>
        <w:rPr>
          <w:rFonts w:ascii="Arial" w:hAnsi="Arial" w:cs="Arial"/>
          <w:sz w:val="20"/>
          <w:szCs w:val="20"/>
        </w:rPr>
      </w:pPr>
    </w:p>
    <w:p w:rsidR="001D2FA9" w:rsidRPr="00EA6168" w:rsidRDefault="000C6718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09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Basic Limits ($100,000/$2</w:t>
      </w:r>
      <w:r w:rsidR="001D2FA9" w:rsidRPr="00EA6168">
        <w:rPr>
          <w:rFonts w:ascii="Arial" w:hAnsi="Arial" w:cs="Arial"/>
          <w:sz w:val="20"/>
          <w:szCs w:val="20"/>
        </w:rPr>
        <w:t>00,000) annual occurrence rates: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235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733675" cy="2438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before="91" w:after="0" w:line="240" w:lineRule="auto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9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rates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apply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per</w:t>
      </w:r>
      <w:r w:rsidRPr="00EA6168">
        <w:rPr>
          <w:rFonts w:ascii="Arial" w:hAnsi="Arial" w:cs="Arial"/>
          <w:spacing w:val="-18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employee.</w:t>
      </w:r>
      <w:r w:rsidRPr="00EA6168">
        <w:rPr>
          <w:rFonts w:ascii="Arial" w:hAnsi="Arial" w:cs="Arial"/>
          <w:spacing w:val="13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Part</w:t>
      </w:r>
      <w:r w:rsidRPr="00EA6168">
        <w:rPr>
          <w:rFonts w:ascii="Arial" w:hAnsi="Arial" w:cs="Arial"/>
          <w:spacing w:val="-2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employees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are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rated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at</w:t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after="0" w:line="223" w:lineRule="exact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half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24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7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rate.</w:t>
      </w:r>
    </w:p>
    <w:p w:rsidR="001A609D" w:rsidRDefault="001A609D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Pr="00EA6168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1A609D" w:rsidP="006D13B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Increased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Limits:</w:t>
      </w:r>
    </w:p>
    <w:p w:rsidR="006D13B9" w:rsidRPr="009B16CF" w:rsidRDefault="006D13B9" w:rsidP="006D13B9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 </w:t>
      </w:r>
      <w:r w:rsidR="001E2CC6" w:rsidRPr="001E2CC6">
        <w:rPr>
          <w:rFonts w:ascii="Arial" w:hAnsi="Arial" w:cs="Arial"/>
          <w:noProof/>
          <w:sz w:val="20"/>
          <w:szCs w:val="20"/>
        </w:rPr>
        <w:pict>
          <v:shape id="_x0000_s1026" style="position:absolute;left:0;text-align:left;margin-left:208.8pt;margin-top:82.35pt;width:.95pt;height:0;z-index:-25165619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1E2CC6" w:rsidRPr="001E2CC6">
        <w:rPr>
          <w:rFonts w:ascii="Arial" w:hAnsi="Arial" w:cs="Arial"/>
          <w:noProof/>
          <w:sz w:val="20"/>
          <w:szCs w:val="20"/>
        </w:rPr>
        <w:pict>
          <v:shape id="_x0000_s1027" style="position:absolute;left:0;text-align:left;margin-left:260.25pt;margin-top:82.35pt;width:.95pt;height:0;z-index:-25165516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1E2CC6" w:rsidRPr="001E2CC6">
        <w:rPr>
          <w:rFonts w:ascii="Arial" w:hAnsi="Arial" w:cs="Arial"/>
          <w:noProof/>
          <w:sz w:val="20"/>
          <w:szCs w:val="20"/>
        </w:rPr>
        <w:pict>
          <v:shape id="_x0000_s1028" style="position:absolute;left:0;text-align:left;margin-left:540.45pt;margin-top:82.35pt;width:.95pt;height:0;z-index:-25165414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1E2CC6" w:rsidRPr="001E2CC6">
        <w:rPr>
          <w:rFonts w:ascii="Arial" w:hAnsi="Arial" w:cs="Arial"/>
          <w:noProof/>
          <w:sz w:val="20"/>
          <w:szCs w:val="20"/>
        </w:rPr>
        <w:pict>
          <v:shape id="_x0000_s1029" style="position:absolute;left:0;text-align:left;margin-left:208.8pt;margin-top:106.85pt;width:.95pt;height:0;z-index:-25165312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1E2CC6" w:rsidRPr="001E2CC6">
        <w:rPr>
          <w:rFonts w:ascii="Arial" w:hAnsi="Arial" w:cs="Arial"/>
          <w:noProof/>
          <w:sz w:val="20"/>
          <w:szCs w:val="20"/>
        </w:rPr>
        <w:pict>
          <v:shape id="_x0000_s1030" style="position:absolute;left:0;text-align:left;margin-left:260.25pt;margin-top:106.85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1E2CC6" w:rsidRPr="001E2CC6">
        <w:rPr>
          <w:rFonts w:ascii="Arial" w:hAnsi="Arial" w:cs="Arial"/>
          <w:noProof/>
          <w:sz w:val="20"/>
          <w:szCs w:val="20"/>
        </w:rPr>
        <w:pict>
          <v:shape id="_x0000_s1031" style="position:absolute;left:0;text-align:left;margin-left:540.45pt;margin-top:106.85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Pr="009B16CF">
        <w:rPr>
          <w:rFonts w:ascii="Arial" w:hAnsi="Arial" w:cs="Arial"/>
          <w:position w:val="-1"/>
          <w:sz w:val="20"/>
          <w:szCs w:val="20"/>
        </w:rPr>
        <w:t>rations</w:t>
      </w:r>
      <w:r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Pr="009B16CF">
        <w:rPr>
          <w:rFonts w:ascii="Arial" w:hAnsi="Arial" w:cs="Arial"/>
          <w:position w:val="-1"/>
          <w:sz w:val="20"/>
          <w:szCs w:val="20"/>
        </w:rPr>
        <w:t>Subli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Code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334)</w:t>
      </w:r>
      <w:r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Table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1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–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$100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Pr="009B16CF">
        <w:rPr>
          <w:rFonts w:ascii="Arial" w:hAnsi="Arial" w:cs="Arial"/>
          <w:position w:val="-1"/>
          <w:sz w:val="20"/>
          <w:szCs w:val="20"/>
        </w:rPr>
        <w:t>200</w:t>
      </w:r>
      <w:r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Basic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6D13B9" w:rsidRPr="009F10FD" w:rsidRDefault="006D13B9" w:rsidP="006D13B9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6D13B9" w:rsidRPr="006D13B9" w:rsidTr="004740B0">
        <w:trPr>
          <w:trHeight w:hRule="exact" w:val="901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6D13B9" w:rsidRPr="006D13B9" w:rsidTr="004740B0">
        <w:trPr>
          <w:trHeight w:hRule="exact" w:val="5218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  50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100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200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300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600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0.72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0.97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1.01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1.21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0.89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1.33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0.90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1.34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1.05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1.46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1.48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1.49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1.50</w:t>
            </w:r>
          </w:p>
        </w:tc>
      </w:tr>
    </w:tbl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1A609D" w:rsidRPr="006D13B9" w:rsidRDefault="001A609D" w:rsidP="006D13B9">
      <w:pPr>
        <w:widowControl w:val="0"/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1D2FA9" w:rsidRPr="006D13B9" w:rsidRDefault="001D2FA9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>Claims made step factors:</w:t>
      </w:r>
    </w:p>
    <w:p w:rsidR="00217B96" w:rsidRPr="00EA6168" w:rsidRDefault="00217B96" w:rsidP="00EA6168">
      <w:pPr>
        <w:widowControl w:val="0"/>
        <w:autoSpaceDE w:val="0"/>
        <w:autoSpaceDN w:val="0"/>
        <w:adjustRightInd w:val="0"/>
        <w:spacing w:after="0" w:line="230" w:lineRule="exact"/>
        <w:ind w:left="1440" w:right="-188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 Claims Made factors utilized are the ISO premises non-construction classes, and these are to be applied to occurrence rates.</w:t>
      </w:r>
    </w:p>
    <w:p w:rsidR="00F95DB8" w:rsidRPr="00EA6168" w:rsidRDefault="00F95DB8" w:rsidP="00217B96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17B96" w:rsidRPr="00F95DB8" w:rsidTr="00EA5CBB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eastAsiaTheme="minorEastAsia" w:hAnsi="Arial" w:cs="Arial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Year of Cla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ms</w:t>
            </w: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Made Co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</w:t>
            </w:r>
            <w:r w:rsidRPr="00F95DB8">
              <w:rPr>
                <w:rFonts w:ascii="Arial" w:eastAsiaTheme="minorEastAsia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eastAsiaTheme="minorEastAsia" w:hAnsi="Times New Roman"/>
              </w:rPr>
            </w:pP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.70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.83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.89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.91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5 or M</w:t>
            </w:r>
            <w:r w:rsidRPr="00F95DB8">
              <w:rPr>
                <w:rFonts w:ascii="Arial" w:eastAsiaTheme="minorEastAsia" w:hAnsi="Arial" w:cs="Arial"/>
                <w:spacing w:val="-1"/>
                <w:sz w:val="20"/>
                <w:szCs w:val="20"/>
              </w:rPr>
              <w:t>o</w:t>
            </w: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.95</w:t>
            </w:r>
          </w:p>
        </w:tc>
      </w:tr>
    </w:tbl>
    <w:p w:rsidR="003E2665" w:rsidRDefault="003E2665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00227B" w:rsidRPr="003E2665" w:rsidRDefault="0000227B" w:rsidP="00AC6249">
      <w:pPr>
        <w:pStyle w:val="ListParagraph"/>
        <w:numPr>
          <w:ilvl w:val="0"/>
          <w:numId w:val="3"/>
        </w:numPr>
        <w:spacing w:after="0" w:line="240" w:lineRule="auto"/>
        <w:ind w:left="144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00227B" w:rsidRPr="0000227B" w:rsidRDefault="0000227B" w:rsidP="00AC6249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</w:t>
      </w:r>
      <w:r w:rsidR="0004352F">
        <w:rPr>
          <w:rFonts w:ascii="Arial" w:hAnsi="Arial" w:cs="Arial"/>
          <w:sz w:val="20"/>
          <w:szCs w:val="20"/>
        </w:rPr>
        <w:t>provision will</w:t>
      </w:r>
      <w:r w:rsidR="00F522EA">
        <w:rPr>
          <w:rFonts w:ascii="Arial" w:hAnsi="Arial" w:cs="Arial"/>
          <w:sz w:val="20"/>
          <w:szCs w:val="20"/>
        </w:rPr>
        <w:t xml:space="preserve"> apply if the 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</w:t>
      </w:r>
      <w:r w:rsidR="00B25AFB">
        <w:rPr>
          <w:rFonts w:ascii="Arial" w:hAnsi="Arial" w:cs="Arial"/>
          <w:sz w:val="20"/>
          <w:szCs w:val="20"/>
        </w:rPr>
        <w:t>m is greater than or equal to $7</w:t>
      </w:r>
      <w:r w:rsidRPr="0000227B">
        <w:rPr>
          <w:rFonts w:ascii="Arial" w:hAnsi="Arial" w:cs="Arial"/>
          <w:sz w:val="20"/>
          <w:szCs w:val="20"/>
        </w:rPr>
        <w:t>50.00.</w:t>
      </w:r>
    </w:p>
    <w:p w:rsidR="0000227B" w:rsidRPr="0000227B" w:rsidRDefault="0000227B" w:rsidP="003E2665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00227B" w:rsidRPr="0000227B" w:rsidTr="00AC6249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 w:rsidP="00AC6249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 w:rsidR="00AC62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E774E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00227B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E774E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00227B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E774E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00227B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E774E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+10% to -10</w:t>
            </w:r>
            <w:r w:rsidR="0000227B" w:rsidRPr="0000227B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00227B" w:rsidRDefault="00E774EE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Maximum </w:t>
      </w:r>
      <w:r w:rsidR="00126D65">
        <w:rPr>
          <w:rFonts w:ascii="Arial" w:hAnsi="Arial" w:cs="Arial"/>
          <w:bCs/>
          <w:sz w:val="20"/>
          <w:szCs w:val="20"/>
        </w:rPr>
        <w:t>aggregate +25% to -25%</w:t>
      </w:r>
    </w:p>
    <w:p w:rsidR="008A6A73" w:rsidRPr="008A6A73" w:rsidRDefault="008A6A73" w:rsidP="008A6A73">
      <w:pPr>
        <w:pStyle w:val="ListParagraph"/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before="33" w:after="0" w:line="237" w:lineRule="exact"/>
        <w:ind w:right="-20" w:hanging="720"/>
        <w:rPr>
          <w:rFonts w:ascii="Arial" w:hAnsi="Arial" w:cs="Arial"/>
          <w:position w:val="-1"/>
          <w:sz w:val="20"/>
          <w:szCs w:val="20"/>
        </w:rPr>
      </w:pPr>
      <w:r w:rsidRPr="008A6A73">
        <w:rPr>
          <w:rFonts w:ascii="Arial" w:hAnsi="Arial" w:cs="Arial"/>
          <w:position w:val="-1"/>
          <w:sz w:val="20"/>
          <w:szCs w:val="20"/>
        </w:rPr>
        <w:t>Optional Extended</w:t>
      </w:r>
      <w:r w:rsidRPr="008A6A73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Reporting</w:t>
      </w:r>
      <w:r w:rsidRPr="008A6A73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Period Endorsement (Form 118463):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left="1440" w:right="-380"/>
        <w:rPr>
          <w:rFonts w:ascii="Arial" w:hAnsi="Arial" w:cs="Arial"/>
          <w:sz w:val="20"/>
          <w:szCs w:val="20"/>
        </w:rPr>
      </w:pP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76FE4">
        <w:rPr>
          <w:rFonts w:ascii="Arial" w:hAnsi="Arial" w:cs="Arial"/>
          <w:sz w:val="20"/>
          <w:szCs w:val="20"/>
        </w:rPr>
        <w:t>One Ye</w:t>
      </w:r>
      <w:r w:rsidRPr="00176FE4">
        <w:rPr>
          <w:rFonts w:ascii="Arial" w:hAnsi="Arial" w:cs="Arial"/>
          <w:spacing w:val="-1"/>
          <w:sz w:val="20"/>
          <w:szCs w:val="20"/>
        </w:rPr>
        <w:t>a</w:t>
      </w:r>
      <w:r w:rsidRPr="00176FE4">
        <w:rPr>
          <w:rFonts w:ascii="Arial" w:hAnsi="Arial" w:cs="Arial"/>
          <w:sz w:val="20"/>
          <w:szCs w:val="20"/>
        </w:rPr>
        <w:t>r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100%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Thr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 xml:space="preserve">e Year </w:t>
      </w:r>
      <w:r w:rsidRPr="00176FE4">
        <w:rPr>
          <w:rFonts w:ascii="Arial" w:hAnsi="Arial" w:cs="Arial"/>
          <w:spacing w:val="-2"/>
          <w:sz w:val="20"/>
          <w:szCs w:val="20"/>
        </w:rPr>
        <w:t>E</w:t>
      </w:r>
      <w:r w:rsidRPr="00176FE4">
        <w:rPr>
          <w:rFonts w:ascii="Arial" w:hAnsi="Arial" w:cs="Arial"/>
          <w:spacing w:val="-1"/>
          <w:sz w:val="20"/>
          <w:szCs w:val="20"/>
        </w:rPr>
        <w:t>x</w:t>
      </w:r>
      <w:r w:rsidRPr="00176FE4">
        <w:rPr>
          <w:rFonts w:ascii="Arial" w:hAnsi="Arial" w:cs="Arial"/>
          <w:sz w:val="20"/>
          <w:szCs w:val="20"/>
        </w:rPr>
        <w:t>tended Re</w:t>
      </w:r>
      <w:r w:rsidRPr="00176FE4">
        <w:rPr>
          <w:rFonts w:ascii="Arial" w:hAnsi="Arial" w:cs="Arial"/>
          <w:spacing w:val="-1"/>
          <w:sz w:val="20"/>
          <w:szCs w:val="20"/>
        </w:rPr>
        <w:t>p</w:t>
      </w:r>
      <w:r w:rsidRPr="00176FE4">
        <w:rPr>
          <w:rFonts w:ascii="Arial" w:hAnsi="Arial" w:cs="Arial"/>
          <w:sz w:val="20"/>
          <w:szCs w:val="20"/>
        </w:rPr>
        <w:t>orting Per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od</w:t>
      </w:r>
      <w:r w:rsidRPr="00176FE4">
        <w:rPr>
          <w:rFonts w:ascii="Arial" w:hAnsi="Arial" w:cs="Arial"/>
          <w:sz w:val="20"/>
          <w:szCs w:val="20"/>
        </w:rPr>
        <w:tab/>
        <w:t>150%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Unlimited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200%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um</w:t>
      </w:r>
    </w:p>
    <w:p w:rsidR="008A6A73" w:rsidRPr="00AC6249" w:rsidRDefault="008A6A73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before="34" w:after="0" w:line="240" w:lineRule="auto"/>
        <w:ind w:left="720" w:right="421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Abuse or Molestation Coverage</w:t>
      </w:r>
    </w:p>
    <w:p w:rsidR="00A54865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10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 Sexual or Physical Abuse</w:t>
      </w:r>
      <w:r w:rsidR="001A609D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 xml:space="preserve">Liability 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2138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CE14E9" w:rsidRPr="00EA6168">
        <w:rPr>
          <w:rFonts w:ascii="Arial" w:hAnsi="Arial" w:cs="Arial"/>
          <w:sz w:val="20"/>
          <w:szCs w:val="20"/>
        </w:rPr>
        <w:t>118394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CE14E9" w:rsidRPr="00EA6168">
        <w:rPr>
          <w:rFonts w:ascii="Arial" w:hAnsi="Arial" w:cs="Arial"/>
          <w:sz w:val="20"/>
          <w:szCs w:val="20"/>
        </w:rPr>
        <w:t>118391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 Mandatory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Premium determination:</w:t>
      </w:r>
    </w:p>
    <w:p w:rsidR="001D2FA9" w:rsidRPr="00EA6168" w:rsidRDefault="001A609D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Occurrence premium i</w:t>
      </w:r>
      <w:r w:rsidR="001D2FA9" w:rsidRPr="00EA6168">
        <w:rPr>
          <w:rFonts w:ascii="Arial" w:hAnsi="Arial" w:cs="Arial"/>
          <w:sz w:val="20"/>
          <w:szCs w:val="20"/>
        </w:rPr>
        <w:t>s calculated as a percentage of modified general</w:t>
      </w:r>
      <w:r w:rsidR="006510E2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liability occurrence premium: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389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533650" cy="13906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32296F" w:rsidRDefault="001D2FA9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Univers ATT" w:hAnsi="Univers ATT"/>
          <w:sz w:val="20"/>
          <w:szCs w:val="20"/>
        </w:rPr>
      </w:pPr>
    </w:p>
    <w:p w:rsidR="001D2FA9" w:rsidRPr="00F40ECA" w:rsidRDefault="001D2FA9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Claims made step factors</w:t>
      </w:r>
      <w:r w:rsidR="00B549A4">
        <w:rPr>
          <w:rFonts w:ascii="Arial" w:hAnsi="Arial" w:cs="Arial"/>
          <w:sz w:val="20"/>
          <w:szCs w:val="20"/>
        </w:rPr>
        <w:t xml:space="preserve"> and extended reporting period factors</w:t>
      </w:r>
      <w:r w:rsidRPr="00F40ECA">
        <w:rPr>
          <w:rFonts w:ascii="Arial" w:hAnsi="Arial" w:cs="Arial"/>
          <w:sz w:val="20"/>
          <w:szCs w:val="20"/>
        </w:rPr>
        <w:t>: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12" w:lineRule="exact"/>
        <w:ind w:left="1440" w:right="945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 xml:space="preserve">ISO </w:t>
      </w:r>
      <w:r w:rsidR="001820AA" w:rsidRPr="00F40ECA">
        <w:rPr>
          <w:rFonts w:ascii="Arial" w:hAnsi="Arial" w:cs="Arial"/>
          <w:sz w:val="20"/>
          <w:szCs w:val="20"/>
        </w:rPr>
        <w:t xml:space="preserve">General Liability </w:t>
      </w:r>
      <w:r w:rsidRPr="00F40ECA">
        <w:rPr>
          <w:rFonts w:ascii="Arial" w:hAnsi="Arial" w:cs="Arial"/>
          <w:sz w:val="20"/>
          <w:szCs w:val="20"/>
        </w:rPr>
        <w:t>premises non-construction class claims made step factors and extended reporting factors are to be applied to occurrence rates.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before="13" w:after="0" w:line="200" w:lineRule="exact"/>
        <w:ind w:left="1440"/>
        <w:rPr>
          <w:rFonts w:ascii="Arial" w:hAnsi="Arial" w:cs="Arial"/>
          <w:sz w:val="20"/>
          <w:szCs w:val="20"/>
        </w:rPr>
      </w:pP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lastRenderedPageBreak/>
        <w:t>3.</w:t>
      </w:r>
      <w:r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A609D" w:rsidRPr="00F40ECA">
        <w:rPr>
          <w:rFonts w:ascii="Arial" w:hAnsi="Arial" w:cs="Arial"/>
          <w:position w:val="-1"/>
          <w:sz w:val="20"/>
          <w:szCs w:val="20"/>
        </w:rPr>
        <w:t xml:space="preserve">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3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Description of coverage: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7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Endorsement:  118392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22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c.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Form: Mandatory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108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d.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Premium determination:$50.00 Annual Flat Charge</w:t>
      </w:r>
    </w:p>
    <w:p w:rsidR="001A609D" w:rsidRPr="00F40ECA" w:rsidRDefault="001A609D">
      <w:pPr>
        <w:widowControl w:val="0"/>
        <w:autoSpaceDE w:val="0"/>
        <w:autoSpaceDN w:val="0"/>
        <w:adjustRightInd w:val="0"/>
        <w:spacing w:after="0" w:line="240" w:lineRule="exact"/>
        <w:ind w:left="632" w:right="-20"/>
        <w:rPr>
          <w:rFonts w:ascii="Arial" w:hAnsi="Arial" w:cs="Arial"/>
          <w:position w:val="-1"/>
          <w:sz w:val="20"/>
          <w:szCs w:val="20"/>
        </w:rPr>
      </w:pPr>
    </w:p>
    <w:p w:rsidR="001900A2" w:rsidRDefault="001900A2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position w:val="-1"/>
          <w:sz w:val="20"/>
          <w:szCs w:val="20"/>
        </w:rPr>
        <w:t>4</w:t>
      </w:r>
      <w:r w:rsidR="00F40ECA" w:rsidRPr="00F40ECA">
        <w:rPr>
          <w:rFonts w:ascii="Arial" w:hAnsi="Arial" w:cs="Arial"/>
          <w:position w:val="-1"/>
          <w:sz w:val="20"/>
          <w:szCs w:val="20"/>
        </w:rPr>
        <w:t>.</w:t>
      </w:r>
      <w:r w:rsidR="00F40ECA" w:rsidRPr="00F40ECA"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D2FA9" w:rsidRPr="00F40ECA">
        <w:rPr>
          <w:rFonts w:ascii="Arial" w:hAnsi="Arial" w:cs="Arial"/>
          <w:position w:val="-1"/>
          <w:sz w:val="20"/>
          <w:szCs w:val="20"/>
        </w:rPr>
        <w:t xml:space="preserve"> Property Enhancement Endorsement</w:t>
      </w:r>
    </w:p>
    <w:p w:rsidR="001D2FA9" w:rsidRPr="00F40ECA" w:rsidRDefault="001D2FA9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3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a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Pr="00F40ECA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7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b.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 xml:space="preserve">Endorsement: </w:t>
      </w:r>
      <w:r w:rsidR="00CE14E9" w:rsidRPr="00F40ECA">
        <w:rPr>
          <w:rFonts w:ascii="Arial" w:hAnsi="Arial" w:cs="Arial"/>
          <w:sz w:val="20"/>
          <w:szCs w:val="20"/>
        </w:rPr>
        <w:t xml:space="preserve"> 118359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22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Form: Mandatory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4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d.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Premium determination:$500.00 Annual Flat Charge</w:t>
      </w:r>
    </w:p>
    <w:p w:rsidR="001D2FA9" w:rsidRPr="00F40ECA" w:rsidRDefault="001D2FA9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706312" w:rsidRDefault="006710E1" w:rsidP="006710E1">
      <w:pPr>
        <w:widowControl w:val="0"/>
        <w:tabs>
          <w:tab w:val="left" w:pos="1275"/>
        </w:tabs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5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Schedule Rating</w:t>
      </w:r>
      <w:r w:rsidR="002B0A2C">
        <w:rPr>
          <w:rFonts w:ascii="Arial" w:hAnsi="Arial" w:cs="Arial"/>
          <w:sz w:val="20"/>
          <w:szCs w:val="20"/>
        </w:rPr>
        <w:t>, o</w:t>
      </w:r>
      <w:r w:rsidR="00706312">
        <w:rPr>
          <w:rFonts w:ascii="Arial" w:hAnsi="Arial" w:cs="Arial"/>
          <w:sz w:val="20"/>
          <w:szCs w:val="20"/>
        </w:rPr>
        <w:t>ther than Professional Liability</w:t>
      </w:r>
    </w:p>
    <w:p w:rsidR="00706312" w:rsidRPr="00706312" w:rsidRDefault="00706312" w:rsidP="00706312">
      <w:pPr>
        <w:ind w:left="720"/>
        <w:rPr>
          <w:rFonts w:ascii="Arial" w:hAnsi="Arial" w:cs="Arial"/>
          <w:sz w:val="20"/>
          <w:szCs w:val="20"/>
        </w:rPr>
      </w:pPr>
      <w:r w:rsidRPr="00706312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415465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6690"/>
        <w:gridCol w:w="1980"/>
      </w:tblGrid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6510E2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Theme="minorHAnsi" w:eastAsiaTheme="minorEastAsia" w:hAnsiTheme="minorHAnsi" w:cstheme="minorBidi"/>
              </w:rPr>
              <w:br w:type="page"/>
            </w:r>
            <w:r w:rsidR="00415465"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8A6A73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Optional Extended Reporting Period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 GL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F40ECA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118359</w:t>
            </w:r>
          </w:p>
        </w:tc>
      </w:tr>
      <w:tr w:rsidR="005C673E" w:rsidRPr="006B4643" w:rsidTr="00D3765F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5C673E" w:rsidRPr="006B4643" w:rsidTr="003C29FC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</w:tbl>
    <w:p w:rsidR="00415465" w:rsidRPr="0032296F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sectPr w:rsidR="00415465" w:rsidRPr="0032296F" w:rsidSect="00293AD8">
      <w:headerReference w:type="default" r:id="rId9"/>
      <w:footerReference w:type="default" r:id="rId10"/>
      <w:pgSz w:w="12240" w:h="15840" w:code="1"/>
      <w:pgMar w:top="1440" w:right="1714" w:bottom="1627" w:left="171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DEA" w:rsidRDefault="00F47DEA">
      <w:pPr>
        <w:spacing w:after="0" w:line="240" w:lineRule="auto"/>
      </w:pPr>
      <w:r>
        <w:separator/>
      </w:r>
    </w:p>
  </w:endnote>
  <w:endnote w:type="continuationSeparator" w:id="0">
    <w:p w:rsidR="00F47DEA" w:rsidRDefault="00F47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47123093"/>
          <w:docPartObj>
            <w:docPartGallery w:val="Page Numbers (Top of Page)"/>
            <w:docPartUnique/>
          </w:docPartObj>
        </w:sdtPr>
        <w:sdtContent>
          <w:p w:rsidR="003E2665" w:rsidRPr="00293AD8" w:rsidRDefault="00E774EE" w:rsidP="00293AD8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AIG-ATC-LA 0</w:t>
            </w:r>
            <w:r w:rsidR="0004352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1E2CC6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1E2CC6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4352F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1E2CC6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1E2CC6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1E2CC6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4352F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1E2CC6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DEA" w:rsidRDefault="00F47DEA">
      <w:pPr>
        <w:spacing w:after="0" w:line="240" w:lineRule="auto"/>
      </w:pPr>
      <w:r>
        <w:separator/>
      </w:r>
    </w:p>
  </w:footnote>
  <w:footnote w:type="continuationSeparator" w:id="0">
    <w:p w:rsidR="00F47DEA" w:rsidRDefault="00F47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665" w:rsidRDefault="003E2665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ADDICTION TREATMENT CENTERS PROGRAM</w:t>
    </w:r>
  </w:p>
  <w:p w:rsidR="00E774EE" w:rsidRPr="008E20AD" w:rsidRDefault="007E3BD7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LOUISIANA</w:t>
    </w:r>
  </w:p>
  <w:p w:rsidR="003E2665" w:rsidRPr="008E20AD" w:rsidRDefault="003E2665" w:rsidP="00F95DB8">
    <w:pPr>
      <w:pStyle w:val="Header"/>
      <w:jc w:val="center"/>
      <w:rPr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AB4"/>
    <w:multiLevelType w:val="hybridMultilevel"/>
    <w:tmpl w:val="4E2A15B8"/>
    <w:lvl w:ilvl="0" w:tplc="EA08EC34">
      <w:start w:val="1"/>
      <w:numFmt w:val="lowerRoman"/>
      <w:lvlText w:val="%1."/>
      <w:lvlJc w:val="left"/>
      <w:pPr>
        <w:ind w:left="281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1" w:hanging="360"/>
      </w:pPr>
    </w:lvl>
    <w:lvl w:ilvl="2" w:tplc="0409001B" w:tentative="1">
      <w:start w:val="1"/>
      <w:numFmt w:val="lowerRoman"/>
      <w:lvlText w:val="%3."/>
      <w:lvlJc w:val="right"/>
      <w:pPr>
        <w:ind w:left="3891" w:hanging="180"/>
      </w:pPr>
    </w:lvl>
    <w:lvl w:ilvl="3" w:tplc="0409000F" w:tentative="1">
      <w:start w:val="1"/>
      <w:numFmt w:val="decimal"/>
      <w:lvlText w:val="%4."/>
      <w:lvlJc w:val="left"/>
      <w:pPr>
        <w:ind w:left="4611" w:hanging="360"/>
      </w:pPr>
    </w:lvl>
    <w:lvl w:ilvl="4" w:tplc="04090019" w:tentative="1">
      <w:start w:val="1"/>
      <w:numFmt w:val="lowerLetter"/>
      <w:lvlText w:val="%5."/>
      <w:lvlJc w:val="left"/>
      <w:pPr>
        <w:ind w:left="5331" w:hanging="360"/>
      </w:pPr>
    </w:lvl>
    <w:lvl w:ilvl="5" w:tplc="0409001B" w:tentative="1">
      <w:start w:val="1"/>
      <w:numFmt w:val="lowerRoman"/>
      <w:lvlText w:val="%6."/>
      <w:lvlJc w:val="right"/>
      <w:pPr>
        <w:ind w:left="6051" w:hanging="180"/>
      </w:pPr>
    </w:lvl>
    <w:lvl w:ilvl="6" w:tplc="0409000F" w:tentative="1">
      <w:start w:val="1"/>
      <w:numFmt w:val="decimal"/>
      <w:lvlText w:val="%7."/>
      <w:lvlJc w:val="left"/>
      <w:pPr>
        <w:ind w:left="6771" w:hanging="360"/>
      </w:pPr>
    </w:lvl>
    <w:lvl w:ilvl="7" w:tplc="04090019" w:tentative="1">
      <w:start w:val="1"/>
      <w:numFmt w:val="lowerLetter"/>
      <w:lvlText w:val="%8."/>
      <w:lvlJc w:val="left"/>
      <w:pPr>
        <w:ind w:left="7491" w:hanging="360"/>
      </w:pPr>
    </w:lvl>
    <w:lvl w:ilvl="8" w:tplc="0409001B" w:tentative="1">
      <w:start w:val="1"/>
      <w:numFmt w:val="lowerRoman"/>
      <w:lvlText w:val="%9."/>
      <w:lvlJc w:val="right"/>
      <w:pPr>
        <w:ind w:left="8211" w:hanging="180"/>
      </w:pPr>
    </w:lvl>
  </w:abstractNum>
  <w:abstractNum w:abstractNumId="1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2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A5A3CE4"/>
    <w:multiLevelType w:val="hybridMultilevel"/>
    <w:tmpl w:val="4732BF60"/>
    <w:lvl w:ilvl="0" w:tplc="5832EA08">
      <w:start w:val="12"/>
      <w:numFmt w:val="lowerLetter"/>
      <w:lvlText w:val="%1."/>
      <w:lvlJc w:val="left"/>
      <w:pPr>
        <w:ind w:left="720" w:hanging="360"/>
      </w:pPr>
      <w:rPr>
        <w:rFonts w:hint="default"/>
        <w:w w:val="62"/>
      </w:rPr>
    </w:lvl>
    <w:lvl w:ilvl="1" w:tplc="3C002B02">
      <w:start w:val="5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D57B5"/>
    <w:multiLevelType w:val="hybridMultilevel"/>
    <w:tmpl w:val="42DA2210"/>
    <w:lvl w:ilvl="0" w:tplc="46524298">
      <w:start w:val="1"/>
      <w:numFmt w:val="decimal"/>
      <w:lvlText w:val="%1."/>
      <w:lvlJc w:val="left"/>
      <w:pPr>
        <w:ind w:left="1011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</w:lvl>
    <w:lvl w:ilvl="3" w:tplc="0409000F" w:tentative="1">
      <w:start w:val="1"/>
      <w:numFmt w:val="decimal"/>
      <w:lvlText w:val="%4."/>
      <w:lvlJc w:val="left"/>
      <w:pPr>
        <w:ind w:left="3171" w:hanging="360"/>
      </w:p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</w:lvl>
    <w:lvl w:ilvl="6" w:tplc="0409000F" w:tentative="1">
      <w:start w:val="1"/>
      <w:numFmt w:val="decimal"/>
      <w:lvlText w:val="%7."/>
      <w:lvlJc w:val="left"/>
      <w:pPr>
        <w:ind w:left="5331" w:hanging="360"/>
      </w:p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5">
    <w:nsid w:val="471E135F"/>
    <w:multiLevelType w:val="hybridMultilevel"/>
    <w:tmpl w:val="9E0CADD6"/>
    <w:lvl w:ilvl="0" w:tplc="25B872B2">
      <w:start w:val="1"/>
      <w:numFmt w:val="lowerRoman"/>
      <w:lvlText w:val="%1."/>
      <w:lvlJc w:val="left"/>
      <w:pPr>
        <w:ind w:left="2808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6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2945FF"/>
    <w:rsid w:val="0000227B"/>
    <w:rsid w:val="0004352F"/>
    <w:rsid w:val="0007458F"/>
    <w:rsid w:val="000B2E51"/>
    <w:rsid w:val="000B4FF5"/>
    <w:rsid w:val="000C6718"/>
    <w:rsid w:val="000E74A7"/>
    <w:rsid w:val="00126D65"/>
    <w:rsid w:val="00147D08"/>
    <w:rsid w:val="00155C16"/>
    <w:rsid w:val="00181EAB"/>
    <w:rsid w:val="001820AA"/>
    <w:rsid w:val="001900A2"/>
    <w:rsid w:val="001A609D"/>
    <w:rsid w:val="001D2FA9"/>
    <w:rsid w:val="001E2CC6"/>
    <w:rsid w:val="00202368"/>
    <w:rsid w:val="00210B89"/>
    <w:rsid w:val="00217B96"/>
    <w:rsid w:val="00237EBB"/>
    <w:rsid w:val="00240EE4"/>
    <w:rsid w:val="00242300"/>
    <w:rsid w:val="0028523C"/>
    <w:rsid w:val="0029321B"/>
    <w:rsid w:val="00293AD8"/>
    <w:rsid w:val="002945FF"/>
    <w:rsid w:val="002A0970"/>
    <w:rsid w:val="002B0A2C"/>
    <w:rsid w:val="00301848"/>
    <w:rsid w:val="0032296F"/>
    <w:rsid w:val="00342CAC"/>
    <w:rsid w:val="00364111"/>
    <w:rsid w:val="003736ED"/>
    <w:rsid w:val="003E2665"/>
    <w:rsid w:val="00415465"/>
    <w:rsid w:val="00424A1A"/>
    <w:rsid w:val="00460A87"/>
    <w:rsid w:val="00475028"/>
    <w:rsid w:val="0049283B"/>
    <w:rsid w:val="004F58B5"/>
    <w:rsid w:val="00510658"/>
    <w:rsid w:val="00514E47"/>
    <w:rsid w:val="00530EA1"/>
    <w:rsid w:val="005B21B5"/>
    <w:rsid w:val="005C673E"/>
    <w:rsid w:val="00602406"/>
    <w:rsid w:val="006510E2"/>
    <w:rsid w:val="00666B94"/>
    <w:rsid w:val="006710E1"/>
    <w:rsid w:val="006B4643"/>
    <w:rsid w:val="006D13B9"/>
    <w:rsid w:val="00706312"/>
    <w:rsid w:val="00730A0D"/>
    <w:rsid w:val="007415B1"/>
    <w:rsid w:val="007E3294"/>
    <w:rsid w:val="007E3BD7"/>
    <w:rsid w:val="00832B2F"/>
    <w:rsid w:val="00882A21"/>
    <w:rsid w:val="008A6A73"/>
    <w:rsid w:val="008E043E"/>
    <w:rsid w:val="008E20AD"/>
    <w:rsid w:val="008F0952"/>
    <w:rsid w:val="00917EEB"/>
    <w:rsid w:val="00A54865"/>
    <w:rsid w:val="00A62253"/>
    <w:rsid w:val="00A82521"/>
    <w:rsid w:val="00A96EFA"/>
    <w:rsid w:val="00AC6249"/>
    <w:rsid w:val="00B25AFB"/>
    <w:rsid w:val="00B26801"/>
    <w:rsid w:val="00B549A4"/>
    <w:rsid w:val="00B75115"/>
    <w:rsid w:val="00BB75C6"/>
    <w:rsid w:val="00BD25E8"/>
    <w:rsid w:val="00C1295A"/>
    <w:rsid w:val="00C218CF"/>
    <w:rsid w:val="00C2622B"/>
    <w:rsid w:val="00C35A1C"/>
    <w:rsid w:val="00C35A9D"/>
    <w:rsid w:val="00C47516"/>
    <w:rsid w:val="00C73FB6"/>
    <w:rsid w:val="00CC20AA"/>
    <w:rsid w:val="00CD3137"/>
    <w:rsid w:val="00CE14E9"/>
    <w:rsid w:val="00D150F5"/>
    <w:rsid w:val="00D47C43"/>
    <w:rsid w:val="00DA1A1F"/>
    <w:rsid w:val="00DA76D5"/>
    <w:rsid w:val="00DC4B8F"/>
    <w:rsid w:val="00E16D05"/>
    <w:rsid w:val="00E43DEE"/>
    <w:rsid w:val="00E774EE"/>
    <w:rsid w:val="00EA14F1"/>
    <w:rsid w:val="00EA5CBB"/>
    <w:rsid w:val="00EA6168"/>
    <w:rsid w:val="00EC412B"/>
    <w:rsid w:val="00F1396C"/>
    <w:rsid w:val="00F2346A"/>
    <w:rsid w:val="00F40ECA"/>
    <w:rsid w:val="00F47DEA"/>
    <w:rsid w:val="00F522EA"/>
    <w:rsid w:val="00F64803"/>
    <w:rsid w:val="00F95DB8"/>
    <w:rsid w:val="00F96EDE"/>
    <w:rsid w:val="00FD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23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2FA9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2FA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F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39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9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1396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396C"/>
    <w:rPr>
      <w:b/>
      <w:bCs/>
    </w:rPr>
  </w:style>
  <w:style w:type="paragraph" w:styleId="ListParagraph">
    <w:name w:val="List Paragraph"/>
    <w:basedOn w:val="Normal"/>
    <w:uiPriority w:val="34"/>
    <w:qFormat/>
    <w:rsid w:val="008E2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525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9</cp:revision>
  <cp:lastPrinted>2015-02-19T15:33:00Z</cp:lastPrinted>
  <dcterms:created xsi:type="dcterms:W3CDTF">2015-03-12T14:37:00Z</dcterms:created>
  <dcterms:modified xsi:type="dcterms:W3CDTF">2015-03-23T12:40:00Z</dcterms:modified>
</cp:coreProperties>
</file>