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620" w:type="dxa"/>
        <w:tblInd w:w="-432" w:type="dxa"/>
        <w:tblLayout w:type="fixed"/>
        <w:tblLook w:val="01E0" w:firstRow="1" w:lastRow="1" w:firstColumn="1" w:lastColumn="1" w:noHBand="0" w:noVBand="0"/>
      </w:tblPr>
      <w:tblGrid>
        <w:gridCol w:w="1800"/>
        <w:gridCol w:w="4140"/>
        <w:gridCol w:w="4680"/>
      </w:tblGrid>
      <w:tr w:rsidR="00E9632D" w:rsidRPr="002D30A4" w14:paraId="7F00EC5D" w14:textId="77777777" w:rsidTr="002D30A4">
        <w:tc>
          <w:tcPr>
            <w:tcW w:w="5940" w:type="dxa"/>
            <w:gridSpan w:val="2"/>
          </w:tcPr>
          <w:p w14:paraId="7F00EC58" w14:textId="77777777" w:rsidR="00E9632D" w:rsidRPr="002D30A4" w:rsidRDefault="00A45052" w:rsidP="00B96178">
            <w:pPr>
              <w:rPr>
                <w:rFonts w:ascii="Arial" w:hAnsi="Arial" w:cs="Arial"/>
                <w:b/>
                <w:sz w:val="16"/>
                <w:szCs w:val="16"/>
              </w:rPr>
            </w:pPr>
            <w:bookmarkStart w:id="0" w:name="_GoBack"/>
            <w:bookmarkEnd w:id="0"/>
            <w:r w:rsidRPr="002D30A4">
              <w:rPr>
                <w:rFonts w:ascii="Arial" w:hAnsi="Arial" w:cs="Arial"/>
                <w:b/>
                <w:sz w:val="16"/>
                <w:szCs w:val="16"/>
              </w:rPr>
              <w:t>Category</w:t>
            </w:r>
            <w:r w:rsidR="00E9632D" w:rsidRPr="002D30A4">
              <w:rPr>
                <w:rFonts w:ascii="Arial" w:hAnsi="Arial" w:cs="Arial"/>
                <w:b/>
                <w:sz w:val="16"/>
                <w:szCs w:val="16"/>
              </w:rPr>
              <w:t xml:space="preserve">: </w:t>
            </w:r>
          </w:p>
          <w:p w14:paraId="7F00EC59" w14:textId="77777777" w:rsidR="00A45052" w:rsidRPr="00C01C4E" w:rsidRDefault="00B677DA" w:rsidP="00B96178">
            <w:pPr>
              <w:rPr>
                <w:rFonts w:ascii="Arial" w:hAnsi="Arial" w:cs="Arial"/>
                <w:b/>
                <w:color w:val="00B0F0"/>
                <w:sz w:val="20"/>
                <w:szCs w:val="20"/>
              </w:rPr>
            </w:pPr>
            <w:r w:rsidRPr="00C01C4E">
              <w:rPr>
                <w:rFonts w:ascii="Arial" w:hAnsi="Arial" w:cs="Arial"/>
                <w:b/>
                <w:bCs/>
                <w:color w:val="00B0F0"/>
                <w:sz w:val="20"/>
                <w:szCs w:val="20"/>
              </w:rPr>
              <w:t>Standard</w:t>
            </w:r>
          </w:p>
        </w:tc>
        <w:tc>
          <w:tcPr>
            <w:tcW w:w="4680" w:type="dxa"/>
          </w:tcPr>
          <w:p w14:paraId="7F00EC5A" w14:textId="77777777" w:rsidR="00E9632D" w:rsidRPr="002D30A4" w:rsidRDefault="00E9632D" w:rsidP="002D30A4">
            <w:pPr>
              <w:jc w:val="both"/>
              <w:rPr>
                <w:rFonts w:ascii="Arial" w:hAnsi="Arial" w:cs="Arial"/>
                <w:i/>
                <w:iCs/>
                <w:sz w:val="16"/>
                <w:szCs w:val="16"/>
              </w:rPr>
            </w:pPr>
            <w:r w:rsidRPr="002D30A4">
              <w:rPr>
                <w:rFonts w:ascii="Arial" w:hAnsi="Arial" w:cs="Arial"/>
                <w:b/>
                <w:bCs/>
                <w:sz w:val="16"/>
                <w:szCs w:val="16"/>
              </w:rPr>
              <w:t>Functional Area</w:t>
            </w:r>
            <w:r w:rsidRPr="002D30A4">
              <w:rPr>
                <w:rFonts w:ascii="Arial" w:hAnsi="Arial" w:cs="Arial"/>
                <w:i/>
                <w:iCs/>
                <w:sz w:val="16"/>
                <w:szCs w:val="16"/>
              </w:rPr>
              <w:t>:</w:t>
            </w:r>
          </w:p>
          <w:p w14:paraId="7F00EC5B" w14:textId="77777777" w:rsidR="00E9632D" w:rsidRPr="00C01C4E" w:rsidRDefault="00E9632D" w:rsidP="002D30A4">
            <w:pPr>
              <w:jc w:val="both"/>
              <w:rPr>
                <w:b/>
                <w:color w:val="00B0F0"/>
                <w:sz w:val="20"/>
                <w:szCs w:val="20"/>
              </w:rPr>
            </w:pPr>
            <w:r w:rsidRPr="00C01C4E">
              <w:rPr>
                <w:rFonts w:ascii="Arial" w:hAnsi="Arial" w:cs="Arial"/>
                <w:b/>
                <w:iCs/>
                <w:color w:val="00B0F0"/>
                <w:sz w:val="20"/>
                <w:szCs w:val="20"/>
              </w:rPr>
              <w:t xml:space="preserve">Global </w:t>
            </w:r>
            <w:r w:rsidR="00A45052" w:rsidRPr="00C01C4E">
              <w:rPr>
                <w:rFonts w:ascii="Arial" w:hAnsi="Arial" w:cs="Arial"/>
                <w:b/>
                <w:iCs/>
                <w:color w:val="00B0F0"/>
                <w:sz w:val="20"/>
                <w:szCs w:val="20"/>
              </w:rPr>
              <w:t xml:space="preserve">Commercial </w:t>
            </w:r>
            <w:r w:rsidRPr="00C01C4E">
              <w:rPr>
                <w:rFonts w:ascii="Arial" w:hAnsi="Arial" w:cs="Arial"/>
                <w:b/>
                <w:iCs/>
                <w:color w:val="00B0F0"/>
                <w:sz w:val="20"/>
                <w:szCs w:val="20"/>
              </w:rPr>
              <w:t>Underwriting</w:t>
            </w:r>
          </w:p>
          <w:p w14:paraId="7F00EC5C" w14:textId="77777777" w:rsidR="00E9632D" w:rsidRPr="002D30A4" w:rsidRDefault="00E9632D" w:rsidP="002D30A4">
            <w:pPr>
              <w:jc w:val="both"/>
              <w:rPr>
                <w:rFonts w:ascii="Arial" w:hAnsi="Arial" w:cs="Arial"/>
                <w:i/>
                <w:iCs/>
                <w:sz w:val="16"/>
                <w:szCs w:val="16"/>
              </w:rPr>
            </w:pPr>
          </w:p>
        </w:tc>
      </w:tr>
      <w:tr w:rsidR="00E9632D" w:rsidRPr="002D30A4" w14:paraId="7F00EC63" w14:textId="77777777" w:rsidTr="002D30A4">
        <w:tc>
          <w:tcPr>
            <w:tcW w:w="5940" w:type="dxa"/>
            <w:gridSpan w:val="2"/>
          </w:tcPr>
          <w:p w14:paraId="7F00EC5E" w14:textId="77777777" w:rsidR="00E9632D" w:rsidRPr="002D30A4" w:rsidRDefault="00E9632D" w:rsidP="002D30A4">
            <w:pPr>
              <w:jc w:val="both"/>
              <w:rPr>
                <w:rFonts w:ascii="Arial" w:hAnsi="Arial" w:cs="Arial"/>
                <w:i/>
                <w:iCs/>
                <w:sz w:val="16"/>
                <w:szCs w:val="16"/>
              </w:rPr>
            </w:pPr>
            <w:r w:rsidRPr="002D30A4">
              <w:rPr>
                <w:rFonts w:ascii="Arial" w:hAnsi="Arial" w:cs="Arial"/>
                <w:b/>
                <w:bCs/>
                <w:sz w:val="16"/>
                <w:szCs w:val="16"/>
              </w:rPr>
              <w:t>Effective Date</w:t>
            </w:r>
            <w:r w:rsidRPr="002D30A4">
              <w:rPr>
                <w:rFonts w:ascii="Arial" w:hAnsi="Arial" w:cs="Arial"/>
                <w:i/>
                <w:iCs/>
                <w:sz w:val="16"/>
                <w:szCs w:val="16"/>
              </w:rPr>
              <w:t xml:space="preserve">: </w:t>
            </w:r>
          </w:p>
          <w:p w14:paraId="7F00EC5F" w14:textId="77777777" w:rsidR="00E9632D" w:rsidRPr="00C01C4E" w:rsidRDefault="00281284" w:rsidP="002D30A4">
            <w:pPr>
              <w:jc w:val="both"/>
              <w:rPr>
                <w:rFonts w:ascii="Arial" w:hAnsi="Arial" w:cs="Arial"/>
                <w:b/>
                <w:bCs/>
                <w:color w:val="00B0F0"/>
                <w:sz w:val="16"/>
                <w:szCs w:val="16"/>
              </w:rPr>
            </w:pPr>
            <w:r w:rsidRPr="00C01C4E">
              <w:rPr>
                <w:rFonts w:ascii="Arial" w:hAnsi="Arial" w:cs="Arial"/>
                <w:b/>
                <w:i/>
                <w:iCs/>
                <w:color w:val="00B0F0"/>
                <w:sz w:val="20"/>
                <w:szCs w:val="20"/>
              </w:rPr>
              <w:t xml:space="preserve">November </w:t>
            </w:r>
            <w:r w:rsidR="00424CF3" w:rsidRPr="00C01C4E">
              <w:rPr>
                <w:rFonts w:ascii="Arial" w:hAnsi="Arial" w:cs="Arial"/>
                <w:b/>
                <w:i/>
                <w:iCs/>
                <w:color w:val="00B0F0"/>
                <w:sz w:val="20"/>
                <w:szCs w:val="20"/>
              </w:rPr>
              <w:t>1,</w:t>
            </w:r>
            <w:r w:rsidR="003123BD" w:rsidRPr="00C01C4E">
              <w:rPr>
                <w:rFonts w:ascii="Arial" w:hAnsi="Arial" w:cs="Arial"/>
                <w:b/>
                <w:i/>
                <w:iCs/>
                <w:color w:val="00B0F0"/>
                <w:sz w:val="20"/>
                <w:szCs w:val="20"/>
              </w:rPr>
              <w:t xml:space="preserve"> 2013</w:t>
            </w:r>
            <w:r w:rsidR="00E9632D" w:rsidRPr="00C01C4E">
              <w:rPr>
                <w:rFonts w:ascii="Arial" w:hAnsi="Arial" w:cs="Arial"/>
                <w:b/>
                <w:i/>
                <w:iCs/>
                <w:color w:val="00B0F0"/>
                <w:sz w:val="20"/>
                <w:szCs w:val="20"/>
              </w:rPr>
              <w:t xml:space="preserve"> </w:t>
            </w:r>
          </w:p>
        </w:tc>
        <w:tc>
          <w:tcPr>
            <w:tcW w:w="4680" w:type="dxa"/>
          </w:tcPr>
          <w:p w14:paraId="7F00EC60" w14:textId="77777777" w:rsidR="00E9632D" w:rsidRPr="002D30A4" w:rsidRDefault="00E9632D" w:rsidP="00B96178">
            <w:pPr>
              <w:rPr>
                <w:rFonts w:ascii="Arial" w:hAnsi="Arial" w:cs="Arial"/>
                <w:i/>
                <w:iCs/>
                <w:sz w:val="16"/>
                <w:szCs w:val="16"/>
              </w:rPr>
            </w:pPr>
            <w:r w:rsidRPr="002D30A4">
              <w:rPr>
                <w:rFonts w:ascii="Arial" w:hAnsi="Arial" w:cs="Arial"/>
                <w:b/>
                <w:bCs/>
                <w:sz w:val="16"/>
                <w:szCs w:val="16"/>
              </w:rPr>
              <w:t>Date Issued</w:t>
            </w:r>
            <w:r w:rsidRPr="002D30A4">
              <w:rPr>
                <w:rFonts w:ascii="Arial" w:hAnsi="Arial" w:cs="Arial"/>
                <w:i/>
                <w:iCs/>
                <w:sz w:val="16"/>
                <w:szCs w:val="16"/>
              </w:rPr>
              <w:t xml:space="preserve">: </w:t>
            </w:r>
          </w:p>
          <w:p w14:paraId="7F00EC61" w14:textId="77777777" w:rsidR="00E9632D" w:rsidRPr="00C01C4E" w:rsidRDefault="00E9632D" w:rsidP="00B96178">
            <w:pPr>
              <w:rPr>
                <w:rFonts w:ascii="Arial" w:hAnsi="Arial" w:cs="Arial"/>
                <w:b/>
                <w:i/>
                <w:iCs/>
                <w:color w:val="00B0F0"/>
                <w:sz w:val="20"/>
                <w:szCs w:val="20"/>
              </w:rPr>
            </w:pPr>
            <w:r w:rsidRPr="002D30A4">
              <w:rPr>
                <w:rFonts w:ascii="Arial" w:hAnsi="Arial" w:cs="Arial"/>
                <w:i/>
                <w:iCs/>
                <w:sz w:val="16"/>
                <w:szCs w:val="16"/>
              </w:rPr>
              <w:t xml:space="preserve"> </w:t>
            </w:r>
            <w:r w:rsidR="00281284" w:rsidRPr="00C01C4E">
              <w:rPr>
                <w:rFonts w:ascii="Arial" w:hAnsi="Arial" w:cs="Arial"/>
                <w:b/>
                <w:i/>
                <w:iCs/>
                <w:color w:val="00B0F0"/>
                <w:sz w:val="20"/>
                <w:szCs w:val="20"/>
              </w:rPr>
              <w:t>November 1</w:t>
            </w:r>
            <w:r w:rsidR="003123BD" w:rsidRPr="00C01C4E">
              <w:rPr>
                <w:rFonts w:ascii="Arial" w:hAnsi="Arial" w:cs="Arial"/>
                <w:b/>
                <w:i/>
                <w:iCs/>
                <w:color w:val="00B0F0"/>
                <w:sz w:val="20"/>
                <w:szCs w:val="20"/>
              </w:rPr>
              <w:t>, 2013</w:t>
            </w:r>
          </w:p>
          <w:p w14:paraId="7F00EC62" w14:textId="77777777" w:rsidR="00A45052" w:rsidRPr="002D30A4" w:rsidRDefault="00A45052" w:rsidP="00B96178">
            <w:pPr>
              <w:rPr>
                <w:rFonts w:ascii="Arial" w:hAnsi="Arial" w:cs="Arial"/>
                <w:b/>
                <w:i/>
                <w:iCs/>
                <w:color w:val="0000FF"/>
                <w:sz w:val="20"/>
                <w:szCs w:val="20"/>
              </w:rPr>
            </w:pPr>
          </w:p>
        </w:tc>
      </w:tr>
      <w:tr w:rsidR="0012774B" w:rsidRPr="002D30A4" w14:paraId="7F00EC69" w14:textId="77777777" w:rsidTr="002D30A4">
        <w:trPr>
          <w:trHeight w:val="522"/>
        </w:trPr>
        <w:tc>
          <w:tcPr>
            <w:tcW w:w="5940" w:type="dxa"/>
            <w:gridSpan w:val="2"/>
          </w:tcPr>
          <w:p w14:paraId="7F00EC64" w14:textId="77777777" w:rsidR="0012774B" w:rsidRPr="002D30A4" w:rsidRDefault="0012774B" w:rsidP="00CE0239">
            <w:pPr>
              <w:rPr>
                <w:rFonts w:ascii="Arial" w:hAnsi="Arial" w:cs="Arial"/>
                <w:i/>
                <w:iCs/>
                <w:color w:val="FF0000"/>
                <w:sz w:val="16"/>
                <w:szCs w:val="20"/>
              </w:rPr>
            </w:pPr>
            <w:r w:rsidRPr="002D30A4">
              <w:rPr>
                <w:rFonts w:ascii="Arial" w:hAnsi="Arial" w:cs="Arial"/>
                <w:b/>
                <w:bCs/>
                <w:sz w:val="16"/>
                <w:szCs w:val="16"/>
              </w:rPr>
              <w:t>Owner:</w:t>
            </w:r>
            <w:r w:rsidRPr="002D30A4">
              <w:rPr>
                <w:rFonts w:ascii="Arial" w:hAnsi="Arial" w:cs="Arial"/>
                <w:i/>
                <w:iCs/>
                <w:color w:val="FF0000"/>
                <w:sz w:val="16"/>
                <w:szCs w:val="20"/>
              </w:rPr>
              <w:t xml:space="preserve"> </w:t>
            </w:r>
          </w:p>
          <w:p w14:paraId="7F00EC65" w14:textId="77777777" w:rsidR="0012774B" w:rsidRPr="00C01C4E" w:rsidRDefault="0012774B" w:rsidP="00CE0239">
            <w:pPr>
              <w:rPr>
                <w:rFonts w:ascii="Arial" w:hAnsi="Arial" w:cs="Arial"/>
                <w:b/>
                <w:bCs/>
                <w:color w:val="00B0F0"/>
                <w:sz w:val="20"/>
                <w:szCs w:val="20"/>
              </w:rPr>
            </w:pPr>
            <w:r w:rsidRPr="00C01C4E">
              <w:rPr>
                <w:rFonts w:ascii="Arial" w:hAnsi="Arial" w:cs="Arial"/>
                <w:b/>
                <w:bCs/>
                <w:color w:val="00B0F0"/>
                <w:sz w:val="20"/>
                <w:szCs w:val="20"/>
              </w:rPr>
              <w:t xml:space="preserve">Global </w:t>
            </w:r>
            <w:r w:rsidR="00A45052" w:rsidRPr="00C01C4E">
              <w:rPr>
                <w:rFonts w:ascii="Arial" w:hAnsi="Arial" w:cs="Arial"/>
                <w:b/>
                <w:bCs/>
                <w:color w:val="00B0F0"/>
                <w:sz w:val="20"/>
                <w:szCs w:val="20"/>
              </w:rPr>
              <w:t xml:space="preserve">Commercial </w:t>
            </w:r>
            <w:r w:rsidRPr="00C01C4E">
              <w:rPr>
                <w:rFonts w:ascii="Arial" w:hAnsi="Arial" w:cs="Arial"/>
                <w:b/>
                <w:bCs/>
                <w:color w:val="00B0F0"/>
                <w:sz w:val="20"/>
                <w:szCs w:val="20"/>
              </w:rPr>
              <w:t>Underwriting Committee</w:t>
            </w:r>
          </w:p>
          <w:p w14:paraId="7F00EC66" w14:textId="77777777" w:rsidR="0012774B" w:rsidRPr="002D30A4" w:rsidRDefault="0012774B" w:rsidP="002D30A4">
            <w:pPr>
              <w:jc w:val="both"/>
              <w:rPr>
                <w:rFonts w:ascii="Arial" w:hAnsi="Arial" w:cs="Arial"/>
                <w:i/>
                <w:iCs/>
                <w:sz w:val="16"/>
                <w:szCs w:val="16"/>
              </w:rPr>
            </w:pPr>
            <w:r w:rsidRPr="002D30A4">
              <w:rPr>
                <w:rFonts w:ascii="Arial" w:hAnsi="Arial" w:cs="Arial"/>
                <w:i/>
                <w:iCs/>
                <w:sz w:val="16"/>
                <w:szCs w:val="16"/>
              </w:rPr>
              <w:br/>
              <w:t xml:space="preserve"> </w:t>
            </w:r>
          </w:p>
        </w:tc>
        <w:tc>
          <w:tcPr>
            <w:tcW w:w="4680" w:type="dxa"/>
          </w:tcPr>
          <w:p w14:paraId="7F00EC67" w14:textId="77777777" w:rsidR="0012774B" w:rsidRPr="002D30A4" w:rsidRDefault="0012774B" w:rsidP="00B96178">
            <w:pPr>
              <w:rPr>
                <w:rFonts w:ascii="Arial" w:hAnsi="Arial" w:cs="Arial"/>
                <w:sz w:val="16"/>
                <w:szCs w:val="16"/>
              </w:rPr>
            </w:pPr>
            <w:r w:rsidRPr="002D30A4">
              <w:rPr>
                <w:rFonts w:ascii="Arial" w:hAnsi="Arial" w:cs="Arial"/>
                <w:b/>
                <w:bCs/>
                <w:sz w:val="16"/>
                <w:szCs w:val="16"/>
              </w:rPr>
              <w:t>Contact for Questions</w:t>
            </w:r>
            <w:r w:rsidRPr="002D30A4">
              <w:rPr>
                <w:rFonts w:ascii="Arial" w:hAnsi="Arial" w:cs="Arial"/>
                <w:sz w:val="16"/>
                <w:szCs w:val="16"/>
              </w:rPr>
              <w:t>:</w:t>
            </w:r>
            <w:r w:rsidRPr="002D30A4">
              <w:rPr>
                <w:rFonts w:ascii="Arial" w:hAnsi="Arial" w:cs="Arial"/>
                <w:i/>
                <w:iCs/>
                <w:color w:val="FF0000"/>
                <w:sz w:val="16"/>
                <w:szCs w:val="16"/>
              </w:rPr>
              <w:t xml:space="preserve"> </w:t>
            </w:r>
          </w:p>
          <w:p w14:paraId="7F00EC68" w14:textId="77777777" w:rsidR="0012774B" w:rsidRPr="00C01C4E" w:rsidRDefault="004D65CB" w:rsidP="00B96178">
            <w:pPr>
              <w:rPr>
                <w:rFonts w:ascii="Arial" w:hAnsi="Arial" w:cs="Arial"/>
                <w:b/>
                <w:bCs/>
                <w:color w:val="00B0F0"/>
                <w:sz w:val="20"/>
                <w:szCs w:val="20"/>
              </w:rPr>
            </w:pPr>
            <w:r w:rsidRPr="00C01C4E">
              <w:rPr>
                <w:rFonts w:ascii="Arial" w:hAnsi="Arial" w:cs="Arial"/>
                <w:b/>
                <w:bCs/>
                <w:color w:val="00B0F0"/>
                <w:sz w:val="20"/>
                <w:szCs w:val="20"/>
              </w:rPr>
              <w:t xml:space="preserve">Global Commercial </w:t>
            </w:r>
            <w:r w:rsidR="0012774B" w:rsidRPr="00C01C4E">
              <w:rPr>
                <w:rFonts w:ascii="Arial" w:hAnsi="Arial" w:cs="Arial"/>
                <w:b/>
                <w:bCs/>
                <w:color w:val="00B0F0"/>
                <w:sz w:val="20"/>
                <w:szCs w:val="20"/>
              </w:rPr>
              <w:t>Head of Technical Underwriting</w:t>
            </w:r>
          </w:p>
        </w:tc>
      </w:tr>
      <w:tr w:rsidR="0012774B" w:rsidRPr="002D30A4" w14:paraId="7F00EC6B" w14:textId="77777777" w:rsidTr="002D30A4">
        <w:trPr>
          <w:trHeight w:val="522"/>
        </w:trPr>
        <w:tc>
          <w:tcPr>
            <w:tcW w:w="10620" w:type="dxa"/>
            <w:gridSpan w:val="3"/>
          </w:tcPr>
          <w:p w14:paraId="7F00EC6A" w14:textId="77777777" w:rsidR="0012774B" w:rsidRPr="002D30A4" w:rsidRDefault="0012774B" w:rsidP="00B96178">
            <w:pPr>
              <w:rPr>
                <w:rFonts w:ascii="Arial" w:hAnsi="Arial" w:cs="Arial"/>
                <w:b/>
                <w:bCs/>
                <w:sz w:val="16"/>
                <w:szCs w:val="16"/>
              </w:rPr>
            </w:pPr>
            <w:r w:rsidRPr="002D30A4">
              <w:rPr>
                <w:rFonts w:ascii="Arial" w:hAnsi="Arial" w:cs="Arial"/>
                <w:b/>
                <w:bCs/>
                <w:sz w:val="16"/>
                <w:szCs w:val="16"/>
              </w:rPr>
              <w:t>Approver</w:t>
            </w:r>
            <w:r w:rsidRPr="002D30A4">
              <w:rPr>
                <w:rFonts w:ascii="Arial" w:hAnsi="Arial" w:cs="Arial"/>
                <w:sz w:val="16"/>
                <w:szCs w:val="16"/>
              </w:rPr>
              <w:t>:</w:t>
            </w:r>
            <w:r w:rsidRPr="002D30A4">
              <w:rPr>
                <w:rFonts w:ascii="Arial" w:hAnsi="Arial" w:cs="Arial"/>
                <w:sz w:val="16"/>
                <w:szCs w:val="16"/>
              </w:rPr>
              <w:br/>
            </w:r>
            <w:r w:rsidR="00A45052" w:rsidRPr="00C01C4E">
              <w:rPr>
                <w:rFonts w:ascii="Arial" w:hAnsi="Arial" w:cs="Arial"/>
                <w:b/>
                <w:bCs/>
                <w:color w:val="00B0F0"/>
                <w:sz w:val="20"/>
                <w:szCs w:val="20"/>
              </w:rPr>
              <w:t>Global</w:t>
            </w:r>
            <w:r w:rsidRPr="00C01C4E">
              <w:rPr>
                <w:rFonts w:ascii="Arial" w:hAnsi="Arial" w:cs="Arial"/>
                <w:b/>
                <w:bCs/>
                <w:color w:val="00B0F0"/>
                <w:sz w:val="20"/>
                <w:szCs w:val="20"/>
              </w:rPr>
              <w:t xml:space="preserve"> Commercial Chief Underwriting Officer</w:t>
            </w:r>
          </w:p>
        </w:tc>
      </w:tr>
      <w:tr w:rsidR="009549C8" w:rsidRPr="002D30A4" w14:paraId="7F00EC70" w14:textId="77777777" w:rsidTr="002D30A4">
        <w:tc>
          <w:tcPr>
            <w:tcW w:w="1800" w:type="dxa"/>
          </w:tcPr>
          <w:p w14:paraId="7F00EC6C" w14:textId="77777777" w:rsidR="009549C8" w:rsidRPr="002D30A4" w:rsidRDefault="009549C8" w:rsidP="002D30A4">
            <w:pPr>
              <w:spacing w:before="60" w:after="60"/>
              <w:jc w:val="both"/>
              <w:rPr>
                <w:rFonts w:ascii="Arial" w:hAnsi="Arial" w:cs="Arial"/>
                <w:b/>
                <w:sz w:val="20"/>
                <w:szCs w:val="20"/>
              </w:rPr>
            </w:pPr>
            <w:r w:rsidRPr="002D30A4">
              <w:rPr>
                <w:rFonts w:ascii="Arial" w:hAnsi="Arial" w:cs="Arial"/>
                <w:b/>
                <w:sz w:val="20"/>
                <w:szCs w:val="20"/>
              </w:rPr>
              <w:t>Purpose</w:t>
            </w:r>
          </w:p>
        </w:tc>
        <w:tc>
          <w:tcPr>
            <w:tcW w:w="8820" w:type="dxa"/>
            <w:gridSpan w:val="2"/>
          </w:tcPr>
          <w:p w14:paraId="7F00EC6D" w14:textId="77777777" w:rsidR="001B47F3" w:rsidRDefault="001B47F3" w:rsidP="001B47F3"/>
          <w:p w14:paraId="7F00EC6E" w14:textId="77777777" w:rsidR="001B47F3" w:rsidRPr="002D30A4" w:rsidRDefault="001B47F3" w:rsidP="001B47F3">
            <w:pPr>
              <w:rPr>
                <w:rFonts w:ascii="Arial" w:hAnsi="Arial" w:cs="Arial"/>
                <w:sz w:val="20"/>
                <w:szCs w:val="20"/>
              </w:rPr>
            </w:pPr>
            <w:r w:rsidRPr="002D30A4">
              <w:rPr>
                <w:rFonts w:ascii="Arial" w:hAnsi="Arial" w:cs="Arial"/>
                <w:sz w:val="20"/>
                <w:szCs w:val="20"/>
              </w:rPr>
              <w:t xml:space="preserve">Profitability </w:t>
            </w:r>
            <w:r w:rsidR="00FB1D26">
              <w:rPr>
                <w:rFonts w:ascii="Arial" w:hAnsi="Arial" w:cs="Arial"/>
                <w:sz w:val="20"/>
                <w:szCs w:val="20"/>
              </w:rPr>
              <w:t>R</w:t>
            </w:r>
            <w:r w:rsidR="00866D14" w:rsidRPr="002D30A4">
              <w:rPr>
                <w:rFonts w:ascii="Arial" w:hAnsi="Arial" w:cs="Arial"/>
                <w:sz w:val="20"/>
                <w:szCs w:val="20"/>
              </w:rPr>
              <w:t>eviews</w:t>
            </w:r>
            <w:r w:rsidRPr="002D30A4">
              <w:rPr>
                <w:rFonts w:ascii="Arial" w:hAnsi="Arial" w:cs="Arial"/>
                <w:sz w:val="20"/>
                <w:szCs w:val="20"/>
              </w:rPr>
              <w:t xml:space="preserve"> are a critical aspect of </w:t>
            </w:r>
            <w:r w:rsidRPr="002D30A4">
              <w:rPr>
                <w:rFonts w:ascii="Arial" w:hAnsi="Arial" w:cs="Arial"/>
                <w:i/>
                <w:sz w:val="20"/>
                <w:szCs w:val="20"/>
              </w:rPr>
              <w:t>Underwriting Excellence</w:t>
            </w:r>
            <w:r w:rsidRPr="002D30A4">
              <w:rPr>
                <w:rFonts w:ascii="Arial" w:hAnsi="Arial" w:cs="Arial"/>
                <w:sz w:val="20"/>
                <w:szCs w:val="20"/>
              </w:rPr>
              <w:t xml:space="preserve">. They </w:t>
            </w:r>
            <w:r w:rsidR="00382053" w:rsidRPr="002D30A4">
              <w:rPr>
                <w:rFonts w:ascii="Arial" w:hAnsi="Arial" w:cs="Arial"/>
                <w:sz w:val="20"/>
                <w:szCs w:val="20"/>
              </w:rPr>
              <w:t>provide</w:t>
            </w:r>
            <w:r w:rsidRPr="002D30A4">
              <w:rPr>
                <w:rFonts w:ascii="Arial" w:hAnsi="Arial" w:cs="Arial"/>
                <w:sz w:val="20"/>
                <w:szCs w:val="20"/>
              </w:rPr>
              <w:t xml:space="preserve"> </w:t>
            </w:r>
            <w:r w:rsidR="00C94D98">
              <w:rPr>
                <w:rFonts w:ascii="Arial" w:hAnsi="Arial" w:cs="Arial"/>
                <w:sz w:val="20"/>
                <w:szCs w:val="20"/>
              </w:rPr>
              <w:t>b</w:t>
            </w:r>
            <w:r w:rsidRPr="002D30A4">
              <w:rPr>
                <w:rFonts w:ascii="Arial" w:hAnsi="Arial" w:cs="Arial"/>
                <w:sz w:val="20"/>
                <w:szCs w:val="20"/>
              </w:rPr>
              <w:t xml:space="preserve">usiness leaders </w:t>
            </w:r>
            <w:r w:rsidR="00C94D98">
              <w:rPr>
                <w:rFonts w:ascii="Arial" w:hAnsi="Arial" w:cs="Arial"/>
                <w:sz w:val="20"/>
                <w:szCs w:val="20"/>
              </w:rPr>
              <w:t>insight</w:t>
            </w:r>
            <w:r w:rsidRPr="002D30A4">
              <w:rPr>
                <w:rFonts w:ascii="Arial" w:hAnsi="Arial" w:cs="Arial"/>
                <w:sz w:val="20"/>
                <w:szCs w:val="20"/>
              </w:rPr>
              <w:t xml:space="preserve"> into their </w:t>
            </w:r>
            <w:r w:rsidR="00382053" w:rsidRPr="002D30A4">
              <w:rPr>
                <w:rFonts w:ascii="Arial" w:hAnsi="Arial" w:cs="Arial"/>
                <w:sz w:val="20"/>
                <w:szCs w:val="20"/>
              </w:rPr>
              <w:t>portfolios</w:t>
            </w:r>
            <w:r w:rsidRPr="002D30A4">
              <w:rPr>
                <w:rFonts w:ascii="Arial" w:hAnsi="Arial" w:cs="Arial"/>
                <w:sz w:val="20"/>
                <w:szCs w:val="20"/>
              </w:rPr>
              <w:t xml:space="preserve"> as well as </w:t>
            </w:r>
            <w:r w:rsidR="00382053" w:rsidRPr="002D30A4">
              <w:rPr>
                <w:rFonts w:ascii="Arial" w:hAnsi="Arial" w:cs="Arial"/>
                <w:sz w:val="20"/>
                <w:szCs w:val="20"/>
              </w:rPr>
              <w:t>identify</w:t>
            </w:r>
            <w:r w:rsidR="00382053" w:rsidRPr="002D30A4">
              <w:rPr>
                <w:rFonts w:ascii="Arial" w:hAnsi="Arial" w:cs="Arial"/>
                <w:color w:val="FF0000"/>
                <w:sz w:val="20"/>
                <w:szCs w:val="20"/>
              </w:rPr>
              <w:t xml:space="preserve"> </w:t>
            </w:r>
            <w:r w:rsidRPr="002D30A4">
              <w:rPr>
                <w:rFonts w:ascii="Arial" w:hAnsi="Arial" w:cs="Arial"/>
                <w:sz w:val="20"/>
                <w:szCs w:val="20"/>
              </w:rPr>
              <w:t xml:space="preserve">profitable and unprofitable segments. </w:t>
            </w:r>
            <w:r w:rsidR="0085664A" w:rsidRPr="002D30A4">
              <w:rPr>
                <w:rFonts w:ascii="Arial" w:hAnsi="Arial" w:cs="Arial"/>
                <w:sz w:val="20"/>
                <w:szCs w:val="20"/>
              </w:rPr>
              <w:t xml:space="preserve">These </w:t>
            </w:r>
            <w:r w:rsidR="00C94D98">
              <w:rPr>
                <w:rFonts w:ascii="Arial" w:hAnsi="Arial" w:cs="Arial"/>
                <w:sz w:val="20"/>
                <w:szCs w:val="20"/>
              </w:rPr>
              <w:t>R</w:t>
            </w:r>
            <w:r w:rsidR="00866D14" w:rsidRPr="002D30A4">
              <w:rPr>
                <w:rFonts w:ascii="Arial" w:hAnsi="Arial" w:cs="Arial"/>
                <w:sz w:val="20"/>
                <w:szCs w:val="20"/>
              </w:rPr>
              <w:t>eviews</w:t>
            </w:r>
            <w:r w:rsidR="0085664A" w:rsidRPr="002D30A4">
              <w:rPr>
                <w:rFonts w:ascii="Arial" w:hAnsi="Arial" w:cs="Arial"/>
                <w:sz w:val="20"/>
                <w:szCs w:val="20"/>
              </w:rPr>
              <w:t xml:space="preserve"> </w:t>
            </w:r>
            <w:r w:rsidR="00E7033E">
              <w:rPr>
                <w:rFonts w:ascii="Arial" w:hAnsi="Arial" w:cs="Arial"/>
                <w:sz w:val="20"/>
                <w:szCs w:val="20"/>
              </w:rPr>
              <w:t xml:space="preserve">will be </w:t>
            </w:r>
            <w:r w:rsidR="00254022">
              <w:rPr>
                <w:rFonts w:ascii="Arial" w:hAnsi="Arial" w:cs="Arial"/>
                <w:sz w:val="20"/>
                <w:szCs w:val="20"/>
              </w:rPr>
              <w:t xml:space="preserve">provided </w:t>
            </w:r>
            <w:r w:rsidR="0085664A" w:rsidRPr="002D30A4">
              <w:rPr>
                <w:rFonts w:ascii="Arial" w:hAnsi="Arial" w:cs="Arial"/>
                <w:sz w:val="20"/>
                <w:szCs w:val="20"/>
              </w:rPr>
              <w:t>to the finance actuaries</w:t>
            </w:r>
            <w:r w:rsidR="00E7033E">
              <w:rPr>
                <w:rFonts w:ascii="Arial" w:hAnsi="Arial" w:cs="Arial"/>
                <w:sz w:val="20"/>
                <w:szCs w:val="20"/>
              </w:rPr>
              <w:t>, business leaders and senior management</w:t>
            </w:r>
            <w:r w:rsidR="00FB1D26">
              <w:rPr>
                <w:rFonts w:ascii="Arial" w:hAnsi="Arial" w:cs="Arial"/>
                <w:sz w:val="20"/>
                <w:szCs w:val="20"/>
              </w:rPr>
              <w:t xml:space="preserve">. </w:t>
            </w:r>
            <w:r w:rsidR="00382053" w:rsidRPr="002D30A4">
              <w:rPr>
                <w:rFonts w:ascii="Arial" w:hAnsi="Arial" w:cs="Arial"/>
                <w:sz w:val="20"/>
                <w:szCs w:val="20"/>
              </w:rPr>
              <w:t>This Standard establishes the minim</w:t>
            </w:r>
            <w:r w:rsidR="00FB1D26">
              <w:rPr>
                <w:rFonts w:ascii="Arial" w:hAnsi="Arial" w:cs="Arial"/>
                <w:sz w:val="20"/>
                <w:szCs w:val="20"/>
              </w:rPr>
              <w:t>um requirements for conducting P</w:t>
            </w:r>
            <w:r w:rsidR="00382053" w:rsidRPr="002D30A4">
              <w:rPr>
                <w:rFonts w:ascii="Arial" w:hAnsi="Arial" w:cs="Arial"/>
                <w:sz w:val="20"/>
                <w:szCs w:val="20"/>
              </w:rPr>
              <w:t xml:space="preserve">rofitability </w:t>
            </w:r>
            <w:r w:rsidR="00FB1D26">
              <w:rPr>
                <w:rFonts w:ascii="Arial" w:hAnsi="Arial" w:cs="Arial"/>
                <w:sz w:val="20"/>
                <w:szCs w:val="20"/>
              </w:rPr>
              <w:t>R</w:t>
            </w:r>
            <w:r w:rsidR="00382053" w:rsidRPr="002D30A4">
              <w:rPr>
                <w:rFonts w:ascii="Arial" w:hAnsi="Arial" w:cs="Arial"/>
                <w:sz w:val="20"/>
                <w:szCs w:val="20"/>
              </w:rPr>
              <w:t>eviews.</w:t>
            </w:r>
          </w:p>
          <w:p w14:paraId="7F00EC6F" w14:textId="77777777" w:rsidR="009549C8" w:rsidRPr="002D30A4" w:rsidRDefault="009549C8" w:rsidP="00F206D1">
            <w:pPr>
              <w:rPr>
                <w:rFonts w:ascii="Arial" w:hAnsi="Arial" w:cs="Arial"/>
                <w:color w:val="000000"/>
                <w:sz w:val="20"/>
                <w:szCs w:val="20"/>
              </w:rPr>
            </w:pPr>
          </w:p>
        </w:tc>
      </w:tr>
      <w:tr w:rsidR="009549C8" w:rsidRPr="002D30A4" w14:paraId="7F00EC75" w14:textId="77777777" w:rsidTr="002D30A4">
        <w:tc>
          <w:tcPr>
            <w:tcW w:w="1800" w:type="dxa"/>
          </w:tcPr>
          <w:p w14:paraId="7F00EC71" w14:textId="77777777" w:rsidR="009549C8" w:rsidRPr="002D30A4" w:rsidRDefault="009549C8" w:rsidP="002D30A4">
            <w:pPr>
              <w:spacing w:before="60" w:after="60"/>
              <w:rPr>
                <w:rFonts w:ascii="Arial" w:hAnsi="Arial" w:cs="Arial"/>
                <w:b/>
                <w:sz w:val="20"/>
                <w:szCs w:val="20"/>
              </w:rPr>
            </w:pPr>
            <w:r w:rsidRPr="002D30A4">
              <w:rPr>
                <w:rFonts w:ascii="Arial" w:hAnsi="Arial" w:cs="Arial"/>
                <w:b/>
                <w:sz w:val="20"/>
                <w:szCs w:val="20"/>
              </w:rPr>
              <w:t>Scope</w:t>
            </w:r>
          </w:p>
        </w:tc>
        <w:tc>
          <w:tcPr>
            <w:tcW w:w="8820" w:type="dxa"/>
            <w:gridSpan w:val="2"/>
          </w:tcPr>
          <w:p w14:paraId="7F00EC72" w14:textId="77777777" w:rsidR="009549C8" w:rsidRPr="002D30A4" w:rsidRDefault="009549C8" w:rsidP="002D30A4">
            <w:pPr>
              <w:tabs>
                <w:tab w:val="num" w:pos="612"/>
              </w:tabs>
              <w:rPr>
                <w:rFonts w:ascii="Arial" w:hAnsi="Arial" w:cs="Arial"/>
                <w:sz w:val="20"/>
                <w:szCs w:val="20"/>
              </w:rPr>
            </w:pPr>
          </w:p>
          <w:p w14:paraId="7F00EC73" w14:textId="77777777" w:rsidR="009549C8" w:rsidRPr="002D30A4" w:rsidRDefault="009549C8" w:rsidP="002D30A4">
            <w:pPr>
              <w:tabs>
                <w:tab w:val="num" w:pos="612"/>
              </w:tabs>
              <w:rPr>
                <w:rFonts w:ascii="Arial" w:hAnsi="Arial" w:cs="Arial"/>
                <w:i/>
                <w:iCs/>
                <w:sz w:val="16"/>
                <w:szCs w:val="16"/>
              </w:rPr>
            </w:pPr>
            <w:r w:rsidRPr="002D30A4">
              <w:rPr>
                <w:rFonts w:ascii="Arial" w:hAnsi="Arial" w:cs="Arial"/>
                <w:sz w:val="20"/>
                <w:szCs w:val="20"/>
              </w:rPr>
              <w:t xml:space="preserve">The </w:t>
            </w:r>
            <w:r w:rsidR="00B677DA" w:rsidRPr="002D30A4">
              <w:rPr>
                <w:rFonts w:ascii="Arial" w:hAnsi="Arial" w:cs="Arial"/>
                <w:sz w:val="20"/>
                <w:szCs w:val="20"/>
              </w:rPr>
              <w:t>requirement</w:t>
            </w:r>
            <w:r w:rsidR="00A45052" w:rsidRPr="002D30A4">
              <w:rPr>
                <w:rFonts w:ascii="Arial" w:hAnsi="Arial" w:cs="Arial"/>
                <w:sz w:val="20"/>
                <w:szCs w:val="20"/>
              </w:rPr>
              <w:t xml:space="preserve">s set out in this </w:t>
            </w:r>
            <w:r w:rsidR="004D65CB" w:rsidRPr="002D30A4">
              <w:rPr>
                <w:rFonts w:ascii="Arial" w:hAnsi="Arial" w:cs="Arial"/>
                <w:sz w:val="20"/>
                <w:szCs w:val="20"/>
              </w:rPr>
              <w:t>S</w:t>
            </w:r>
            <w:r w:rsidR="00B677DA" w:rsidRPr="002D30A4">
              <w:rPr>
                <w:rFonts w:ascii="Arial" w:hAnsi="Arial" w:cs="Arial"/>
                <w:sz w:val="20"/>
                <w:szCs w:val="20"/>
              </w:rPr>
              <w:t>tandard</w:t>
            </w:r>
            <w:r w:rsidRPr="002D30A4">
              <w:rPr>
                <w:rFonts w:ascii="Arial" w:hAnsi="Arial" w:cs="Arial"/>
                <w:sz w:val="20"/>
                <w:szCs w:val="20"/>
              </w:rPr>
              <w:t xml:space="preserve"> apply to </w:t>
            </w:r>
            <w:r w:rsidR="00913D14">
              <w:rPr>
                <w:rFonts w:ascii="Arial" w:hAnsi="Arial" w:cs="Arial"/>
                <w:sz w:val="20"/>
                <w:szCs w:val="20"/>
              </w:rPr>
              <w:t xml:space="preserve">employees </w:t>
            </w:r>
            <w:r w:rsidRPr="002D30A4">
              <w:rPr>
                <w:rFonts w:ascii="Arial" w:hAnsi="Arial" w:cs="Arial"/>
                <w:sz w:val="20"/>
                <w:szCs w:val="20"/>
              </w:rPr>
              <w:t xml:space="preserve">of </w:t>
            </w:r>
            <w:r w:rsidR="004D65CB" w:rsidRPr="002D30A4">
              <w:rPr>
                <w:rFonts w:ascii="Arial" w:hAnsi="Arial" w:cs="Arial"/>
                <w:sz w:val="20"/>
                <w:szCs w:val="20"/>
              </w:rPr>
              <w:t>AIG Property Casualty</w:t>
            </w:r>
            <w:r w:rsidRPr="002D30A4">
              <w:rPr>
                <w:rFonts w:ascii="Arial" w:hAnsi="Arial" w:cs="Arial"/>
                <w:sz w:val="20"/>
                <w:szCs w:val="20"/>
              </w:rPr>
              <w:t xml:space="preserve"> Commercial</w:t>
            </w:r>
            <w:r w:rsidR="00C94D98">
              <w:rPr>
                <w:rFonts w:ascii="Arial" w:hAnsi="Arial" w:cs="Arial"/>
                <w:sz w:val="20"/>
                <w:szCs w:val="20"/>
              </w:rPr>
              <w:t xml:space="preserve"> with responsibility for conducting</w:t>
            </w:r>
            <w:r w:rsidR="00254022">
              <w:rPr>
                <w:rFonts w:ascii="Arial" w:hAnsi="Arial" w:cs="Arial"/>
                <w:sz w:val="20"/>
                <w:szCs w:val="20"/>
              </w:rPr>
              <w:t xml:space="preserve"> and </w:t>
            </w:r>
            <w:r w:rsidR="00C94D98">
              <w:rPr>
                <w:rFonts w:ascii="Arial" w:hAnsi="Arial" w:cs="Arial"/>
                <w:sz w:val="20"/>
                <w:szCs w:val="20"/>
              </w:rPr>
              <w:t>producing</w:t>
            </w:r>
            <w:r w:rsidRPr="002D30A4">
              <w:rPr>
                <w:rFonts w:ascii="Arial" w:hAnsi="Arial" w:cs="Arial"/>
                <w:sz w:val="20"/>
                <w:szCs w:val="20"/>
              </w:rPr>
              <w:t xml:space="preserve"> </w:t>
            </w:r>
            <w:r w:rsidR="00913D14">
              <w:rPr>
                <w:rFonts w:ascii="Arial" w:hAnsi="Arial" w:cs="Arial"/>
                <w:sz w:val="20"/>
                <w:szCs w:val="20"/>
              </w:rPr>
              <w:t>P</w:t>
            </w:r>
            <w:r w:rsidR="00E7033E">
              <w:rPr>
                <w:rFonts w:ascii="Arial" w:hAnsi="Arial" w:cs="Arial"/>
                <w:sz w:val="20"/>
                <w:szCs w:val="20"/>
              </w:rPr>
              <w:t xml:space="preserve">rofitability </w:t>
            </w:r>
            <w:r w:rsidR="00913D14">
              <w:rPr>
                <w:rFonts w:ascii="Arial" w:hAnsi="Arial" w:cs="Arial"/>
                <w:sz w:val="20"/>
                <w:szCs w:val="20"/>
              </w:rPr>
              <w:t>R</w:t>
            </w:r>
            <w:r w:rsidR="00E7033E">
              <w:rPr>
                <w:rFonts w:ascii="Arial" w:hAnsi="Arial" w:cs="Arial"/>
                <w:sz w:val="20"/>
                <w:szCs w:val="20"/>
              </w:rPr>
              <w:t>eviews.</w:t>
            </w:r>
          </w:p>
          <w:p w14:paraId="7F00EC74" w14:textId="77777777" w:rsidR="009549C8" w:rsidRPr="002D30A4" w:rsidRDefault="009549C8" w:rsidP="002D30A4">
            <w:pPr>
              <w:autoSpaceDE w:val="0"/>
              <w:autoSpaceDN w:val="0"/>
              <w:adjustRightInd w:val="0"/>
              <w:jc w:val="both"/>
              <w:rPr>
                <w:rFonts w:ascii="Arial" w:hAnsi="Arial" w:cs="Arial"/>
                <w:i/>
                <w:iCs/>
                <w:sz w:val="16"/>
                <w:szCs w:val="16"/>
              </w:rPr>
            </w:pPr>
          </w:p>
        </w:tc>
      </w:tr>
      <w:tr w:rsidR="009549C8" w:rsidRPr="002D30A4" w14:paraId="7F00EC78" w14:textId="77777777" w:rsidTr="002D30A4">
        <w:trPr>
          <w:trHeight w:val="612"/>
        </w:trPr>
        <w:tc>
          <w:tcPr>
            <w:tcW w:w="1800" w:type="dxa"/>
          </w:tcPr>
          <w:p w14:paraId="7F00EC76" w14:textId="77777777" w:rsidR="009549C8" w:rsidRPr="002D30A4" w:rsidRDefault="009549C8" w:rsidP="002D30A4">
            <w:pPr>
              <w:spacing w:before="60" w:after="60"/>
              <w:rPr>
                <w:rFonts w:ascii="Arial" w:hAnsi="Arial" w:cs="Arial"/>
                <w:b/>
                <w:sz w:val="20"/>
                <w:szCs w:val="20"/>
              </w:rPr>
            </w:pPr>
            <w:r w:rsidRPr="002D30A4">
              <w:rPr>
                <w:rFonts w:ascii="Arial" w:hAnsi="Arial" w:cs="Arial"/>
                <w:b/>
                <w:sz w:val="20"/>
                <w:szCs w:val="20"/>
              </w:rPr>
              <w:t>Operational Requirements</w:t>
            </w:r>
          </w:p>
        </w:tc>
        <w:tc>
          <w:tcPr>
            <w:tcW w:w="8820" w:type="dxa"/>
            <w:gridSpan w:val="2"/>
          </w:tcPr>
          <w:p w14:paraId="7F00EC77" w14:textId="77777777" w:rsidR="009549C8" w:rsidRPr="002D30A4" w:rsidRDefault="009549C8" w:rsidP="00057E48">
            <w:pPr>
              <w:rPr>
                <w:rFonts w:ascii="Arial" w:hAnsi="Arial" w:cs="Arial"/>
                <w:i/>
                <w:iCs/>
                <w:sz w:val="16"/>
                <w:szCs w:val="16"/>
              </w:rPr>
            </w:pPr>
          </w:p>
        </w:tc>
      </w:tr>
      <w:tr w:rsidR="00382053" w:rsidRPr="002D30A4" w14:paraId="7F00EC7D" w14:textId="77777777" w:rsidTr="002D30A4">
        <w:trPr>
          <w:trHeight w:val="612"/>
        </w:trPr>
        <w:tc>
          <w:tcPr>
            <w:tcW w:w="1800" w:type="dxa"/>
          </w:tcPr>
          <w:p w14:paraId="7F00EC79" w14:textId="77777777" w:rsidR="00382053" w:rsidRPr="00C01C4E" w:rsidRDefault="0085664A" w:rsidP="002D30A4">
            <w:pPr>
              <w:spacing w:before="60" w:after="60"/>
              <w:rPr>
                <w:rFonts w:ascii="Arial" w:hAnsi="Arial" w:cs="Arial"/>
                <w:b/>
                <w:color w:val="00B0F0"/>
                <w:sz w:val="20"/>
                <w:szCs w:val="20"/>
              </w:rPr>
            </w:pPr>
            <w:r w:rsidRPr="00C01C4E">
              <w:rPr>
                <w:rFonts w:ascii="Arial" w:hAnsi="Arial" w:cs="Arial"/>
                <w:bCs/>
                <w:i/>
                <w:iCs/>
                <w:color w:val="00B0F0"/>
                <w:sz w:val="20"/>
                <w:szCs w:val="20"/>
              </w:rPr>
              <w:t>Objective of reviews</w:t>
            </w:r>
          </w:p>
        </w:tc>
        <w:tc>
          <w:tcPr>
            <w:tcW w:w="8820" w:type="dxa"/>
            <w:gridSpan w:val="2"/>
          </w:tcPr>
          <w:p w14:paraId="7F00EC7A" w14:textId="77777777" w:rsidR="00382053" w:rsidRPr="002D30A4" w:rsidRDefault="00382053" w:rsidP="00057E48">
            <w:pPr>
              <w:rPr>
                <w:rFonts w:ascii="Arial" w:hAnsi="Arial" w:cs="Arial"/>
                <w:sz w:val="20"/>
                <w:szCs w:val="20"/>
              </w:rPr>
            </w:pPr>
          </w:p>
          <w:p w14:paraId="7F00EC7B" w14:textId="77777777" w:rsidR="00382053" w:rsidRPr="002D30A4" w:rsidRDefault="0085664A" w:rsidP="00057E48">
            <w:pPr>
              <w:rPr>
                <w:rFonts w:ascii="Arial" w:hAnsi="Arial" w:cs="Arial"/>
                <w:sz w:val="20"/>
                <w:szCs w:val="20"/>
              </w:rPr>
            </w:pPr>
            <w:r w:rsidRPr="002D30A4">
              <w:rPr>
                <w:rFonts w:ascii="Arial" w:hAnsi="Arial" w:cs="Arial"/>
                <w:sz w:val="20"/>
                <w:szCs w:val="20"/>
              </w:rPr>
              <w:t>T</w:t>
            </w:r>
            <w:r w:rsidR="00382053" w:rsidRPr="002D30A4">
              <w:rPr>
                <w:rFonts w:ascii="Arial" w:hAnsi="Arial" w:cs="Arial"/>
                <w:sz w:val="20"/>
                <w:szCs w:val="20"/>
              </w:rPr>
              <w:t xml:space="preserve">hrough </w:t>
            </w:r>
            <w:r w:rsidR="00C94D98">
              <w:rPr>
                <w:rFonts w:ascii="Arial" w:hAnsi="Arial" w:cs="Arial"/>
                <w:sz w:val="20"/>
                <w:szCs w:val="20"/>
              </w:rPr>
              <w:t>Profitability Reviews</w:t>
            </w:r>
            <w:r w:rsidR="00382053" w:rsidRPr="002D30A4">
              <w:rPr>
                <w:rFonts w:ascii="Arial" w:hAnsi="Arial" w:cs="Arial"/>
                <w:sz w:val="20"/>
                <w:szCs w:val="20"/>
              </w:rPr>
              <w:t xml:space="preserve"> new loss patterns and trends </w:t>
            </w:r>
            <w:r w:rsidR="00E75A99" w:rsidRPr="002D30A4">
              <w:rPr>
                <w:rFonts w:ascii="Arial" w:hAnsi="Arial" w:cs="Arial"/>
                <w:sz w:val="20"/>
                <w:szCs w:val="20"/>
              </w:rPr>
              <w:t xml:space="preserve">within a portfolio </w:t>
            </w:r>
            <w:r w:rsidR="00382053" w:rsidRPr="002D30A4">
              <w:rPr>
                <w:rFonts w:ascii="Arial" w:hAnsi="Arial" w:cs="Arial"/>
                <w:sz w:val="20"/>
                <w:szCs w:val="20"/>
              </w:rPr>
              <w:t>are identified</w:t>
            </w:r>
            <w:r w:rsidR="00C94D98">
              <w:rPr>
                <w:rFonts w:ascii="Arial" w:hAnsi="Arial" w:cs="Arial"/>
                <w:sz w:val="20"/>
                <w:szCs w:val="20"/>
              </w:rPr>
              <w:t xml:space="preserve"> and examined</w:t>
            </w:r>
            <w:r w:rsidR="00382053" w:rsidRPr="002D30A4">
              <w:rPr>
                <w:rFonts w:ascii="Arial" w:hAnsi="Arial" w:cs="Arial"/>
                <w:sz w:val="20"/>
                <w:szCs w:val="20"/>
              </w:rPr>
              <w:t>. The</w:t>
            </w:r>
            <w:r w:rsidR="005B0DFF">
              <w:rPr>
                <w:rFonts w:ascii="Arial" w:hAnsi="Arial" w:cs="Arial"/>
                <w:sz w:val="20"/>
                <w:szCs w:val="20"/>
              </w:rPr>
              <w:t xml:space="preserve">se </w:t>
            </w:r>
            <w:r w:rsidR="00C94D98">
              <w:rPr>
                <w:rFonts w:ascii="Arial" w:hAnsi="Arial" w:cs="Arial"/>
                <w:sz w:val="20"/>
                <w:szCs w:val="20"/>
              </w:rPr>
              <w:t>Reviews quantify</w:t>
            </w:r>
            <w:r w:rsidR="00382053" w:rsidRPr="002D30A4">
              <w:rPr>
                <w:rFonts w:ascii="Arial" w:hAnsi="Arial" w:cs="Arial"/>
                <w:sz w:val="20"/>
                <w:szCs w:val="20"/>
              </w:rPr>
              <w:t xml:space="preserve"> changes </w:t>
            </w:r>
            <w:r w:rsidRPr="002D30A4">
              <w:rPr>
                <w:rFonts w:ascii="Arial" w:hAnsi="Arial" w:cs="Arial"/>
                <w:sz w:val="20"/>
                <w:szCs w:val="20"/>
              </w:rPr>
              <w:t>resulting from underwriting actions</w:t>
            </w:r>
            <w:r w:rsidR="00C94D98">
              <w:rPr>
                <w:rFonts w:ascii="Arial" w:hAnsi="Arial" w:cs="Arial"/>
                <w:sz w:val="20"/>
                <w:szCs w:val="20"/>
              </w:rPr>
              <w:t>, regulatory changes</w:t>
            </w:r>
            <w:r w:rsidRPr="002D30A4">
              <w:rPr>
                <w:rFonts w:ascii="Arial" w:hAnsi="Arial" w:cs="Arial"/>
                <w:sz w:val="20"/>
                <w:szCs w:val="20"/>
              </w:rPr>
              <w:t xml:space="preserve"> </w:t>
            </w:r>
            <w:r w:rsidR="005B0DFF">
              <w:rPr>
                <w:rFonts w:ascii="Arial" w:hAnsi="Arial" w:cs="Arial"/>
                <w:sz w:val="20"/>
                <w:szCs w:val="20"/>
              </w:rPr>
              <w:t>and/</w:t>
            </w:r>
            <w:r w:rsidRPr="002D30A4">
              <w:rPr>
                <w:rFonts w:ascii="Arial" w:hAnsi="Arial" w:cs="Arial"/>
                <w:sz w:val="20"/>
                <w:szCs w:val="20"/>
              </w:rPr>
              <w:t xml:space="preserve">or </w:t>
            </w:r>
            <w:r w:rsidR="00B27853">
              <w:rPr>
                <w:rFonts w:ascii="Arial" w:hAnsi="Arial" w:cs="Arial"/>
                <w:sz w:val="20"/>
                <w:szCs w:val="20"/>
              </w:rPr>
              <w:t xml:space="preserve">other </w:t>
            </w:r>
            <w:r w:rsidRPr="002D30A4">
              <w:rPr>
                <w:rFonts w:ascii="Arial" w:hAnsi="Arial" w:cs="Arial"/>
                <w:sz w:val="20"/>
                <w:szCs w:val="20"/>
              </w:rPr>
              <w:t>environmental influences</w:t>
            </w:r>
            <w:r w:rsidR="00B27853" w:rsidRPr="002D30A4">
              <w:rPr>
                <w:rFonts w:ascii="Arial" w:hAnsi="Arial" w:cs="Arial"/>
                <w:sz w:val="20"/>
                <w:szCs w:val="20"/>
              </w:rPr>
              <w:t xml:space="preserve">, and </w:t>
            </w:r>
            <w:r w:rsidR="00B27853">
              <w:rPr>
                <w:rFonts w:ascii="Arial" w:hAnsi="Arial" w:cs="Arial"/>
                <w:sz w:val="20"/>
                <w:szCs w:val="20"/>
              </w:rPr>
              <w:t xml:space="preserve">enable business leaders </w:t>
            </w:r>
            <w:r w:rsidR="00B27853" w:rsidRPr="002D30A4">
              <w:rPr>
                <w:rFonts w:ascii="Arial" w:hAnsi="Arial" w:cs="Arial"/>
                <w:sz w:val="20"/>
                <w:szCs w:val="20"/>
              </w:rPr>
              <w:t xml:space="preserve">to </w:t>
            </w:r>
            <w:r w:rsidR="00B27853">
              <w:rPr>
                <w:rFonts w:ascii="Arial" w:hAnsi="Arial" w:cs="Arial"/>
                <w:sz w:val="20"/>
                <w:szCs w:val="20"/>
              </w:rPr>
              <w:t xml:space="preserve">assess </w:t>
            </w:r>
            <w:r w:rsidR="00B27853" w:rsidRPr="002D30A4">
              <w:rPr>
                <w:rFonts w:ascii="Arial" w:hAnsi="Arial" w:cs="Arial"/>
                <w:sz w:val="20"/>
                <w:szCs w:val="20"/>
              </w:rPr>
              <w:t>the profitability of the portfolio.</w:t>
            </w:r>
          </w:p>
          <w:p w14:paraId="7F00EC7C" w14:textId="77777777" w:rsidR="00382053" w:rsidRPr="002D30A4" w:rsidRDefault="00382053" w:rsidP="00057E48">
            <w:pPr>
              <w:rPr>
                <w:rFonts w:ascii="Arial" w:hAnsi="Arial" w:cs="Arial"/>
                <w:i/>
                <w:iCs/>
                <w:sz w:val="16"/>
                <w:szCs w:val="16"/>
              </w:rPr>
            </w:pPr>
          </w:p>
        </w:tc>
      </w:tr>
      <w:tr w:rsidR="009549C8" w:rsidRPr="002D30A4" w14:paraId="7F00EC86" w14:textId="77777777" w:rsidTr="002D30A4">
        <w:trPr>
          <w:trHeight w:val="387"/>
        </w:trPr>
        <w:tc>
          <w:tcPr>
            <w:tcW w:w="1800" w:type="dxa"/>
          </w:tcPr>
          <w:p w14:paraId="7F00EC7E" w14:textId="77777777" w:rsidR="009549C8" w:rsidRPr="00C01C4E" w:rsidRDefault="00E75A99" w:rsidP="002D30A4">
            <w:pPr>
              <w:spacing w:before="60" w:after="60"/>
              <w:rPr>
                <w:rFonts w:ascii="Arial" w:hAnsi="Arial" w:cs="Arial"/>
                <w:bCs/>
                <w:i/>
                <w:iCs/>
                <w:color w:val="00B0F0"/>
                <w:sz w:val="20"/>
                <w:szCs w:val="20"/>
                <w:highlight w:val="lightGray"/>
              </w:rPr>
            </w:pPr>
            <w:r w:rsidRPr="00C01C4E">
              <w:rPr>
                <w:rFonts w:ascii="Arial" w:hAnsi="Arial" w:cs="Arial"/>
                <w:bCs/>
                <w:i/>
                <w:iCs/>
                <w:color w:val="00B0F0"/>
                <w:sz w:val="20"/>
                <w:szCs w:val="20"/>
              </w:rPr>
              <w:t>Methodology</w:t>
            </w:r>
          </w:p>
        </w:tc>
        <w:tc>
          <w:tcPr>
            <w:tcW w:w="8820" w:type="dxa"/>
            <w:gridSpan w:val="2"/>
          </w:tcPr>
          <w:p w14:paraId="7F00EC7F" w14:textId="77777777" w:rsidR="001B47F3" w:rsidRDefault="001B47F3" w:rsidP="001B47F3"/>
          <w:p w14:paraId="7F00EC80" w14:textId="77777777" w:rsidR="00866D14" w:rsidRDefault="001B47F3" w:rsidP="001B47F3">
            <w:pPr>
              <w:rPr>
                <w:rFonts w:ascii="Arial" w:hAnsi="Arial" w:cs="Arial"/>
                <w:sz w:val="20"/>
                <w:szCs w:val="20"/>
              </w:rPr>
            </w:pPr>
            <w:r w:rsidRPr="002D30A4">
              <w:rPr>
                <w:rFonts w:ascii="Arial" w:hAnsi="Arial" w:cs="Arial"/>
                <w:sz w:val="20"/>
                <w:szCs w:val="20"/>
              </w:rPr>
              <w:t xml:space="preserve">Profitability </w:t>
            </w:r>
            <w:r w:rsidR="005B7112">
              <w:rPr>
                <w:rFonts w:ascii="Arial" w:hAnsi="Arial" w:cs="Arial"/>
                <w:sz w:val="20"/>
                <w:szCs w:val="20"/>
              </w:rPr>
              <w:t>R</w:t>
            </w:r>
            <w:r w:rsidR="005B7112" w:rsidRPr="002D30A4">
              <w:rPr>
                <w:rFonts w:ascii="Arial" w:hAnsi="Arial" w:cs="Arial"/>
                <w:sz w:val="20"/>
                <w:szCs w:val="20"/>
              </w:rPr>
              <w:t>eviews</w:t>
            </w:r>
            <w:r w:rsidR="005B7112">
              <w:rPr>
                <w:rFonts w:ascii="Arial" w:hAnsi="Arial" w:cs="Arial"/>
                <w:sz w:val="20"/>
                <w:szCs w:val="20"/>
              </w:rPr>
              <w:t xml:space="preserve"> </w:t>
            </w:r>
            <w:r w:rsidR="00613DE7">
              <w:rPr>
                <w:rFonts w:ascii="Arial" w:hAnsi="Arial" w:cs="Arial"/>
                <w:sz w:val="20"/>
                <w:szCs w:val="20"/>
              </w:rPr>
              <w:t>shall</w:t>
            </w:r>
            <w:r w:rsidRPr="002D30A4">
              <w:rPr>
                <w:rFonts w:ascii="Arial" w:hAnsi="Arial" w:cs="Arial"/>
                <w:sz w:val="20"/>
                <w:szCs w:val="20"/>
              </w:rPr>
              <w:t xml:space="preserve"> be </w:t>
            </w:r>
            <w:r w:rsidR="00613DE7">
              <w:rPr>
                <w:rFonts w:ascii="Arial" w:hAnsi="Arial" w:cs="Arial"/>
                <w:sz w:val="20"/>
                <w:szCs w:val="20"/>
              </w:rPr>
              <w:t>reported</w:t>
            </w:r>
            <w:r w:rsidR="00613DE7" w:rsidRPr="002D30A4">
              <w:rPr>
                <w:rFonts w:ascii="Arial" w:hAnsi="Arial" w:cs="Arial"/>
                <w:sz w:val="20"/>
                <w:szCs w:val="20"/>
              </w:rPr>
              <w:t xml:space="preserve"> </w:t>
            </w:r>
            <w:r w:rsidRPr="002D30A4">
              <w:rPr>
                <w:rFonts w:ascii="Arial" w:hAnsi="Arial" w:cs="Arial"/>
                <w:sz w:val="20"/>
                <w:szCs w:val="20"/>
              </w:rPr>
              <w:t xml:space="preserve">on a policy year basis, gross of reinsurance and broker commission. </w:t>
            </w:r>
            <w:r w:rsidR="005A5CF9">
              <w:rPr>
                <w:rFonts w:ascii="Arial" w:hAnsi="Arial" w:cs="Arial"/>
                <w:sz w:val="20"/>
                <w:szCs w:val="20"/>
              </w:rPr>
              <w:t>The</w:t>
            </w:r>
            <w:r w:rsidR="00B27853">
              <w:rPr>
                <w:rFonts w:ascii="Arial" w:hAnsi="Arial" w:cs="Arial"/>
                <w:sz w:val="20"/>
                <w:szCs w:val="20"/>
              </w:rPr>
              <w:t>y</w:t>
            </w:r>
            <w:r w:rsidR="005A5CF9">
              <w:rPr>
                <w:rFonts w:ascii="Arial" w:hAnsi="Arial" w:cs="Arial"/>
                <w:sz w:val="20"/>
                <w:szCs w:val="20"/>
              </w:rPr>
              <w:t xml:space="preserve"> should include an analysis to assess the </w:t>
            </w:r>
            <w:r w:rsidR="005B7112">
              <w:rPr>
                <w:rFonts w:ascii="Arial" w:hAnsi="Arial" w:cs="Arial"/>
                <w:sz w:val="20"/>
                <w:szCs w:val="20"/>
              </w:rPr>
              <w:t xml:space="preserve">corresponding </w:t>
            </w:r>
            <w:r w:rsidR="005A5CF9">
              <w:rPr>
                <w:rFonts w:ascii="Arial" w:hAnsi="Arial" w:cs="Arial"/>
                <w:sz w:val="20"/>
                <w:szCs w:val="20"/>
              </w:rPr>
              <w:t>net result</w:t>
            </w:r>
            <w:r w:rsidR="005B7112">
              <w:rPr>
                <w:rFonts w:ascii="Arial" w:hAnsi="Arial" w:cs="Arial"/>
                <w:sz w:val="20"/>
                <w:szCs w:val="20"/>
              </w:rPr>
              <w:t xml:space="preserve"> on the projection period</w:t>
            </w:r>
            <w:r w:rsidR="005A5CF9">
              <w:rPr>
                <w:rFonts w:ascii="Arial" w:hAnsi="Arial" w:cs="Arial"/>
                <w:sz w:val="20"/>
                <w:szCs w:val="20"/>
              </w:rPr>
              <w:t xml:space="preserve">. </w:t>
            </w:r>
            <w:r w:rsidR="00866D14" w:rsidRPr="002D30A4">
              <w:rPr>
                <w:rFonts w:ascii="Arial" w:hAnsi="Arial" w:cs="Arial"/>
                <w:sz w:val="20"/>
                <w:szCs w:val="20"/>
              </w:rPr>
              <w:t>Where necessary,</w:t>
            </w:r>
            <w:r w:rsidRPr="002D30A4">
              <w:rPr>
                <w:rFonts w:ascii="Arial" w:hAnsi="Arial" w:cs="Arial"/>
                <w:sz w:val="20"/>
                <w:szCs w:val="20"/>
              </w:rPr>
              <w:t xml:space="preserve"> </w:t>
            </w:r>
            <w:r w:rsidR="00432889">
              <w:rPr>
                <w:rFonts w:ascii="Arial" w:hAnsi="Arial" w:cs="Arial"/>
                <w:sz w:val="20"/>
                <w:szCs w:val="20"/>
              </w:rPr>
              <w:t>Reviews</w:t>
            </w:r>
            <w:r w:rsidRPr="002D30A4">
              <w:rPr>
                <w:rFonts w:ascii="Arial" w:hAnsi="Arial" w:cs="Arial"/>
                <w:sz w:val="20"/>
                <w:szCs w:val="20"/>
              </w:rPr>
              <w:t xml:space="preserve"> </w:t>
            </w:r>
            <w:r w:rsidR="00866D14" w:rsidRPr="002D30A4">
              <w:rPr>
                <w:rFonts w:ascii="Arial" w:hAnsi="Arial" w:cs="Arial"/>
                <w:sz w:val="20"/>
                <w:szCs w:val="20"/>
              </w:rPr>
              <w:t>may</w:t>
            </w:r>
            <w:r w:rsidRPr="002D30A4">
              <w:rPr>
                <w:rFonts w:ascii="Arial" w:hAnsi="Arial" w:cs="Arial"/>
                <w:sz w:val="20"/>
                <w:szCs w:val="20"/>
              </w:rPr>
              <w:t xml:space="preserve"> be conducted on an accident year basis</w:t>
            </w:r>
            <w:r w:rsidR="00613DE7">
              <w:rPr>
                <w:rFonts w:ascii="Arial" w:hAnsi="Arial" w:cs="Arial"/>
                <w:sz w:val="20"/>
                <w:szCs w:val="20"/>
              </w:rPr>
              <w:t xml:space="preserve">, </w:t>
            </w:r>
            <w:r w:rsidR="00AB2994">
              <w:rPr>
                <w:rFonts w:ascii="Arial" w:hAnsi="Arial" w:cs="Arial"/>
                <w:sz w:val="20"/>
                <w:szCs w:val="20"/>
              </w:rPr>
              <w:t>and then</w:t>
            </w:r>
            <w:r w:rsidR="00613DE7">
              <w:rPr>
                <w:rFonts w:ascii="Arial" w:hAnsi="Arial" w:cs="Arial"/>
                <w:sz w:val="20"/>
                <w:szCs w:val="20"/>
              </w:rPr>
              <w:t xml:space="preserve"> converted and reported on the upcoming policy year.</w:t>
            </w:r>
            <w:r w:rsidR="00AB2994">
              <w:rPr>
                <w:rFonts w:ascii="Arial" w:hAnsi="Arial" w:cs="Arial"/>
                <w:sz w:val="20"/>
                <w:szCs w:val="20"/>
              </w:rPr>
              <w:t xml:space="preserve"> </w:t>
            </w:r>
          </w:p>
          <w:p w14:paraId="7F00EC81" w14:textId="77777777" w:rsidR="00FB1D26" w:rsidRPr="002D30A4" w:rsidRDefault="00FB1D26" w:rsidP="001B47F3">
            <w:pPr>
              <w:rPr>
                <w:rFonts w:ascii="Arial" w:hAnsi="Arial" w:cs="Arial"/>
                <w:sz w:val="20"/>
                <w:szCs w:val="20"/>
              </w:rPr>
            </w:pPr>
          </w:p>
          <w:p w14:paraId="7F00EC82" w14:textId="77777777" w:rsidR="00866D14" w:rsidRPr="002D30A4" w:rsidRDefault="001B47F3" w:rsidP="001B47F3">
            <w:pPr>
              <w:rPr>
                <w:rFonts w:ascii="Arial" w:hAnsi="Arial" w:cs="Arial"/>
                <w:sz w:val="20"/>
                <w:szCs w:val="20"/>
              </w:rPr>
            </w:pPr>
            <w:r w:rsidRPr="002D30A4">
              <w:rPr>
                <w:rFonts w:ascii="Arial" w:hAnsi="Arial" w:cs="Arial"/>
                <w:sz w:val="20"/>
                <w:szCs w:val="20"/>
              </w:rPr>
              <w:t xml:space="preserve">Profitability </w:t>
            </w:r>
            <w:r w:rsidR="005B7112">
              <w:rPr>
                <w:rFonts w:ascii="Arial" w:hAnsi="Arial" w:cs="Arial"/>
                <w:sz w:val="20"/>
                <w:szCs w:val="20"/>
              </w:rPr>
              <w:t>R</w:t>
            </w:r>
            <w:r w:rsidR="005B7112" w:rsidRPr="002D30A4">
              <w:rPr>
                <w:rFonts w:ascii="Arial" w:hAnsi="Arial" w:cs="Arial"/>
                <w:sz w:val="20"/>
                <w:szCs w:val="20"/>
              </w:rPr>
              <w:t xml:space="preserve">eviews </w:t>
            </w:r>
            <w:r w:rsidR="00B27853">
              <w:rPr>
                <w:rFonts w:ascii="Arial" w:hAnsi="Arial" w:cs="Arial"/>
                <w:sz w:val="20"/>
                <w:szCs w:val="20"/>
              </w:rPr>
              <w:t>must</w:t>
            </w:r>
            <w:r w:rsidRPr="002D30A4">
              <w:rPr>
                <w:rFonts w:ascii="Arial" w:hAnsi="Arial" w:cs="Arial"/>
                <w:sz w:val="20"/>
                <w:szCs w:val="20"/>
              </w:rPr>
              <w:t xml:space="preserve"> be conducted annually</w:t>
            </w:r>
            <w:r w:rsidR="00B27853">
              <w:rPr>
                <w:rFonts w:ascii="Arial" w:hAnsi="Arial" w:cs="Arial"/>
                <w:sz w:val="20"/>
                <w:szCs w:val="20"/>
              </w:rPr>
              <w:t xml:space="preserve"> by each product tower</w:t>
            </w:r>
            <w:r w:rsidR="00866D14" w:rsidRPr="002D30A4">
              <w:rPr>
                <w:rFonts w:ascii="Arial" w:hAnsi="Arial" w:cs="Arial"/>
                <w:sz w:val="20"/>
                <w:szCs w:val="20"/>
              </w:rPr>
              <w:t xml:space="preserve">. </w:t>
            </w:r>
            <w:r w:rsidRPr="002D30A4">
              <w:rPr>
                <w:rFonts w:ascii="Arial" w:hAnsi="Arial" w:cs="Arial"/>
                <w:sz w:val="20"/>
                <w:szCs w:val="20"/>
              </w:rPr>
              <w:t xml:space="preserve"> </w:t>
            </w:r>
          </w:p>
          <w:p w14:paraId="7F00EC83" w14:textId="77777777" w:rsidR="00866D14" w:rsidRPr="002D30A4" w:rsidRDefault="00866D14" w:rsidP="001B47F3">
            <w:pPr>
              <w:rPr>
                <w:rFonts w:ascii="Arial" w:hAnsi="Arial" w:cs="Arial"/>
                <w:sz w:val="20"/>
                <w:szCs w:val="20"/>
              </w:rPr>
            </w:pPr>
          </w:p>
          <w:p w14:paraId="7F00EC84" w14:textId="77777777" w:rsidR="001B47F3" w:rsidRPr="002D30A4" w:rsidRDefault="00B27853" w:rsidP="001B47F3">
            <w:pPr>
              <w:rPr>
                <w:rFonts w:ascii="Arial" w:hAnsi="Arial" w:cs="Arial"/>
                <w:sz w:val="20"/>
                <w:szCs w:val="20"/>
              </w:rPr>
            </w:pPr>
            <w:r>
              <w:rPr>
                <w:rFonts w:ascii="Arial" w:hAnsi="Arial" w:cs="Arial"/>
                <w:sz w:val="20"/>
                <w:szCs w:val="20"/>
              </w:rPr>
              <w:t xml:space="preserve">A </w:t>
            </w:r>
            <w:r w:rsidR="001B47F3" w:rsidRPr="002D30A4">
              <w:rPr>
                <w:rFonts w:ascii="Arial" w:hAnsi="Arial" w:cs="Arial"/>
                <w:sz w:val="20"/>
                <w:szCs w:val="20"/>
              </w:rPr>
              <w:t xml:space="preserve">global uniform profitability report </w:t>
            </w:r>
            <w:r>
              <w:rPr>
                <w:rFonts w:ascii="Arial" w:hAnsi="Arial" w:cs="Arial"/>
                <w:sz w:val="20"/>
                <w:szCs w:val="20"/>
              </w:rPr>
              <w:t>template</w:t>
            </w:r>
            <w:r w:rsidR="001B47F3" w:rsidRPr="002D30A4">
              <w:rPr>
                <w:rFonts w:ascii="Arial" w:hAnsi="Arial" w:cs="Arial"/>
                <w:sz w:val="20"/>
                <w:szCs w:val="20"/>
              </w:rPr>
              <w:t xml:space="preserve"> </w:t>
            </w:r>
            <w:r w:rsidR="00866D14" w:rsidRPr="002D30A4">
              <w:rPr>
                <w:rFonts w:ascii="Arial" w:hAnsi="Arial" w:cs="Arial"/>
                <w:sz w:val="20"/>
                <w:szCs w:val="20"/>
              </w:rPr>
              <w:t xml:space="preserve">is to be </w:t>
            </w:r>
            <w:r w:rsidR="00E93CB1" w:rsidRPr="002D30A4">
              <w:rPr>
                <w:rFonts w:ascii="Arial" w:hAnsi="Arial" w:cs="Arial"/>
                <w:sz w:val="20"/>
                <w:szCs w:val="20"/>
              </w:rPr>
              <w:t>used</w:t>
            </w:r>
            <w:r w:rsidR="00E41FBE">
              <w:rPr>
                <w:rFonts w:ascii="Arial" w:hAnsi="Arial" w:cs="Arial"/>
                <w:sz w:val="20"/>
                <w:szCs w:val="20"/>
              </w:rPr>
              <w:t xml:space="preserve"> </w:t>
            </w:r>
            <w:r w:rsidR="00E41FBE" w:rsidRPr="002D30A4">
              <w:rPr>
                <w:rFonts w:ascii="Arial" w:hAnsi="Arial" w:cs="Arial"/>
                <w:sz w:val="20"/>
                <w:szCs w:val="20"/>
              </w:rPr>
              <w:t xml:space="preserve">for all </w:t>
            </w:r>
            <w:r w:rsidR="00432889">
              <w:rPr>
                <w:rFonts w:ascii="Arial" w:hAnsi="Arial" w:cs="Arial"/>
                <w:sz w:val="20"/>
                <w:szCs w:val="20"/>
              </w:rPr>
              <w:t>Profitability Reviews</w:t>
            </w:r>
            <w:r w:rsidR="001B47F3" w:rsidRPr="002D30A4">
              <w:rPr>
                <w:rFonts w:ascii="Arial" w:hAnsi="Arial" w:cs="Arial"/>
                <w:sz w:val="20"/>
                <w:szCs w:val="20"/>
              </w:rPr>
              <w:t xml:space="preserve">. </w:t>
            </w:r>
            <w:r w:rsidR="00254022">
              <w:rPr>
                <w:rFonts w:ascii="Arial" w:hAnsi="Arial" w:cs="Arial"/>
                <w:sz w:val="20"/>
                <w:szCs w:val="20"/>
              </w:rPr>
              <w:t xml:space="preserve">The </w:t>
            </w:r>
            <w:r w:rsidR="001B47F3" w:rsidRPr="002D30A4">
              <w:rPr>
                <w:rFonts w:ascii="Arial" w:hAnsi="Arial" w:cs="Arial"/>
                <w:sz w:val="20"/>
                <w:szCs w:val="20"/>
              </w:rPr>
              <w:t xml:space="preserve">results of each </w:t>
            </w:r>
            <w:r>
              <w:rPr>
                <w:rFonts w:ascii="Arial" w:hAnsi="Arial" w:cs="Arial"/>
                <w:sz w:val="20"/>
                <w:szCs w:val="20"/>
              </w:rPr>
              <w:t>Profitability Review</w:t>
            </w:r>
            <w:r w:rsidR="00866D14" w:rsidRPr="002D30A4">
              <w:rPr>
                <w:rFonts w:ascii="Arial" w:hAnsi="Arial" w:cs="Arial"/>
                <w:sz w:val="20"/>
                <w:szCs w:val="20"/>
              </w:rPr>
              <w:t xml:space="preserve"> must be recorded and maintained</w:t>
            </w:r>
            <w:r w:rsidR="00613DE7">
              <w:rPr>
                <w:rFonts w:ascii="Arial" w:hAnsi="Arial" w:cs="Arial"/>
                <w:sz w:val="20"/>
                <w:szCs w:val="20"/>
              </w:rPr>
              <w:t xml:space="preserve"> by the </w:t>
            </w:r>
            <w:r>
              <w:rPr>
                <w:rFonts w:ascii="Arial" w:hAnsi="Arial" w:cs="Arial"/>
                <w:sz w:val="20"/>
                <w:szCs w:val="20"/>
              </w:rPr>
              <w:t>Global Head of Commercial Pricing</w:t>
            </w:r>
            <w:r w:rsidR="00866D14" w:rsidRPr="002D30A4">
              <w:rPr>
                <w:rFonts w:ascii="Arial" w:hAnsi="Arial" w:cs="Arial"/>
                <w:sz w:val="20"/>
                <w:szCs w:val="20"/>
              </w:rPr>
              <w:t>.</w:t>
            </w:r>
            <w:r w:rsidR="00613DE7">
              <w:rPr>
                <w:rFonts w:ascii="Arial" w:hAnsi="Arial" w:cs="Arial"/>
                <w:sz w:val="20"/>
                <w:szCs w:val="20"/>
              </w:rPr>
              <w:t xml:space="preserve"> </w:t>
            </w:r>
            <w:r w:rsidR="00254022">
              <w:rPr>
                <w:rFonts w:ascii="Arial" w:hAnsi="Arial" w:cs="Arial"/>
                <w:sz w:val="20"/>
                <w:szCs w:val="20"/>
              </w:rPr>
              <w:t xml:space="preserve">When conducting Profitability Reviews </w:t>
            </w:r>
            <w:r w:rsidR="00613DE7">
              <w:rPr>
                <w:rFonts w:ascii="Arial" w:hAnsi="Arial" w:cs="Arial"/>
                <w:sz w:val="20"/>
                <w:szCs w:val="20"/>
              </w:rPr>
              <w:t xml:space="preserve">the “Profitability Review </w:t>
            </w:r>
            <w:r w:rsidR="007E7549">
              <w:rPr>
                <w:rFonts w:ascii="Arial" w:hAnsi="Arial" w:cs="Arial"/>
                <w:sz w:val="20"/>
                <w:szCs w:val="20"/>
              </w:rPr>
              <w:t xml:space="preserve">Reporting </w:t>
            </w:r>
            <w:r w:rsidR="00613DE7">
              <w:rPr>
                <w:rFonts w:ascii="Arial" w:hAnsi="Arial" w:cs="Arial"/>
                <w:sz w:val="20"/>
                <w:szCs w:val="20"/>
              </w:rPr>
              <w:t xml:space="preserve">Procedures” </w:t>
            </w:r>
            <w:r w:rsidR="007B2172">
              <w:rPr>
                <w:rFonts w:ascii="Arial" w:hAnsi="Arial" w:cs="Arial"/>
                <w:sz w:val="20"/>
                <w:szCs w:val="20"/>
              </w:rPr>
              <w:t xml:space="preserve">must </w:t>
            </w:r>
            <w:r w:rsidR="00254022">
              <w:rPr>
                <w:rFonts w:ascii="Arial" w:hAnsi="Arial" w:cs="Arial"/>
                <w:sz w:val="20"/>
                <w:szCs w:val="20"/>
              </w:rPr>
              <w:t xml:space="preserve">be followed, which can be </w:t>
            </w:r>
            <w:r>
              <w:rPr>
                <w:rFonts w:ascii="Arial" w:hAnsi="Arial" w:cs="Arial"/>
                <w:sz w:val="20"/>
                <w:szCs w:val="20"/>
              </w:rPr>
              <w:t>found on the Commercial Pricing Share</w:t>
            </w:r>
            <w:r w:rsidR="00901283">
              <w:rPr>
                <w:rFonts w:ascii="Arial" w:hAnsi="Arial" w:cs="Arial"/>
                <w:sz w:val="20"/>
                <w:szCs w:val="20"/>
              </w:rPr>
              <w:t>d</w:t>
            </w:r>
            <w:r w:rsidR="00254022">
              <w:rPr>
                <w:rFonts w:ascii="Arial" w:hAnsi="Arial" w:cs="Arial"/>
                <w:sz w:val="20"/>
                <w:szCs w:val="20"/>
              </w:rPr>
              <w:t xml:space="preserve"> </w:t>
            </w:r>
            <w:r w:rsidR="007B2172">
              <w:rPr>
                <w:rFonts w:ascii="Arial" w:hAnsi="Arial" w:cs="Arial"/>
                <w:sz w:val="20"/>
                <w:szCs w:val="20"/>
              </w:rPr>
              <w:t>drive</w:t>
            </w:r>
            <w:r w:rsidR="00E93CB1">
              <w:rPr>
                <w:rFonts w:ascii="Arial" w:hAnsi="Arial" w:cs="Arial"/>
                <w:sz w:val="20"/>
                <w:szCs w:val="20"/>
              </w:rPr>
              <w:t>.</w:t>
            </w:r>
          </w:p>
          <w:p w14:paraId="7F00EC85" w14:textId="77777777" w:rsidR="009549C8" w:rsidRPr="002D30A4" w:rsidRDefault="009549C8" w:rsidP="002D30A4">
            <w:pPr>
              <w:jc w:val="both"/>
              <w:rPr>
                <w:rFonts w:ascii="Arial" w:hAnsi="Arial" w:cs="Arial"/>
                <w:sz w:val="20"/>
                <w:szCs w:val="20"/>
              </w:rPr>
            </w:pPr>
          </w:p>
        </w:tc>
      </w:tr>
      <w:tr w:rsidR="009549C8" w:rsidRPr="002D30A4" w14:paraId="7F00EC97" w14:textId="77777777" w:rsidTr="002D30A4">
        <w:trPr>
          <w:trHeight w:val="387"/>
        </w:trPr>
        <w:tc>
          <w:tcPr>
            <w:tcW w:w="1800" w:type="dxa"/>
          </w:tcPr>
          <w:p w14:paraId="7F00EC87" w14:textId="77777777" w:rsidR="009549C8" w:rsidRPr="00C01C4E" w:rsidRDefault="00E41FBE" w:rsidP="004912A9">
            <w:pPr>
              <w:rPr>
                <w:rFonts w:ascii="Arial" w:hAnsi="Arial" w:cs="Arial"/>
                <w:i/>
                <w:color w:val="00B0F0"/>
                <w:sz w:val="20"/>
                <w:szCs w:val="20"/>
              </w:rPr>
            </w:pPr>
            <w:r w:rsidRPr="00C01C4E">
              <w:rPr>
                <w:rFonts w:ascii="Arial" w:hAnsi="Arial" w:cs="Arial"/>
                <w:i/>
                <w:color w:val="00B0F0"/>
                <w:sz w:val="20"/>
                <w:szCs w:val="20"/>
              </w:rPr>
              <w:t>Requirements</w:t>
            </w:r>
          </w:p>
        </w:tc>
        <w:tc>
          <w:tcPr>
            <w:tcW w:w="8820" w:type="dxa"/>
            <w:gridSpan w:val="2"/>
          </w:tcPr>
          <w:p w14:paraId="7F00EC88" w14:textId="77777777" w:rsidR="00382053" w:rsidRPr="002D30A4" w:rsidRDefault="00382053" w:rsidP="001B47F3">
            <w:pPr>
              <w:rPr>
                <w:rFonts w:ascii="Arial" w:hAnsi="Arial" w:cs="Arial"/>
                <w:sz w:val="20"/>
                <w:szCs w:val="20"/>
              </w:rPr>
            </w:pPr>
          </w:p>
          <w:p w14:paraId="7F00EC89" w14:textId="77777777" w:rsidR="001B47F3" w:rsidRPr="002D30A4" w:rsidRDefault="001B47F3" w:rsidP="001B47F3">
            <w:pPr>
              <w:rPr>
                <w:rFonts w:ascii="Arial" w:hAnsi="Arial" w:cs="Arial"/>
                <w:sz w:val="20"/>
                <w:szCs w:val="20"/>
              </w:rPr>
            </w:pPr>
          </w:p>
          <w:p w14:paraId="7F00EC8A" w14:textId="77777777" w:rsidR="001B47F3" w:rsidRDefault="00901283" w:rsidP="005B0DFF">
            <w:pPr>
              <w:numPr>
                <w:ilvl w:val="0"/>
                <w:numId w:val="17"/>
              </w:numPr>
              <w:rPr>
                <w:rFonts w:ascii="Arial" w:hAnsi="Arial" w:cs="Arial"/>
                <w:sz w:val="20"/>
                <w:szCs w:val="20"/>
              </w:rPr>
            </w:pPr>
            <w:r>
              <w:rPr>
                <w:rFonts w:ascii="Arial" w:hAnsi="Arial" w:cs="Arial"/>
                <w:sz w:val="20"/>
                <w:szCs w:val="20"/>
              </w:rPr>
              <w:t xml:space="preserve">All business units must maintain an inventory of completed Profitability Reviews and Profitability Reviews scheduled for the upcoming 12-month period.  </w:t>
            </w:r>
          </w:p>
          <w:p w14:paraId="7F00EC8B" w14:textId="77777777" w:rsidR="005B0DFF" w:rsidRDefault="005B0DFF" w:rsidP="005B0DFF">
            <w:pPr>
              <w:ind w:left="720"/>
              <w:rPr>
                <w:rFonts w:ascii="Arial" w:hAnsi="Arial" w:cs="Arial"/>
                <w:sz w:val="20"/>
                <w:szCs w:val="20"/>
              </w:rPr>
            </w:pPr>
          </w:p>
          <w:p w14:paraId="7F00EC8C" w14:textId="77777777" w:rsidR="009A590A" w:rsidRDefault="009A590A" w:rsidP="005B0DFF">
            <w:pPr>
              <w:ind w:left="720"/>
              <w:rPr>
                <w:rFonts w:ascii="Arial" w:hAnsi="Arial" w:cs="Arial"/>
                <w:sz w:val="20"/>
                <w:szCs w:val="20"/>
              </w:rPr>
            </w:pPr>
          </w:p>
          <w:p w14:paraId="7F00EC8D" w14:textId="77777777" w:rsidR="009A590A" w:rsidRDefault="009A590A" w:rsidP="005B0DFF">
            <w:pPr>
              <w:ind w:left="720"/>
              <w:rPr>
                <w:rFonts w:ascii="Arial" w:hAnsi="Arial" w:cs="Arial"/>
                <w:sz w:val="20"/>
                <w:szCs w:val="20"/>
              </w:rPr>
            </w:pPr>
          </w:p>
          <w:p w14:paraId="7F00EC8E" w14:textId="77777777" w:rsidR="001B47F3" w:rsidRDefault="00901283" w:rsidP="005B0DFF">
            <w:pPr>
              <w:numPr>
                <w:ilvl w:val="0"/>
                <w:numId w:val="17"/>
              </w:numPr>
              <w:rPr>
                <w:rFonts w:ascii="Arial" w:hAnsi="Arial" w:cs="Arial"/>
                <w:sz w:val="20"/>
                <w:szCs w:val="20"/>
              </w:rPr>
            </w:pPr>
            <w:r>
              <w:rPr>
                <w:rFonts w:ascii="Arial" w:hAnsi="Arial" w:cs="Arial"/>
                <w:sz w:val="20"/>
                <w:szCs w:val="20"/>
              </w:rPr>
              <w:t xml:space="preserve">Portfolio actuaries will conduct the Profitability Reviews. </w:t>
            </w:r>
            <w:r w:rsidR="005B0DFF">
              <w:rPr>
                <w:rFonts w:ascii="Arial" w:hAnsi="Arial" w:cs="Arial"/>
                <w:sz w:val="20"/>
                <w:szCs w:val="20"/>
              </w:rPr>
              <w:t>Prior to commenc</w:t>
            </w:r>
            <w:r>
              <w:rPr>
                <w:rFonts w:ascii="Arial" w:hAnsi="Arial" w:cs="Arial"/>
                <w:sz w:val="20"/>
                <w:szCs w:val="20"/>
              </w:rPr>
              <w:t>ing a Profitability R</w:t>
            </w:r>
            <w:r w:rsidR="005B0DFF">
              <w:rPr>
                <w:rFonts w:ascii="Arial" w:hAnsi="Arial" w:cs="Arial"/>
                <w:sz w:val="20"/>
                <w:szCs w:val="20"/>
              </w:rPr>
              <w:t>eview, the reviewer must c</w:t>
            </w:r>
            <w:r w:rsidR="00AD36C3" w:rsidRPr="005B0DFF">
              <w:rPr>
                <w:rFonts w:ascii="Arial" w:hAnsi="Arial" w:cs="Arial"/>
                <w:sz w:val="20"/>
                <w:szCs w:val="20"/>
              </w:rPr>
              <w:t>ommunicate</w:t>
            </w:r>
            <w:r w:rsidR="001B47F3" w:rsidRPr="005B0DFF">
              <w:rPr>
                <w:rFonts w:ascii="Arial" w:hAnsi="Arial" w:cs="Arial"/>
                <w:sz w:val="20"/>
                <w:szCs w:val="20"/>
              </w:rPr>
              <w:t xml:space="preserve"> with all pertinent parties with </w:t>
            </w:r>
            <w:r w:rsidR="001B47F3" w:rsidRPr="005B0DFF">
              <w:rPr>
                <w:rFonts w:ascii="Arial" w:hAnsi="Arial" w:cs="Arial"/>
                <w:sz w:val="20"/>
                <w:szCs w:val="20"/>
              </w:rPr>
              <w:lastRenderedPageBreak/>
              <w:t xml:space="preserve">knowledge of the </w:t>
            </w:r>
            <w:r w:rsidR="002F0AD1">
              <w:rPr>
                <w:rFonts w:ascii="Arial" w:hAnsi="Arial" w:cs="Arial"/>
                <w:sz w:val="20"/>
                <w:szCs w:val="20"/>
              </w:rPr>
              <w:t>portfolio</w:t>
            </w:r>
            <w:r w:rsidR="001B47F3" w:rsidRPr="005B0DFF">
              <w:rPr>
                <w:rFonts w:ascii="Arial" w:hAnsi="Arial" w:cs="Arial"/>
                <w:sz w:val="20"/>
                <w:szCs w:val="20"/>
              </w:rPr>
              <w:t xml:space="preserve"> </w:t>
            </w:r>
            <w:r w:rsidR="004000B9" w:rsidRPr="005B0DFF">
              <w:rPr>
                <w:rFonts w:ascii="Arial" w:hAnsi="Arial" w:cs="Arial"/>
                <w:sz w:val="20"/>
                <w:szCs w:val="20"/>
              </w:rPr>
              <w:t>(</w:t>
            </w:r>
            <w:r w:rsidR="001B47F3" w:rsidRPr="005B0DFF">
              <w:rPr>
                <w:rFonts w:ascii="Arial" w:hAnsi="Arial" w:cs="Arial"/>
                <w:sz w:val="20"/>
                <w:szCs w:val="20"/>
              </w:rPr>
              <w:t xml:space="preserve">i.e. </w:t>
            </w:r>
            <w:r w:rsidR="00FB1D26">
              <w:rPr>
                <w:rFonts w:ascii="Arial" w:hAnsi="Arial" w:cs="Arial"/>
                <w:sz w:val="20"/>
                <w:szCs w:val="20"/>
              </w:rPr>
              <w:t>b</w:t>
            </w:r>
            <w:r w:rsidR="001B47F3" w:rsidRPr="005B0DFF">
              <w:rPr>
                <w:rFonts w:ascii="Arial" w:hAnsi="Arial" w:cs="Arial"/>
                <w:sz w:val="20"/>
                <w:szCs w:val="20"/>
              </w:rPr>
              <w:t xml:space="preserve">usiness </w:t>
            </w:r>
            <w:r w:rsidR="00FB1D26">
              <w:rPr>
                <w:rFonts w:ascii="Arial" w:hAnsi="Arial" w:cs="Arial"/>
                <w:sz w:val="20"/>
                <w:szCs w:val="20"/>
              </w:rPr>
              <w:t>l</w:t>
            </w:r>
            <w:r w:rsidR="001B47F3" w:rsidRPr="005B0DFF">
              <w:rPr>
                <w:rFonts w:ascii="Arial" w:hAnsi="Arial" w:cs="Arial"/>
                <w:sz w:val="20"/>
                <w:szCs w:val="20"/>
              </w:rPr>
              <w:t xml:space="preserve">eaders, </w:t>
            </w:r>
            <w:r w:rsidR="00FB1D26">
              <w:rPr>
                <w:rFonts w:ascii="Arial" w:hAnsi="Arial" w:cs="Arial"/>
                <w:sz w:val="20"/>
                <w:szCs w:val="20"/>
              </w:rPr>
              <w:t>c</w:t>
            </w:r>
            <w:r w:rsidR="001B47F3" w:rsidRPr="005B0DFF">
              <w:rPr>
                <w:rFonts w:ascii="Arial" w:hAnsi="Arial" w:cs="Arial"/>
                <w:sz w:val="20"/>
                <w:szCs w:val="20"/>
              </w:rPr>
              <w:t xml:space="preserve">laims, </w:t>
            </w:r>
            <w:r w:rsidR="00FB1D26">
              <w:rPr>
                <w:rFonts w:ascii="Arial" w:hAnsi="Arial" w:cs="Arial"/>
                <w:sz w:val="20"/>
                <w:szCs w:val="20"/>
              </w:rPr>
              <w:t>f</w:t>
            </w:r>
            <w:r w:rsidR="001B47F3" w:rsidRPr="005B0DFF">
              <w:rPr>
                <w:rFonts w:ascii="Arial" w:hAnsi="Arial" w:cs="Arial"/>
                <w:sz w:val="20"/>
                <w:szCs w:val="20"/>
              </w:rPr>
              <w:t xml:space="preserve">inance </w:t>
            </w:r>
            <w:r w:rsidR="00FB1D26">
              <w:rPr>
                <w:rFonts w:ascii="Arial" w:hAnsi="Arial" w:cs="Arial"/>
                <w:sz w:val="20"/>
                <w:szCs w:val="20"/>
              </w:rPr>
              <w:t>a</w:t>
            </w:r>
            <w:r w:rsidR="001B47F3" w:rsidRPr="005B0DFF">
              <w:rPr>
                <w:rFonts w:ascii="Arial" w:hAnsi="Arial" w:cs="Arial"/>
                <w:sz w:val="20"/>
                <w:szCs w:val="20"/>
              </w:rPr>
              <w:t xml:space="preserve">ctuaries, </w:t>
            </w:r>
            <w:r w:rsidR="00FB1D26">
              <w:rPr>
                <w:rFonts w:ascii="Arial" w:hAnsi="Arial" w:cs="Arial"/>
                <w:sz w:val="20"/>
                <w:szCs w:val="20"/>
              </w:rPr>
              <w:t>s</w:t>
            </w:r>
            <w:r w:rsidR="001B47F3" w:rsidRPr="005B0DFF">
              <w:rPr>
                <w:rFonts w:ascii="Arial" w:hAnsi="Arial" w:cs="Arial"/>
                <w:sz w:val="20"/>
                <w:szCs w:val="20"/>
              </w:rPr>
              <w:t>cience,</w:t>
            </w:r>
            <w:r w:rsidR="002F0AD1">
              <w:rPr>
                <w:rFonts w:ascii="Arial" w:hAnsi="Arial" w:cs="Arial"/>
                <w:sz w:val="20"/>
                <w:szCs w:val="20"/>
              </w:rPr>
              <w:t xml:space="preserve"> operations and systems</w:t>
            </w:r>
            <w:r w:rsidR="004000B9" w:rsidRPr="005B0DFF">
              <w:rPr>
                <w:rFonts w:ascii="Arial" w:hAnsi="Arial" w:cs="Arial"/>
                <w:sz w:val="20"/>
                <w:szCs w:val="20"/>
              </w:rPr>
              <w:t>)</w:t>
            </w:r>
            <w:r w:rsidR="001B47F3" w:rsidRPr="005B0DFF">
              <w:rPr>
                <w:rFonts w:ascii="Arial" w:hAnsi="Arial" w:cs="Arial"/>
                <w:sz w:val="20"/>
                <w:szCs w:val="20"/>
              </w:rPr>
              <w:t xml:space="preserve"> to understand the history and nuances of the </w:t>
            </w:r>
            <w:r w:rsidR="002F0AD1">
              <w:rPr>
                <w:rFonts w:ascii="Arial" w:hAnsi="Arial" w:cs="Arial"/>
                <w:sz w:val="20"/>
                <w:szCs w:val="20"/>
              </w:rPr>
              <w:t>portfolio.</w:t>
            </w:r>
          </w:p>
          <w:p w14:paraId="7F00EC8F" w14:textId="77777777" w:rsidR="005B0DFF" w:rsidRPr="005B0DFF" w:rsidRDefault="005B0DFF" w:rsidP="005B0DFF">
            <w:pPr>
              <w:ind w:left="720"/>
              <w:rPr>
                <w:rFonts w:ascii="Arial" w:hAnsi="Arial" w:cs="Arial"/>
                <w:sz w:val="20"/>
                <w:szCs w:val="20"/>
              </w:rPr>
            </w:pPr>
          </w:p>
          <w:p w14:paraId="7F00EC90" w14:textId="77777777" w:rsidR="001B47F3" w:rsidRPr="002D30A4" w:rsidRDefault="001B47F3" w:rsidP="002D30A4">
            <w:pPr>
              <w:numPr>
                <w:ilvl w:val="0"/>
                <w:numId w:val="17"/>
              </w:numPr>
              <w:rPr>
                <w:rFonts w:ascii="Arial" w:hAnsi="Arial" w:cs="Arial"/>
                <w:sz w:val="20"/>
                <w:szCs w:val="20"/>
              </w:rPr>
            </w:pPr>
            <w:r w:rsidRPr="002D30A4">
              <w:rPr>
                <w:rFonts w:ascii="Arial" w:hAnsi="Arial" w:cs="Arial"/>
                <w:sz w:val="20"/>
                <w:szCs w:val="20"/>
              </w:rPr>
              <w:t xml:space="preserve">The </w:t>
            </w:r>
            <w:r w:rsidR="002F0AD1">
              <w:rPr>
                <w:rFonts w:ascii="Arial" w:hAnsi="Arial" w:cs="Arial"/>
                <w:sz w:val="20"/>
                <w:szCs w:val="20"/>
              </w:rPr>
              <w:t>Profitability Review</w:t>
            </w:r>
            <w:r w:rsidRPr="002D30A4">
              <w:rPr>
                <w:rFonts w:ascii="Arial" w:hAnsi="Arial" w:cs="Arial"/>
                <w:sz w:val="20"/>
                <w:szCs w:val="20"/>
              </w:rPr>
              <w:t xml:space="preserve"> </w:t>
            </w:r>
            <w:r w:rsidR="00AD36C3">
              <w:rPr>
                <w:rFonts w:ascii="Arial" w:hAnsi="Arial" w:cs="Arial"/>
                <w:sz w:val="20"/>
                <w:szCs w:val="20"/>
              </w:rPr>
              <w:t>should</w:t>
            </w:r>
            <w:r w:rsidR="003567F1" w:rsidRPr="002D30A4">
              <w:rPr>
                <w:rFonts w:ascii="Arial" w:hAnsi="Arial" w:cs="Arial"/>
                <w:sz w:val="20"/>
                <w:szCs w:val="20"/>
              </w:rPr>
              <w:t xml:space="preserve"> </w:t>
            </w:r>
            <w:r w:rsidRPr="002D30A4">
              <w:rPr>
                <w:rFonts w:ascii="Arial" w:hAnsi="Arial" w:cs="Arial"/>
                <w:sz w:val="20"/>
                <w:szCs w:val="20"/>
              </w:rPr>
              <w:t xml:space="preserve">include a complete on-level and trend analysis. If possible, the trend </w:t>
            </w:r>
            <w:r w:rsidR="002F0AD1">
              <w:rPr>
                <w:rFonts w:ascii="Arial" w:hAnsi="Arial" w:cs="Arial"/>
                <w:sz w:val="20"/>
                <w:szCs w:val="20"/>
              </w:rPr>
              <w:t xml:space="preserve">analysis should be using </w:t>
            </w:r>
            <w:r w:rsidRPr="002D30A4">
              <w:rPr>
                <w:rFonts w:ascii="Arial" w:hAnsi="Arial" w:cs="Arial"/>
                <w:sz w:val="20"/>
                <w:szCs w:val="20"/>
              </w:rPr>
              <w:t xml:space="preserve">data available for the </w:t>
            </w:r>
            <w:r w:rsidR="002F0AD1">
              <w:rPr>
                <w:rFonts w:ascii="Arial" w:hAnsi="Arial" w:cs="Arial"/>
                <w:sz w:val="20"/>
                <w:szCs w:val="20"/>
              </w:rPr>
              <w:t>P</w:t>
            </w:r>
            <w:r w:rsidRPr="002D30A4">
              <w:rPr>
                <w:rFonts w:ascii="Arial" w:hAnsi="Arial" w:cs="Arial"/>
                <w:sz w:val="20"/>
                <w:szCs w:val="20"/>
              </w:rPr>
              <w:t xml:space="preserve">rofitability </w:t>
            </w:r>
            <w:r w:rsidR="002F0AD1">
              <w:rPr>
                <w:rFonts w:ascii="Arial" w:hAnsi="Arial" w:cs="Arial"/>
                <w:sz w:val="20"/>
                <w:szCs w:val="20"/>
              </w:rPr>
              <w:t>Review</w:t>
            </w:r>
            <w:r w:rsidRPr="002D30A4">
              <w:rPr>
                <w:rFonts w:ascii="Arial" w:hAnsi="Arial" w:cs="Arial"/>
                <w:sz w:val="20"/>
                <w:szCs w:val="20"/>
              </w:rPr>
              <w:t>, when necessary, the on-level and trend analysis can be referenced using outside studies (for example rate change and law adjustmen</w:t>
            </w:r>
            <w:r w:rsidR="002F0AD1">
              <w:rPr>
                <w:rFonts w:ascii="Arial" w:hAnsi="Arial" w:cs="Arial"/>
                <w:sz w:val="20"/>
                <w:szCs w:val="20"/>
              </w:rPr>
              <w:t>t changes from NCCI). T</w:t>
            </w:r>
            <w:r w:rsidRPr="002D30A4">
              <w:rPr>
                <w:rFonts w:ascii="Arial" w:hAnsi="Arial" w:cs="Arial"/>
                <w:sz w:val="20"/>
                <w:szCs w:val="20"/>
              </w:rPr>
              <w:t xml:space="preserve">here </w:t>
            </w:r>
            <w:r w:rsidR="002F0AD1">
              <w:rPr>
                <w:rFonts w:ascii="Arial" w:hAnsi="Arial" w:cs="Arial"/>
                <w:sz w:val="20"/>
                <w:szCs w:val="20"/>
              </w:rPr>
              <w:t xml:space="preserve">must also </w:t>
            </w:r>
            <w:r w:rsidRPr="002D30A4">
              <w:rPr>
                <w:rFonts w:ascii="Arial" w:hAnsi="Arial" w:cs="Arial"/>
                <w:sz w:val="20"/>
                <w:szCs w:val="20"/>
              </w:rPr>
              <w:t xml:space="preserve">be a method </w:t>
            </w:r>
            <w:r w:rsidR="002F0AD1">
              <w:rPr>
                <w:rFonts w:ascii="Arial" w:hAnsi="Arial" w:cs="Arial"/>
                <w:sz w:val="20"/>
                <w:szCs w:val="20"/>
              </w:rPr>
              <w:t>to allocate capital to the portfolio i</w:t>
            </w:r>
            <w:r w:rsidRPr="002D30A4">
              <w:rPr>
                <w:rFonts w:ascii="Arial" w:hAnsi="Arial" w:cs="Arial"/>
                <w:sz w:val="20"/>
                <w:szCs w:val="20"/>
              </w:rPr>
              <w:t>n order to calculate a proper breakeven loss ratio.</w:t>
            </w:r>
          </w:p>
          <w:p w14:paraId="7F00EC91" w14:textId="77777777" w:rsidR="001B47F3" w:rsidRPr="002D30A4" w:rsidRDefault="001B47F3" w:rsidP="002D30A4">
            <w:pPr>
              <w:ind w:left="360"/>
              <w:rPr>
                <w:rFonts w:ascii="Arial" w:hAnsi="Arial" w:cs="Arial"/>
                <w:sz w:val="20"/>
                <w:szCs w:val="20"/>
              </w:rPr>
            </w:pPr>
          </w:p>
          <w:p w14:paraId="7F00EC92" w14:textId="77777777" w:rsidR="005B0DFF" w:rsidRDefault="002F0AD1" w:rsidP="005B0DFF">
            <w:pPr>
              <w:numPr>
                <w:ilvl w:val="0"/>
                <w:numId w:val="17"/>
              </w:numPr>
              <w:rPr>
                <w:rFonts w:ascii="Arial" w:hAnsi="Arial" w:cs="Arial"/>
                <w:sz w:val="20"/>
                <w:szCs w:val="20"/>
              </w:rPr>
            </w:pPr>
            <w:r>
              <w:rPr>
                <w:rFonts w:ascii="Arial" w:hAnsi="Arial" w:cs="Arial"/>
                <w:sz w:val="20"/>
                <w:szCs w:val="20"/>
              </w:rPr>
              <w:t>All Profitability Reviews must undergo</w:t>
            </w:r>
            <w:r w:rsidR="001B47F3" w:rsidRPr="002D30A4">
              <w:rPr>
                <w:rFonts w:ascii="Arial" w:hAnsi="Arial" w:cs="Arial"/>
                <w:sz w:val="20"/>
                <w:szCs w:val="20"/>
              </w:rPr>
              <w:t xml:space="preserve"> a </w:t>
            </w:r>
            <w:r w:rsidR="00D77B91" w:rsidRPr="002D30A4">
              <w:rPr>
                <w:rFonts w:ascii="Arial" w:hAnsi="Arial" w:cs="Arial"/>
                <w:sz w:val="20"/>
                <w:szCs w:val="20"/>
              </w:rPr>
              <w:t>p</w:t>
            </w:r>
            <w:r w:rsidR="001B47F3" w:rsidRPr="002D30A4">
              <w:rPr>
                <w:rFonts w:ascii="Arial" w:hAnsi="Arial" w:cs="Arial"/>
                <w:sz w:val="20"/>
                <w:szCs w:val="20"/>
              </w:rPr>
              <w:t xml:space="preserve">eer </w:t>
            </w:r>
            <w:r w:rsidR="00D77B91" w:rsidRPr="002D30A4">
              <w:rPr>
                <w:rFonts w:ascii="Arial" w:hAnsi="Arial" w:cs="Arial"/>
                <w:sz w:val="20"/>
                <w:szCs w:val="20"/>
              </w:rPr>
              <w:t>r</w:t>
            </w:r>
            <w:r>
              <w:rPr>
                <w:rFonts w:ascii="Arial" w:hAnsi="Arial" w:cs="Arial"/>
                <w:sz w:val="20"/>
                <w:szCs w:val="20"/>
              </w:rPr>
              <w:t xml:space="preserve">eview process </w:t>
            </w:r>
            <w:r w:rsidR="001B47F3" w:rsidRPr="002D30A4">
              <w:rPr>
                <w:rFonts w:ascii="Arial" w:hAnsi="Arial" w:cs="Arial"/>
                <w:sz w:val="20"/>
                <w:szCs w:val="20"/>
              </w:rPr>
              <w:t>to review the methodology and conclusions.</w:t>
            </w:r>
            <w:r w:rsidR="00AD36C3">
              <w:rPr>
                <w:rFonts w:ascii="Arial" w:hAnsi="Arial" w:cs="Arial"/>
                <w:sz w:val="20"/>
                <w:szCs w:val="20"/>
              </w:rPr>
              <w:t xml:space="preserve"> Peer reviews must be documented.</w:t>
            </w:r>
            <w:r w:rsidR="001B47F3" w:rsidRPr="002D30A4">
              <w:rPr>
                <w:rFonts w:ascii="Arial" w:hAnsi="Arial" w:cs="Arial"/>
                <w:sz w:val="20"/>
                <w:szCs w:val="20"/>
              </w:rPr>
              <w:t xml:space="preserve"> </w:t>
            </w:r>
          </w:p>
          <w:p w14:paraId="7F00EC93" w14:textId="77777777" w:rsidR="005B0DFF" w:rsidRDefault="005B0DFF" w:rsidP="005B0DFF">
            <w:pPr>
              <w:pStyle w:val="ListParagraph"/>
              <w:rPr>
                <w:rFonts w:ascii="Arial" w:hAnsi="Arial" w:cs="Arial"/>
                <w:sz w:val="20"/>
                <w:szCs w:val="20"/>
              </w:rPr>
            </w:pPr>
          </w:p>
          <w:p w14:paraId="7F00EC94" w14:textId="77777777" w:rsidR="0042725D" w:rsidRDefault="00254022" w:rsidP="00FB1D26">
            <w:pPr>
              <w:numPr>
                <w:ilvl w:val="0"/>
                <w:numId w:val="17"/>
              </w:numPr>
              <w:rPr>
                <w:rFonts w:ascii="Arial" w:hAnsi="Arial" w:cs="Arial"/>
                <w:sz w:val="20"/>
                <w:szCs w:val="20"/>
              </w:rPr>
            </w:pPr>
            <w:r>
              <w:rPr>
                <w:rFonts w:ascii="Arial" w:hAnsi="Arial" w:cs="Arial"/>
                <w:sz w:val="20"/>
                <w:szCs w:val="20"/>
              </w:rPr>
              <w:t xml:space="preserve">Before a Profitability Review may be finalized, the </w:t>
            </w:r>
            <w:r w:rsidR="00913D14" w:rsidRPr="005B0DFF">
              <w:rPr>
                <w:rFonts w:ascii="Arial" w:hAnsi="Arial" w:cs="Arial"/>
                <w:sz w:val="20"/>
                <w:szCs w:val="20"/>
              </w:rPr>
              <w:t>d</w:t>
            </w:r>
            <w:r w:rsidR="001B47F3" w:rsidRPr="005B0DFF">
              <w:rPr>
                <w:rFonts w:ascii="Arial" w:hAnsi="Arial" w:cs="Arial"/>
                <w:sz w:val="20"/>
                <w:szCs w:val="20"/>
              </w:rPr>
              <w:t xml:space="preserve">raft </w:t>
            </w:r>
            <w:r w:rsidR="00D77B91" w:rsidRPr="005B0DFF">
              <w:rPr>
                <w:rFonts w:ascii="Arial" w:hAnsi="Arial" w:cs="Arial"/>
                <w:sz w:val="20"/>
                <w:szCs w:val="20"/>
              </w:rPr>
              <w:t>r</w:t>
            </w:r>
            <w:r w:rsidR="001B47F3" w:rsidRPr="005B0DFF">
              <w:rPr>
                <w:rFonts w:ascii="Arial" w:hAnsi="Arial" w:cs="Arial"/>
                <w:sz w:val="20"/>
                <w:szCs w:val="20"/>
              </w:rPr>
              <w:t xml:space="preserve">eport </w:t>
            </w:r>
            <w:r w:rsidR="002F0AD1">
              <w:rPr>
                <w:rFonts w:ascii="Arial" w:hAnsi="Arial" w:cs="Arial"/>
                <w:sz w:val="20"/>
                <w:szCs w:val="20"/>
              </w:rPr>
              <w:t>must</w:t>
            </w:r>
            <w:r w:rsidR="00913D14" w:rsidRPr="005B0DFF">
              <w:rPr>
                <w:rFonts w:ascii="Arial" w:hAnsi="Arial" w:cs="Arial"/>
                <w:sz w:val="20"/>
                <w:szCs w:val="20"/>
              </w:rPr>
              <w:t xml:space="preserve"> be circulated and </w:t>
            </w:r>
            <w:r w:rsidR="001B47F3" w:rsidRPr="005B0DFF">
              <w:rPr>
                <w:rFonts w:ascii="Arial" w:hAnsi="Arial" w:cs="Arial"/>
                <w:sz w:val="20"/>
                <w:szCs w:val="20"/>
              </w:rPr>
              <w:t>discuss</w:t>
            </w:r>
            <w:r w:rsidR="00913D14" w:rsidRPr="005B0DFF">
              <w:rPr>
                <w:rFonts w:ascii="Arial" w:hAnsi="Arial" w:cs="Arial"/>
                <w:sz w:val="20"/>
                <w:szCs w:val="20"/>
              </w:rPr>
              <w:t>ed</w:t>
            </w:r>
            <w:r w:rsidR="002F0AD1">
              <w:rPr>
                <w:rFonts w:ascii="Arial" w:hAnsi="Arial" w:cs="Arial"/>
                <w:sz w:val="20"/>
                <w:szCs w:val="20"/>
              </w:rPr>
              <w:t xml:space="preserve"> with the pertinent parties (</w:t>
            </w:r>
            <w:r w:rsidR="002F0AD1" w:rsidRPr="005B0DFF">
              <w:rPr>
                <w:rFonts w:ascii="Arial" w:hAnsi="Arial" w:cs="Arial"/>
                <w:sz w:val="20"/>
                <w:szCs w:val="20"/>
              </w:rPr>
              <w:t xml:space="preserve">i.e. </w:t>
            </w:r>
            <w:r w:rsidR="002F0AD1">
              <w:rPr>
                <w:rFonts w:ascii="Arial" w:hAnsi="Arial" w:cs="Arial"/>
                <w:sz w:val="20"/>
                <w:szCs w:val="20"/>
              </w:rPr>
              <w:t>b</w:t>
            </w:r>
            <w:r w:rsidR="002F0AD1" w:rsidRPr="005B0DFF">
              <w:rPr>
                <w:rFonts w:ascii="Arial" w:hAnsi="Arial" w:cs="Arial"/>
                <w:sz w:val="20"/>
                <w:szCs w:val="20"/>
              </w:rPr>
              <w:t xml:space="preserve">usiness </w:t>
            </w:r>
            <w:r w:rsidR="002F0AD1">
              <w:rPr>
                <w:rFonts w:ascii="Arial" w:hAnsi="Arial" w:cs="Arial"/>
                <w:sz w:val="20"/>
                <w:szCs w:val="20"/>
              </w:rPr>
              <w:t>l</w:t>
            </w:r>
            <w:r w:rsidR="002F0AD1" w:rsidRPr="005B0DFF">
              <w:rPr>
                <w:rFonts w:ascii="Arial" w:hAnsi="Arial" w:cs="Arial"/>
                <w:sz w:val="20"/>
                <w:szCs w:val="20"/>
              </w:rPr>
              <w:t xml:space="preserve">eaders, </w:t>
            </w:r>
            <w:r w:rsidR="002F0AD1">
              <w:rPr>
                <w:rFonts w:ascii="Arial" w:hAnsi="Arial" w:cs="Arial"/>
                <w:sz w:val="20"/>
                <w:szCs w:val="20"/>
              </w:rPr>
              <w:t>c</w:t>
            </w:r>
            <w:r w:rsidR="002F0AD1" w:rsidRPr="005B0DFF">
              <w:rPr>
                <w:rFonts w:ascii="Arial" w:hAnsi="Arial" w:cs="Arial"/>
                <w:sz w:val="20"/>
                <w:szCs w:val="20"/>
              </w:rPr>
              <w:t xml:space="preserve">laims, </w:t>
            </w:r>
            <w:r w:rsidR="002F0AD1">
              <w:rPr>
                <w:rFonts w:ascii="Arial" w:hAnsi="Arial" w:cs="Arial"/>
                <w:sz w:val="20"/>
                <w:szCs w:val="20"/>
              </w:rPr>
              <w:t>f</w:t>
            </w:r>
            <w:r w:rsidR="002F0AD1" w:rsidRPr="005B0DFF">
              <w:rPr>
                <w:rFonts w:ascii="Arial" w:hAnsi="Arial" w:cs="Arial"/>
                <w:sz w:val="20"/>
                <w:szCs w:val="20"/>
              </w:rPr>
              <w:t xml:space="preserve">inance </w:t>
            </w:r>
            <w:r w:rsidR="002F0AD1">
              <w:rPr>
                <w:rFonts w:ascii="Arial" w:hAnsi="Arial" w:cs="Arial"/>
                <w:sz w:val="20"/>
                <w:szCs w:val="20"/>
              </w:rPr>
              <w:t>a</w:t>
            </w:r>
            <w:r w:rsidR="002F0AD1" w:rsidRPr="005B0DFF">
              <w:rPr>
                <w:rFonts w:ascii="Arial" w:hAnsi="Arial" w:cs="Arial"/>
                <w:sz w:val="20"/>
                <w:szCs w:val="20"/>
              </w:rPr>
              <w:t xml:space="preserve">ctuaries, </w:t>
            </w:r>
            <w:r w:rsidR="002F0AD1">
              <w:rPr>
                <w:rFonts w:ascii="Arial" w:hAnsi="Arial" w:cs="Arial"/>
                <w:sz w:val="20"/>
                <w:szCs w:val="20"/>
              </w:rPr>
              <w:t>s</w:t>
            </w:r>
            <w:r w:rsidR="002F0AD1" w:rsidRPr="005B0DFF">
              <w:rPr>
                <w:rFonts w:ascii="Arial" w:hAnsi="Arial" w:cs="Arial"/>
                <w:sz w:val="20"/>
                <w:szCs w:val="20"/>
              </w:rPr>
              <w:t>cience,</w:t>
            </w:r>
            <w:r w:rsidR="002F0AD1">
              <w:rPr>
                <w:rFonts w:ascii="Arial" w:hAnsi="Arial" w:cs="Arial"/>
                <w:sz w:val="20"/>
                <w:szCs w:val="20"/>
              </w:rPr>
              <w:t xml:space="preserve"> operations and systems</w:t>
            </w:r>
            <w:r w:rsidR="002F0AD1" w:rsidRPr="005B0DFF">
              <w:rPr>
                <w:rFonts w:ascii="Arial" w:hAnsi="Arial" w:cs="Arial"/>
                <w:sz w:val="20"/>
                <w:szCs w:val="20"/>
              </w:rPr>
              <w:t>)</w:t>
            </w:r>
            <w:r w:rsidR="001B47F3" w:rsidRPr="005B0DFF">
              <w:rPr>
                <w:rFonts w:ascii="Arial" w:hAnsi="Arial" w:cs="Arial"/>
                <w:sz w:val="20"/>
                <w:szCs w:val="20"/>
              </w:rPr>
              <w:t xml:space="preserve"> to discuss </w:t>
            </w:r>
            <w:r w:rsidR="002F0AD1">
              <w:rPr>
                <w:rFonts w:ascii="Arial" w:hAnsi="Arial" w:cs="Arial"/>
                <w:sz w:val="20"/>
                <w:szCs w:val="20"/>
              </w:rPr>
              <w:t xml:space="preserve">the analysis and findings and </w:t>
            </w:r>
            <w:r w:rsidR="001B47F3" w:rsidRPr="005B0DFF">
              <w:rPr>
                <w:rFonts w:ascii="Arial" w:hAnsi="Arial" w:cs="Arial"/>
                <w:sz w:val="20"/>
                <w:szCs w:val="20"/>
              </w:rPr>
              <w:t>jointly determine actuarial and business action plans</w:t>
            </w:r>
            <w:r w:rsidR="002F0AD1">
              <w:rPr>
                <w:rFonts w:ascii="Arial" w:hAnsi="Arial" w:cs="Arial"/>
                <w:sz w:val="20"/>
                <w:szCs w:val="20"/>
              </w:rPr>
              <w:t>.</w:t>
            </w:r>
            <w:r w:rsidR="009075B3" w:rsidRPr="005B0DFF" w:rsidDel="009075B3">
              <w:rPr>
                <w:rFonts w:ascii="Arial" w:hAnsi="Arial" w:cs="Arial"/>
                <w:sz w:val="20"/>
                <w:szCs w:val="20"/>
              </w:rPr>
              <w:t xml:space="preserve"> </w:t>
            </w:r>
          </w:p>
          <w:p w14:paraId="7F00EC95" w14:textId="77777777" w:rsidR="0042725D" w:rsidRDefault="0042725D" w:rsidP="0042725D">
            <w:pPr>
              <w:pStyle w:val="ListParagraph"/>
              <w:rPr>
                <w:rFonts w:ascii="Arial" w:hAnsi="Arial" w:cs="Arial"/>
                <w:sz w:val="20"/>
                <w:szCs w:val="20"/>
              </w:rPr>
            </w:pPr>
          </w:p>
          <w:p w14:paraId="7F00EC96" w14:textId="77777777" w:rsidR="009549C8" w:rsidRPr="005B0DFF" w:rsidRDefault="00254022" w:rsidP="007B2172">
            <w:pPr>
              <w:numPr>
                <w:ilvl w:val="0"/>
                <w:numId w:val="17"/>
              </w:numPr>
              <w:rPr>
                <w:rFonts w:ascii="Arial" w:hAnsi="Arial" w:cs="Arial"/>
                <w:sz w:val="20"/>
                <w:szCs w:val="20"/>
              </w:rPr>
            </w:pPr>
            <w:r>
              <w:rPr>
                <w:rFonts w:ascii="Arial" w:hAnsi="Arial" w:cs="Arial"/>
                <w:sz w:val="20"/>
                <w:szCs w:val="20"/>
              </w:rPr>
              <w:t xml:space="preserve">The </w:t>
            </w:r>
            <w:r w:rsidR="00913D14" w:rsidRPr="005B0DFF">
              <w:rPr>
                <w:rFonts w:ascii="Arial" w:hAnsi="Arial" w:cs="Arial"/>
                <w:sz w:val="20"/>
                <w:szCs w:val="20"/>
              </w:rPr>
              <w:t>f</w:t>
            </w:r>
            <w:r w:rsidR="001B47F3" w:rsidRPr="005B0DFF">
              <w:rPr>
                <w:rFonts w:ascii="Arial" w:hAnsi="Arial" w:cs="Arial"/>
                <w:sz w:val="20"/>
                <w:szCs w:val="20"/>
              </w:rPr>
              <w:t xml:space="preserve">inal </w:t>
            </w:r>
            <w:r w:rsidR="001605E7">
              <w:rPr>
                <w:rFonts w:ascii="Arial" w:hAnsi="Arial" w:cs="Arial"/>
                <w:sz w:val="20"/>
                <w:szCs w:val="20"/>
              </w:rPr>
              <w:t xml:space="preserve">Profitability Review </w:t>
            </w:r>
            <w:r w:rsidR="00913D14" w:rsidRPr="005B0DFF">
              <w:rPr>
                <w:rFonts w:ascii="Arial" w:hAnsi="Arial" w:cs="Arial"/>
                <w:sz w:val="20"/>
                <w:szCs w:val="20"/>
              </w:rPr>
              <w:t>r</w:t>
            </w:r>
            <w:r w:rsidR="001B47F3" w:rsidRPr="005B0DFF">
              <w:rPr>
                <w:rFonts w:ascii="Arial" w:hAnsi="Arial" w:cs="Arial"/>
                <w:sz w:val="20"/>
                <w:szCs w:val="20"/>
              </w:rPr>
              <w:t>eport</w:t>
            </w:r>
            <w:r w:rsidR="0042725D">
              <w:rPr>
                <w:rFonts w:ascii="Arial" w:hAnsi="Arial" w:cs="Arial"/>
                <w:sz w:val="20"/>
                <w:szCs w:val="20"/>
              </w:rPr>
              <w:t xml:space="preserve"> must be p</w:t>
            </w:r>
            <w:r w:rsidR="001605E7">
              <w:rPr>
                <w:rFonts w:ascii="Arial" w:hAnsi="Arial" w:cs="Arial"/>
                <w:sz w:val="20"/>
                <w:szCs w:val="20"/>
              </w:rPr>
              <w:t>rovided to the Global Head of Commercial Pricing</w:t>
            </w:r>
            <w:r w:rsidR="001B47F3" w:rsidRPr="005B0DFF">
              <w:rPr>
                <w:rFonts w:ascii="Arial" w:hAnsi="Arial" w:cs="Arial"/>
                <w:sz w:val="20"/>
                <w:szCs w:val="20"/>
              </w:rPr>
              <w:t>.</w:t>
            </w:r>
            <w:r w:rsidR="00FB1D26">
              <w:rPr>
                <w:rFonts w:ascii="Arial" w:hAnsi="Arial" w:cs="Arial"/>
                <w:sz w:val="20"/>
                <w:szCs w:val="20"/>
              </w:rPr>
              <w:t xml:space="preserve"> </w:t>
            </w:r>
            <w:r w:rsidR="002856D2" w:rsidRPr="005B0DFF">
              <w:rPr>
                <w:rFonts w:ascii="Arial" w:hAnsi="Arial" w:cs="Arial"/>
                <w:sz w:val="20"/>
                <w:szCs w:val="20"/>
              </w:rPr>
              <w:t xml:space="preserve">The </w:t>
            </w:r>
            <w:r w:rsidR="001605E7">
              <w:rPr>
                <w:rFonts w:ascii="Arial" w:hAnsi="Arial" w:cs="Arial"/>
                <w:sz w:val="20"/>
                <w:szCs w:val="20"/>
              </w:rPr>
              <w:t>Review</w:t>
            </w:r>
            <w:r w:rsidR="002856D2" w:rsidRPr="005B0DFF">
              <w:rPr>
                <w:rFonts w:ascii="Arial" w:hAnsi="Arial" w:cs="Arial"/>
                <w:sz w:val="20"/>
                <w:szCs w:val="20"/>
              </w:rPr>
              <w:t xml:space="preserve"> </w:t>
            </w:r>
            <w:r w:rsidR="001605E7">
              <w:rPr>
                <w:rFonts w:ascii="Arial" w:hAnsi="Arial" w:cs="Arial"/>
                <w:sz w:val="20"/>
                <w:szCs w:val="20"/>
              </w:rPr>
              <w:t>must</w:t>
            </w:r>
            <w:r w:rsidR="002856D2" w:rsidRPr="005B0DFF">
              <w:rPr>
                <w:rFonts w:ascii="Arial" w:hAnsi="Arial" w:cs="Arial"/>
                <w:sz w:val="20"/>
                <w:szCs w:val="20"/>
              </w:rPr>
              <w:t xml:space="preserve"> meet the standards set out in the AAA ASOP 41 which includes, but is not limited to, “</w:t>
            </w:r>
            <w:r w:rsidR="002856D2" w:rsidRPr="005B0DFF">
              <w:rPr>
                <w:rFonts w:ascii="Arial" w:hAnsi="Arial" w:cs="Arial"/>
                <w:sz w:val="20"/>
                <w:szCs w:val="20"/>
                <w:lang w:eastAsia="en-US"/>
              </w:rPr>
              <w:t>In the actuarial report, the actuary should state the actuarial findings, and identify the methods, procedures, assumptions, and data used by the actuary with sufficient clarity that another actuary qualified in the same practice area could make an objective appraisal of the reasonableness of the actuary’s work as presented in the actuarial report.”</w:t>
            </w:r>
            <w:r w:rsidR="00913D14" w:rsidRPr="005B0DFF">
              <w:rPr>
                <w:rFonts w:ascii="Arial" w:hAnsi="Arial" w:cs="Arial"/>
                <w:sz w:val="20"/>
                <w:szCs w:val="20"/>
                <w:lang w:eastAsia="en-US"/>
              </w:rPr>
              <w:t xml:space="preserve"> The final report shall follow the format outlined in the </w:t>
            </w:r>
            <w:r w:rsidR="005B0DFF" w:rsidRPr="005B0DFF">
              <w:rPr>
                <w:rFonts w:ascii="Arial" w:hAnsi="Arial" w:cs="Arial"/>
                <w:sz w:val="20"/>
                <w:szCs w:val="20"/>
                <w:lang w:eastAsia="en-US"/>
              </w:rPr>
              <w:t>“</w:t>
            </w:r>
            <w:r w:rsidR="00FB1D26">
              <w:rPr>
                <w:rFonts w:ascii="Arial" w:hAnsi="Arial" w:cs="Arial"/>
                <w:sz w:val="20"/>
                <w:szCs w:val="20"/>
              </w:rPr>
              <w:t>Profitability Review Reporting Procedures</w:t>
            </w:r>
            <w:r w:rsidR="005B0DFF" w:rsidRPr="005B0DFF">
              <w:rPr>
                <w:rFonts w:ascii="Arial" w:hAnsi="Arial" w:cs="Arial"/>
                <w:sz w:val="20"/>
                <w:szCs w:val="20"/>
                <w:lang w:eastAsia="en-US"/>
              </w:rPr>
              <w:t>”</w:t>
            </w:r>
            <w:r w:rsidR="00913D14" w:rsidRPr="005B0DFF">
              <w:rPr>
                <w:rFonts w:ascii="Arial" w:hAnsi="Arial" w:cs="Arial"/>
                <w:sz w:val="20"/>
                <w:szCs w:val="20"/>
                <w:lang w:eastAsia="en-US"/>
              </w:rPr>
              <w:t>.</w:t>
            </w:r>
            <w:r w:rsidR="001605E7">
              <w:rPr>
                <w:rFonts w:ascii="Arial" w:hAnsi="Arial" w:cs="Arial"/>
                <w:sz w:val="20"/>
                <w:szCs w:val="20"/>
                <w:lang w:eastAsia="en-US"/>
              </w:rPr>
              <w:t xml:space="preserve"> The AAA ASOP can be found on the website of the </w:t>
            </w:r>
            <w:r w:rsidR="002A0362">
              <w:rPr>
                <w:rFonts w:ascii="Arial" w:hAnsi="Arial" w:cs="Arial"/>
                <w:sz w:val="20"/>
                <w:szCs w:val="20"/>
                <w:lang w:eastAsia="en-US"/>
              </w:rPr>
              <w:t>Actuarial Standards Board.</w:t>
            </w:r>
            <w:r w:rsidR="007B2172">
              <w:rPr>
                <w:rFonts w:ascii="Arial" w:hAnsi="Arial" w:cs="Arial"/>
                <w:sz w:val="20"/>
                <w:szCs w:val="20"/>
                <w:lang w:eastAsia="en-US"/>
              </w:rPr>
              <w:t xml:space="preserve"> </w:t>
            </w:r>
            <w:r w:rsidR="007B2172">
              <w:t>(</w:t>
            </w:r>
            <w:r w:rsidR="007B2172" w:rsidRPr="007B2172">
              <w:rPr>
                <w:rFonts w:ascii="Arial" w:hAnsi="Arial" w:cs="Arial"/>
                <w:sz w:val="20"/>
                <w:szCs w:val="20"/>
                <w:lang w:eastAsia="en-US"/>
              </w:rPr>
              <w:t>http://www.actuarialstandardsboard.org/asops.asp</w:t>
            </w:r>
            <w:r w:rsidR="007B2172">
              <w:rPr>
                <w:rFonts w:ascii="Arial" w:hAnsi="Arial" w:cs="Arial"/>
                <w:sz w:val="20"/>
                <w:szCs w:val="20"/>
                <w:lang w:eastAsia="en-US"/>
              </w:rPr>
              <w:t>)</w:t>
            </w:r>
          </w:p>
        </w:tc>
      </w:tr>
      <w:tr w:rsidR="00FB1D26" w:rsidRPr="002D30A4" w14:paraId="7F00EC9C" w14:textId="77777777" w:rsidTr="002D30A4">
        <w:trPr>
          <w:trHeight w:val="387"/>
        </w:trPr>
        <w:tc>
          <w:tcPr>
            <w:tcW w:w="1800" w:type="dxa"/>
          </w:tcPr>
          <w:p w14:paraId="7F00EC98" w14:textId="77777777" w:rsidR="00FB1D26" w:rsidRPr="00C01C4E" w:rsidRDefault="00FB1D26" w:rsidP="00BB35D4">
            <w:pPr>
              <w:rPr>
                <w:rFonts w:ascii="Arial" w:hAnsi="Arial" w:cs="Arial"/>
                <w:i/>
                <w:color w:val="00B0F0"/>
                <w:sz w:val="20"/>
                <w:szCs w:val="20"/>
              </w:rPr>
            </w:pPr>
            <w:r w:rsidRPr="00C01C4E">
              <w:rPr>
                <w:rFonts w:ascii="Arial" w:hAnsi="Arial" w:cs="Arial"/>
                <w:i/>
                <w:color w:val="00B0F0"/>
                <w:sz w:val="20"/>
                <w:szCs w:val="20"/>
              </w:rPr>
              <w:lastRenderedPageBreak/>
              <w:t>Deviations</w:t>
            </w:r>
          </w:p>
        </w:tc>
        <w:tc>
          <w:tcPr>
            <w:tcW w:w="8820" w:type="dxa"/>
            <w:gridSpan w:val="2"/>
          </w:tcPr>
          <w:p w14:paraId="7F00EC99" w14:textId="77777777" w:rsidR="00FB1D26" w:rsidRPr="002D30A4" w:rsidRDefault="00FB1D26" w:rsidP="00BB35D4">
            <w:pPr>
              <w:rPr>
                <w:rFonts w:ascii="Arial" w:hAnsi="Arial" w:cs="Arial"/>
                <w:sz w:val="20"/>
                <w:szCs w:val="20"/>
              </w:rPr>
            </w:pPr>
          </w:p>
          <w:p w14:paraId="7F00EC9A" w14:textId="77777777" w:rsidR="00FB1D26" w:rsidRDefault="00FB1D26" w:rsidP="00254022">
            <w:pPr>
              <w:ind w:left="720"/>
              <w:rPr>
                <w:rFonts w:ascii="Arial" w:hAnsi="Arial" w:cs="Arial"/>
                <w:sz w:val="20"/>
                <w:szCs w:val="20"/>
              </w:rPr>
            </w:pPr>
            <w:r>
              <w:rPr>
                <w:rFonts w:ascii="Arial" w:hAnsi="Arial" w:cs="Arial"/>
                <w:sz w:val="20"/>
                <w:szCs w:val="20"/>
              </w:rPr>
              <w:t xml:space="preserve">Any material deviation from this </w:t>
            </w:r>
            <w:r w:rsidR="00254022">
              <w:rPr>
                <w:rFonts w:ascii="Arial" w:hAnsi="Arial" w:cs="Arial"/>
                <w:sz w:val="20"/>
                <w:szCs w:val="20"/>
              </w:rPr>
              <w:t>S</w:t>
            </w:r>
            <w:r>
              <w:rPr>
                <w:rFonts w:ascii="Arial" w:hAnsi="Arial" w:cs="Arial"/>
                <w:sz w:val="20"/>
                <w:szCs w:val="20"/>
              </w:rPr>
              <w:t>tandard must be approved by the Global Head of Commercial Pricing</w:t>
            </w:r>
            <w:r w:rsidR="00281284">
              <w:rPr>
                <w:rFonts w:ascii="Arial" w:hAnsi="Arial" w:cs="Arial"/>
                <w:sz w:val="20"/>
                <w:szCs w:val="20"/>
              </w:rPr>
              <w:t>.</w:t>
            </w:r>
          </w:p>
          <w:p w14:paraId="7F00EC9B" w14:textId="77777777" w:rsidR="00281284" w:rsidRPr="005B0DFF" w:rsidRDefault="00281284" w:rsidP="00254022">
            <w:pPr>
              <w:ind w:left="720"/>
              <w:rPr>
                <w:rFonts w:ascii="Arial" w:hAnsi="Arial" w:cs="Arial"/>
                <w:sz w:val="20"/>
                <w:szCs w:val="20"/>
              </w:rPr>
            </w:pPr>
          </w:p>
        </w:tc>
      </w:tr>
      <w:tr w:rsidR="00281284" w:rsidRPr="002D30A4" w14:paraId="7F00ECA0" w14:textId="77777777" w:rsidTr="002D30A4">
        <w:trPr>
          <w:trHeight w:val="387"/>
        </w:trPr>
        <w:tc>
          <w:tcPr>
            <w:tcW w:w="1800" w:type="dxa"/>
          </w:tcPr>
          <w:p w14:paraId="7F00EC9D" w14:textId="77777777" w:rsidR="00281284" w:rsidRPr="00EF7B2D" w:rsidRDefault="00281284" w:rsidP="00B5006C">
            <w:pPr>
              <w:rPr>
                <w:rFonts w:ascii="Arial" w:hAnsi="Arial" w:cs="Arial"/>
                <w:b/>
                <w:bCs/>
                <w:sz w:val="20"/>
                <w:szCs w:val="20"/>
              </w:rPr>
            </w:pPr>
            <w:r>
              <w:rPr>
                <w:rFonts w:ascii="Arial" w:eastAsia="Helvetica Neue" w:hAnsi="Arial" w:cs="Arial"/>
                <w:b/>
                <w:bCs/>
                <w:iCs/>
                <w:sz w:val="20"/>
                <w:szCs w:val="20"/>
              </w:rPr>
              <w:t>Implementation</w:t>
            </w:r>
          </w:p>
        </w:tc>
        <w:tc>
          <w:tcPr>
            <w:tcW w:w="8820" w:type="dxa"/>
            <w:gridSpan w:val="2"/>
          </w:tcPr>
          <w:p w14:paraId="7F00EC9E" w14:textId="77777777" w:rsidR="00281284" w:rsidRDefault="00281284" w:rsidP="00BB0412">
            <w:pPr>
              <w:ind w:left="360"/>
              <w:jc w:val="both"/>
              <w:rPr>
                <w:rFonts w:ascii="Arial" w:hAnsi="Arial" w:cs="Arial"/>
                <w:sz w:val="20"/>
                <w:szCs w:val="20"/>
              </w:rPr>
            </w:pPr>
            <w:r w:rsidRPr="001119B4">
              <w:rPr>
                <w:rFonts w:ascii="Arial" w:hAnsi="Arial" w:cs="Arial"/>
                <w:sz w:val="20"/>
                <w:szCs w:val="20"/>
              </w:rPr>
              <w:t>Product Towers and Regions are required to develop a plan for implementing this Global Underwriting Standard.  This plan must be agreed with the Global Commercial CUO and set out the projected implementation timeframes and any exemptions that will be made.</w:t>
            </w:r>
          </w:p>
          <w:p w14:paraId="7F00EC9F" w14:textId="77777777" w:rsidR="00281284" w:rsidRPr="002D30A4" w:rsidRDefault="00281284" w:rsidP="004E1EE4">
            <w:pPr>
              <w:rPr>
                <w:rFonts w:ascii="Arial" w:hAnsi="Arial" w:cs="Arial"/>
                <w:sz w:val="20"/>
                <w:szCs w:val="20"/>
              </w:rPr>
            </w:pPr>
          </w:p>
        </w:tc>
      </w:tr>
      <w:tr w:rsidR="00FB1D26" w:rsidRPr="002D30A4" w14:paraId="7F00ECA3" w14:textId="77777777" w:rsidTr="002D30A4">
        <w:trPr>
          <w:trHeight w:val="387"/>
        </w:trPr>
        <w:tc>
          <w:tcPr>
            <w:tcW w:w="1800" w:type="dxa"/>
          </w:tcPr>
          <w:p w14:paraId="7F00ECA1" w14:textId="77777777" w:rsidR="00FB1D26" w:rsidRPr="002D30A4" w:rsidRDefault="00FB1D26" w:rsidP="00B5006C">
            <w:pPr>
              <w:rPr>
                <w:rFonts w:ascii="Arial" w:hAnsi="Arial" w:cs="Arial"/>
                <w:i/>
                <w:color w:val="0000FF"/>
                <w:sz w:val="20"/>
                <w:szCs w:val="20"/>
              </w:rPr>
            </w:pPr>
            <w:r w:rsidRPr="00EF7B2D">
              <w:rPr>
                <w:rFonts w:ascii="Arial" w:hAnsi="Arial" w:cs="Arial"/>
                <w:b/>
                <w:bCs/>
                <w:sz w:val="20"/>
                <w:szCs w:val="20"/>
              </w:rPr>
              <w:t>Roles  and Responsibilities</w:t>
            </w:r>
          </w:p>
        </w:tc>
        <w:tc>
          <w:tcPr>
            <w:tcW w:w="8820" w:type="dxa"/>
            <w:gridSpan w:val="2"/>
          </w:tcPr>
          <w:p w14:paraId="7F00ECA2" w14:textId="77777777" w:rsidR="00FB1D26" w:rsidRPr="002D30A4" w:rsidRDefault="00FB1D26" w:rsidP="004E1EE4">
            <w:pPr>
              <w:rPr>
                <w:rFonts w:ascii="Arial" w:hAnsi="Arial" w:cs="Arial"/>
                <w:sz w:val="20"/>
                <w:szCs w:val="20"/>
              </w:rPr>
            </w:pPr>
          </w:p>
        </w:tc>
      </w:tr>
      <w:tr w:rsidR="00FB1D26" w:rsidRPr="002D30A4" w14:paraId="7F00ECA8" w14:textId="77777777" w:rsidTr="002D30A4">
        <w:trPr>
          <w:trHeight w:val="387"/>
        </w:trPr>
        <w:tc>
          <w:tcPr>
            <w:tcW w:w="1800" w:type="dxa"/>
          </w:tcPr>
          <w:p w14:paraId="7F00ECA4" w14:textId="77777777" w:rsidR="00FB1D26" w:rsidRPr="002D30A4" w:rsidRDefault="00FB1D26" w:rsidP="002D30A4">
            <w:pPr>
              <w:spacing w:before="60" w:after="60"/>
              <w:rPr>
                <w:rFonts w:ascii="Arial" w:eastAsia="Helvetica Neue" w:hAnsi="Arial" w:cs="Arial"/>
                <w:b/>
                <w:bCs/>
                <w:iCs/>
                <w:sz w:val="20"/>
                <w:szCs w:val="20"/>
              </w:rPr>
            </w:pPr>
            <w:r w:rsidRPr="00EF7B2D">
              <w:rPr>
                <w:rFonts w:ascii="Arial" w:hAnsi="Arial" w:cs="Arial"/>
                <w:bCs/>
                <w:i/>
                <w:iCs/>
                <w:sz w:val="20"/>
                <w:szCs w:val="20"/>
              </w:rPr>
              <w:t xml:space="preserve">Global Commercial </w:t>
            </w:r>
            <w:r>
              <w:rPr>
                <w:rFonts w:ascii="Arial" w:hAnsi="Arial" w:cs="Arial"/>
                <w:bCs/>
                <w:i/>
                <w:iCs/>
                <w:sz w:val="20"/>
                <w:szCs w:val="20"/>
              </w:rPr>
              <w:t xml:space="preserve">Underwriting </w:t>
            </w:r>
            <w:r w:rsidRPr="00EF7B2D">
              <w:rPr>
                <w:rFonts w:ascii="Arial" w:hAnsi="Arial" w:cs="Arial"/>
                <w:bCs/>
                <w:i/>
                <w:iCs/>
                <w:sz w:val="20"/>
                <w:szCs w:val="20"/>
              </w:rPr>
              <w:t>Committee</w:t>
            </w:r>
          </w:p>
        </w:tc>
        <w:tc>
          <w:tcPr>
            <w:tcW w:w="8820" w:type="dxa"/>
            <w:gridSpan w:val="2"/>
          </w:tcPr>
          <w:p w14:paraId="7F00ECA5" w14:textId="77777777" w:rsidR="00FB1D26" w:rsidRPr="00EF7B2D" w:rsidRDefault="00FB1D26" w:rsidP="00715EC6">
            <w:pPr>
              <w:jc w:val="both"/>
              <w:rPr>
                <w:rFonts w:ascii="Arial" w:hAnsi="Arial" w:cs="Arial"/>
                <w:sz w:val="20"/>
                <w:szCs w:val="20"/>
              </w:rPr>
            </w:pPr>
          </w:p>
          <w:p w14:paraId="7F00ECA6" w14:textId="77777777" w:rsidR="00FB1D26" w:rsidRPr="00EF7B2D" w:rsidRDefault="00FB1D26" w:rsidP="00715EC6">
            <w:pPr>
              <w:jc w:val="both"/>
              <w:rPr>
                <w:rFonts w:ascii="Arial" w:hAnsi="Arial" w:cs="Arial"/>
                <w:sz w:val="20"/>
                <w:szCs w:val="20"/>
              </w:rPr>
            </w:pPr>
            <w:r w:rsidRPr="00EF7B2D">
              <w:rPr>
                <w:rFonts w:ascii="Arial" w:hAnsi="Arial" w:cs="Arial"/>
                <w:sz w:val="20"/>
                <w:szCs w:val="20"/>
              </w:rPr>
              <w:t xml:space="preserve">The Global Commercial </w:t>
            </w:r>
            <w:r>
              <w:rPr>
                <w:rFonts w:ascii="Arial" w:hAnsi="Arial" w:cs="Arial"/>
                <w:sz w:val="20"/>
                <w:szCs w:val="20"/>
              </w:rPr>
              <w:t>Underwriting</w:t>
            </w:r>
            <w:r w:rsidRPr="00EF7B2D">
              <w:rPr>
                <w:rFonts w:ascii="Arial" w:hAnsi="Arial" w:cs="Arial"/>
                <w:sz w:val="20"/>
                <w:szCs w:val="20"/>
              </w:rPr>
              <w:t xml:space="preserve"> Committee is responsible for establishing and maintaining global underwriting policies and standards, and is accountable for ensuring that they are consistently and uniformly implemented locally.</w:t>
            </w:r>
          </w:p>
          <w:p w14:paraId="7F00ECA7" w14:textId="77777777" w:rsidR="00FB1D26" w:rsidRPr="002D30A4" w:rsidRDefault="00FB1D26" w:rsidP="002D30A4">
            <w:pPr>
              <w:ind w:left="360"/>
              <w:jc w:val="both"/>
              <w:rPr>
                <w:rFonts w:ascii="Arial" w:hAnsi="Arial" w:cs="Arial"/>
                <w:sz w:val="20"/>
                <w:szCs w:val="20"/>
              </w:rPr>
            </w:pPr>
          </w:p>
        </w:tc>
      </w:tr>
      <w:tr w:rsidR="00FB1D26" w:rsidRPr="002D30A4" w14:paraId="7F00ECAD" w14:textId="77777777" w:rsidTr="002D30A4">
        <w:trPr>
          <w:trHeight w:val="387"/>
        </w:trPr>
        <w:tc>
          <w:tcPr>
            <w:tcW w:w="1800" w:type="dxa"/>
          </w:tcPr>
          <w:p w14:paraId="7F00ECA9" w14:textId="77777777" w:rsidR="00FB1D26" w:rsidRPr="002D30A4" w:rsidRDefault="00FB1D26" w:rsidP="002D30A4">
            <w:pPr>
              <w:spacing w:before="120"/>
              <w:rPr>
                <w:rFonts w:ascii="Arial" w:hAnsi="Arial" w:cs="Arial"/>
                <w:b/>
                <w:bCs/>
                <w:sz w:val="20"/>
                <w:szCs w:val="20"/>
              </w:rPr>
            </w:pPr>
            <w:r w:rsidRPr="00EF7B2D">
              <w:rPr>
                <w:rFonts w:ascii="Arial" w:hAnsi="Arial" w:cs="Arial"/>
                <w:bCs/>
                <w:i/>
                <w:iCs/>
                <w:sz w:val="20"/>
                <w:szCs w:val="20"/>
              </w:rPr>
              <w:t xml:space="preserve">Global Commercial </w:t>
            </w:r>
            <w:r>
              <w:rPr>
                <w:rFonts w:ascii="Arial" w:hAnsi="Arial" w:cs="Arial"/>
                <w:bCs/>
                <w:i/>
                <w:iCs/>
                <w:sz w:val="20"/>
                <w:szCs w:val="20"/>
              </w:rPr>
              <w:t xml:space="preserve">Pricing </w:t>
            </w:r>
            <w:r w:rsidRPr="00EF7B2D">
              <w:rPr>
                <w:rFonts w:ascii="Arial" w:hAnsi="Arial" w:cs="Arial"/>
                <w:bCs/>
                <w:i/>
                <w:iCs/>
                <w:sz w:val="20"/>
                <w:szCs w:val="20"/>
              </w:rPr>
              <w:t>Committee</w:t>
            </w:r>
          </w:p>
        </w:tc>
        <w:tc>
          <w:tcPr>
            <w:tcW w:w="8820" w:type="dxa"/>
            <w:gridSpan w:val="2"/>
          </w:tcPr>
          <w:p w14:paraId="7F00ECAA" w14:textId="77777777" w:rsidR="00FB1D26" w:rsidRPr="00EF7B2D" w:rsidRDefault="00FB1D26" w:rsidP="00715EC6">
            <w:pPr>
              <w:jc w:val="both"/>
              <w:rPr>
                <w:rFonts w:ascii="Arial" w:hAnsi="Arial" w:cs="Arial"/>
                <w:sz w:val="20"/>
                <w:szCs w:val="20"/>
              </w:rPr>
            </w:pPr>
          </w:p>
          <w:p w14:paraId="7F00ECAB" w14:textId="77777777" w:rsidR="00FB1D26" w:rsidRPr="00EF7B2D" w:rsidRDefault="00FB1D26" w:rsidP="00715EC6">
            <w:pPr>
              <w:jc w:val="both"/>
              <w:rPr>
                <w:rFonts w:ascii="Arial" w:hAnsi="Arial" w:cs="Arial"/>
                <w:sz w:val="20"/>
                <w:szCs w:val="20"/>
              </w:rPr>
            </w:pPr>
            <w:r w:rsidRPr="00EF7B2D">
              <w:rPr>
                <w:rFonts w:ascii="Arial" w:hAnsi="Arial" w:cs="Arial"/>
                <w:sz w:val="20"/>
                <w:szCs w:val="20"/>
              </w:rPr>
              <w:t xml:space="preserve">The Global Commercial </w:t>
            </w:r>
            <w:r>
              <w:rPr>
                <w:rFonts w:ascii="Arial" w:hAnsi="Arial" w:cs="Arial"/>
                <w:sz w:val="20"/>
                <w:szCs w:val="20"/>
              </w:rPr>
              <w:t>Pricing</w:t>
            </w:r>
            <w:r w:rsidRPr="00EF7B2D">
              <w:rPr>
                <w:rFonts w:ascii="Arial" w:hAnsi="Arial" w:cs="Arial"/>
                <w:sz w:val="20"/>
                <w:szCs w:val="20"/>
              </w:rPr>
              <w:t xml:space="preserve"> Committee is responsible for estab</w:t>
            </w:r>
            <w:r>
              <w:rPr>
                <w:rFonts w:ascii="Arial" w:hAnsi="Arial" w:cs="Arial"/>
                <w:sz w:val="20"/>
                <w:szCs w:val="20"/>
              </w:rPr>
              <w:t>lishing and maintaining global pricing</w:t>
            </w:r>
            <w:r w:rsidRPr="00EF7B2D">
              <w:rPr>
                <w:rFonts w:ascii="Arial" w:hAnsi="Arial" w:cs="Arial"/>
                <w:sz w:val="20"/>
                <w:szCs w:val="20"/>
              </w:rPr>
              <w:t xml:space="preserve"> policies and standards, and is accountable for ensuring that they are consistently and uniformly implemented locally.</w:t>
            </w:r>
          </w:p>
          <w:p w14:paraId="7F00ECAC" w14:textId="77777777" w:rsidR="00FB1D26" w:rsidRPr="002D30A4" w:rsidRDefault="00FB1D26" w:rsidP="002D30A4">
            <w:pPr>
              <w:spacing w:before="120"/>
              <w:jc w:val="both"/>
              <w:rPr>
                <w:rFonts w:ascii="Arial" w:hAnsi="Arial" w:cs="Arial"/>
                <w:sz w:val="16"/>
                <w:szCs w:val="16"/>
              </w:rPr>
            </w:pPr>
          </w:p>
        </w:tc>
      </w:tr>
      <w:tr w:rsidR="00FB1D26" w:rsidRPr="002D30A4" w14:paraId="7F00ECB0" w14:textId="77777777" w:rsidTr="002D30A4">
        <w:trPr>
          <w:trHeight w:val="387"/>
        </w:trPr>
        <w:tc>
          <w:tcPr>
            <w:tcW w:w="1800" w:type="dxa"/>
          </w:tcPr>
          <w:p w14:paraId="7F00ECAE" w14:textId="77777777" w:rsidR="00FB1D26" w:rsidRPr="002D30A4" w:rsidRDefault="00FB1D26" w:rsidP="002D30A4">
            <w:pPr>
              <w:spacing w:before="120"/>
              <w:rPr>
                <w:rFonts w:ascii="Arial" w:hAnsi="Arial" w:cs="Arial"/>
                <w:b/>
                <w:bCs/>
                <w:sz w:val="20"/>
                <w:szCs w:val="20"/>
              </w:rPr>
            </w:pPr>
            <w:r>
              <w:rPr>
                <w:rFonts w:ascii="Arial" w:eastAsia="Helvetica Neue" w:hAnsi="Arial" w:cs="Arial"/>
                <w:bCs/>
                <w:i/>
                <w:iCs/>
                <w:sz w:val="20"/>
                <w:szCs w:val="20"/>
              </w:rPr>
              <w:t>Heads of Product Towers Pricing</w:t>
            </w:r>
          </w:p>
        </w:tc>
        <w:tc>
          <w:tcPr>
            <w:tcW w:w="8820" w:type="dxa"/>
            <w:gridSpan w:val="2"/>
          </w:tcPr>
          <w:p w14:paraId="7F00ECAF" w14:textId="77777777" w:rsidR="00FB1D26" w:rsidRPr="002D30A4" w:rsidRDefault="00FB1D26" w:rsidP="002D30A4">
            <w:pPr>
              <w:spacing w:before="120"/>
              <w:jc w:val="both"/>
              <w:rPr>
                <w:rFonts w:ascii="Arial" w:hAnsi="Arial" w:cs="Arial"/>
                <w:i/>
                <w:iCs/>
                <w:color w:val="FF0000"/>
                <w:sz w:val="16"/>
                <w:szCs w:val="16"/>
              </w:rPr>
            </w:pPr>
            <w:r>
              <w:rPr>
                <w:rFonts w:ascii="Arial" w:eastAsia="Helvetica Neue" w:hAnsi="Arial" w:cs="Arial"/>
                <w:sz w:val="20"/>
                <w:szCs w:val="20"/>
              </w:rPr>
              <w:t>Heads of Product Tower</w:t>
            </w:r>
            <w:r w:rsidRPr="00EF7B2D">
              <w:rPr>
                <w:rFonts w:ascii="Arial" w:eastAsia="Helvetica Neue" w:hAnsi="Arial" w:cs="Arial"/>
                <w:sz w:val="20"/>
                <w:szCs w:val="20"/>
              </w:rPr>
              <w:t>s</w:t>
            </w:r>
            <w:r>
              <w:rPr>
                <w:rFonts w:ascii="Arial" w:eastAsia="Helvetica Neue" w:hAnsi="Arial" w:cs="Arial"/>
                <w:sz w:val="20"/>
                <w:szCs w:val="20"/>
              </w:rPr>
              <w:t xml:space="preserve"> Pricing</w:t>
            </w:r>
            <w:r w:rsidRPr="00EF7B2D">
              <w:rPr>
                <w:rFonts w:ascii="Arial" w:eastAsia="Helvetica Neue" w:hAnsi="Arial" w:cs="Arial"/>
                <w:sz w:val="20"/>
                <w:szCs w:val="20"/>
              </w:rPr>
              <w:t xml:space="preserve"> are responsible for establishing and </w:t>
            </w:r>
            <w:r>
              <w:rPr>
                <w:rFonts w:ascii="Arial" w:eastAsia="Helvetica Neue" w:hAnsi="Arial" w:cs="Arial"/>
                <w:sz w:val="20"/>
                <w:szCs w:val="20"/>
              </w:rPr>
              <w:t>maintaining product pricing</w:t>
            </w:r>
            <w:r w:rsidRPr="00EF7B2D">
              <w:rPr>
                <w:rFonts w:ascii="Arial" w:eastAsia="Helvetica Neue" w:hAnsi="Arial" w:cs="Arial"/>
                <w:sz w:val="20"/>
                <w:szCs w:val="20"/>
              </w:rPr>
              <w:t xml:space="preserve"> standards, guidelines, and procedures, and are accountable for ensuring that these are </w:t>
            </w:r>
            <w:r w:rsidRPr="00EF7B2D">
              <w:rPr>
                <w:rFonts w:ascii="Arial" w:eastAsia="Helvetica Neue" w:hAnsi="Arial" w:cs="Arial"/>
                <w:sz w:val="20"/>
                <w:szCs w:val="20"/>
              </w:rPr>
              <w:lastRenderedPageBreak/>
              <w:t xml:space="preserve">consistently and uniformly implemented in their product areas. </w:t>
            </w:r>
          </w:p>
        </w:tc>
      </w:tr>
      <w:tr w:rsidR="00FB1D26" w:rsidRPr="002D30A4" w14:paraId="7F00ECB6" w14:textId="77777777" w:rsidTr="002D30A4">
        <w:trPr>
          <w:trHeight w:val="387"/>
        </w:trPr>
        <w:tc>
          <w:tcPr>
            <w:tcW w:w="1800" w:type="dxa"/>
          </w:tcPr>
          <w:p w14:paraId="7F00ECB1" w14:textId="77777777" w:rsidR="00FB1D26" w:rsidRPr="00EF7B2D" w:rsidRDefault="00FB1D26" w:rsidP="00715EC6">
            <w:pPr>
              <w:tabs>
                <w:tab w:val="num" w:pos="1440"/>
              </w:tabs>
              <w:spacing w:line="360" w:lineRule="auto"/>
              <w:jc w:val="both"/>
              <w:rPr>
                <w:rFonts w:ascii="Arial" w:hAnsi="Arial" w:cs="Arial"/>
                <w:i/>
                <w:sz w:val="18"/>
                <w:szCs w:val="18"/>
              </w:rPr>
            </w:pPr>
          </w:p>
          <w:p w14:paraId="7F00ECB2" w14:textId="77777777" w:rsidR="00FB1D26" w:rsidRPr="00EF7B2D" w:rsidRDefault="00FB1D26" w:rsidP="00715EC6">
            <w:pPr>
              <w:tabs>
                <w:tab w:val="num" w:pos="1440"/>
              </w:tabs>
              <w:spacing w:line="360" w:lineRule="auto"/>
              <w:jc w:val="both"/>
              <w:rPr>
                <w:rFonts w:ascii="Arial" w:hAnsi="Arial" w:cs="Arial"/>
                <w:i/>
                <w:sz w:val="20"/>
                <w:szCs w:val="20"/>
              </w:rPr>
            </w:pPr>
            <w:r w:rsidRPr="00EF7B2D">
              <w:rPr>
                <w:rFonts w:ascii="Arial" w:hAnsi="Arial" w:cs="Arial"/>
                <w:i/>
                <w:sz w:val="20"/>
                <w:szCs w:val="20"/>
              </w:rPr>
              <w:t xml:space="preserve">All employees </w:t>
            </w:r>
          </w:p>
          <w:p w14:paraId="7F00ECB3" w14:textId="77777777" w:rsidR="00FB1D26" w:rsidRPr="002D30A4" w:rsidRDefault="00FB1D26" w:rsidP="002D30A4">
            <w:pPr>
              <w:spacing w:before="120"/>
              <w:rPr>
                <w:rFonts w:ascii="Arial" w:hAnsi="Arial" w:cs="Arial"/>
                <w:bCs/>
                <w:i/>
                <w:iCs/>
                <w:sz w:val="20"/>
                <w:szCs w:val="20"/>
              </w:rPr>
            </w:pPr>
          </w:p>
        </w:tc>
        <w:tc>
          <w:tcPr>
            <w:tcW w:w="8820" w:type="dxa"/>
            <w:gridSpan w:val="2"/>
          </w:tcPr>
          <w:p w14:paraId="7F00ECB4" w14:textId="77777777" w:rsidR="00FB1D26" w:rsidRPr="00EF7B2D" w:rsidRDefault="00FB1D26" w:rsidP="00715EC6">
            <w:pPr>
              <w:jc w:val="both"/>
              <w:rPr>
                <w:rFonts w:ascii="Arial" w:eastAsia="Helvetica Neue" w:hAnsi="Arial" w:cs="Arial"/>
                <w:sz w:val="20"/>
                <w:szCs w:val="20"/>
              </w:rPr>
            </w:pPr>
          </w:p>
          <w:p w14:paraId="7F00ECB5" w14:textId="77777777" w:rsidR="00FB1D26" w:rsidRPr="002D30A4" w:rsidRDefault="00FB1D26" w:rsidP="002D30A4">
            <w:pPr>
              <w:jc w:val="both"/>
              <w:rPr>
                <w:rFonts w:ascii="Arial" w:hAnsi="Arial" w:cs="Arial"/>
                <w:sz w:val="20"/>
                <w:szCs w:val="20"/>
              </w:rPr>
            </w:pPr>
            <w:r w:rsidRPr="00EF7B2D">
              <w:rPr>
                <w:rFonts w:ascii="Arial" w:hAnsi="Arial" w:cs="Arial"/>
                <w:sz w:val="20"/>
                <w:szCs w:val="20"/>
              </w:rPr>
              <w:t>All employees performing functions subject to this Standard must adhere to its principles, as well as all other applicable standards, guidelines and procedures.</w:t>
            </w:r>
          </w:p>
        </w:tc>
      </w:tr>
      <w:tr w:rsidR="00FB1D26" w:rsidRPr="002D30A4" w14:paraId="7F00ECB9" w14:textId="77777777" w:rsidTr="002D30A4">
        <w:trPr>
          <w:trHeight w:val="387"/>
        </w:trPr>
        <w:tc>
          <w:tcPr>
            <w:tcW w:w="1800" w:type="dxa"/>
          </w:tcPr>
          <w:p w14:paraId="7F00ECB7" w14:textId="77777777" w:rsidR="00FB1D26" w:rsidRPr="002D30A4" w:rsidRDefault="00FB1D26" w:rsidP="002D30A4">
            <w:pPr>
              <w:spacing w:before="120"/>
              <w:rPr>
                <w:rFonts w:ascii="Arial" w:eastAsia="Helvetica Neue" w:hAnsi="Arial" w:cs="Arial"/>
                <w:bCs/>
                <w:i/>
                <w:iCs/>
                <w:sz w:val="20"/>
                <w:szCs w:val="20"/>
              </w:rPr>
            </w:pPr>
          </w:p>
        </w:tc>
        <w:tc>
          <w:tcPr>
            <w:tcW w:w="8820" w:type="dxa"/>
            <w:gridSpan w:val="2"/>
          </w:tcPr>
          <w:p w14:paraId="7F00ECB8" w14:textId="77777777" w:rsidR="00FB1D26" w:rsidRPr="002D30A4" w:rsidRDefault="00FB1D26" w:rsidP="002D30A4">
            <w:pPr>
              <w:jc w:val="both"/>
              <w:rPr>
                <w:rFonts w:ascii="Arial" w:eastAsia="Helvetica Neue" w:hAnsi="Arial" w:cs="Arial"/>
                <w:sz w:val="20"/>
                <w:szCs w:val="20"/>
              </w:rPr>
            </w:pPr>
          </w:p>
        </w:tc>
      </w:tr>
      <w:tr w:rsidR="00FB1D26" w:rsidRPr="002D30A4" w14:paraId="7F00ECBE" w14:textId="77777777" w:rsidTr="002D30A4">
        <w:trPr>
          <w:trHeight w:val="387"/>
        </w:trPr>
        <w:tc>
          <w:tcPr>
            <w:tcW w:w="1800" w:type="dxa"/>
          </w:tcPr>
          <w:p w14:paraId="7F00ECBA" w14:textId="77777777" w:rsidR="00FB1D26" w:rsidRPr="002D30A4" w:rsidRDefault="00FB1D26" w:rsidP="002D30A4">
            <w:pPr>
              <w:spacing w:before="120"/>
              <w:rPr>
                <w:rFonts w:ascii="Arial" w:eastAsia="Helvetica Neue" w:hAnsi="Arial" w:cs="Arial"/>
                <w:bCs/>
                <w:i/>
                <w:iCs/>
                <w:sz w:val="20"/>
                <w:szCs w:val="20"/>
              </w:rPr>
            </w:pPr>
            <w:r w:rsidRPr="002D30A4">
              <w:rPr>
                <w:rFonts w:ascii="Arial" w:hAnsi="Arial" w:cs="Arial"/>
                <w:b/>
                <w:sz w:val="20"/>
                <w:szCs w:val="20"/>
              </w:rPr>
              <w:t>Country Specific Requirements</w:t>
            </w:r>
          </w:p>
        </w:tc>
        <w:tc>
          <w:tcPr>
            <w:tcW w:w="8820" w:type="dxa"/>
            <w:gridSpan w:val="2"/>
          </w:tcPr>
          <w:p w14:paraId="7F00ECBB" w14:textId="77777777" w:rsidR="00FB1D26" w:rsidRPr="002D30A4" w:rsidRDefault="00FB1D26" w:rsidP="002D30A4">
            <w:pPr>
              <w:autoSpaceDE w:val="0"/>
              <w:autoSpaceDN w:val="0"/>
              <w:adjustRightInd w:val="0"/>
              <w:rPr>
                <w:rFonts w:ascii="Arial" w:eastAsia="Helvetica Neue" w:hAnsi="Arial" w:cs="Arial"/>
                <w:color w:val="FF0000"/>
                <w:sz w:val="16"/>
                <w:szCs w:val="16"/>
              </w:rPr>
            </w:pPr>
          </w:p>
          <w:p w14:paraId="7F00ECBC" w14:textId="77777777" w:rsidR="00FB1D26" w:rsidRPr="002D30A4" w:rsidRDefault="00FB1D26" w:rsidP="002D30A4">
            <w:pPr>
              <w:jc w:val="both"/>
              <w:rPr>
                <w:rFonts w:ascii="Arial" w:hAnsi="Arial" w:cs="Arial"/>
                <w:sz w:val="20"/>
                <w:szCs w:val="20"/>
              </w:rPr>
            </w:pPr>
            <w:r w:rsidRPr="002D30A4">
              <w:rPr>
                <w:rFonts w:ascii="Arial" w:eastAsia="Helvetica Neue" w:hAnsi="Arial" w:cs="Arial"/>
                <w:color w:val="000000"/>
                <w:sz w:val="20"/>
                <w:szCs w:val="20"/>
              </w:rPr>
              <w:t xml:space="preserve">Standards and Guidelines will be written and agreed where there is the need for distinct local clarification or to comply with local rules and regulations. </w:t>
            </w:r>
            <w:r w:rsidRPr="002D30A4">
              <w:rPr>
                <w:rFonts w:ascii="Arial" w:hAnsi="Arial" w:cs="Arial"/>
                <w:sz w:val="20"/>
                <w:szCs w:val="20"/>
              </w:rPr>
              <w:t>Any conflict between Global and locally required standards must be identified, documented, escalated and addressed in accordance with applicable AIG corporate policies.</w:t>
            </w:r>
          </w:p>
          <w:p w14:paraId="7F00ECBD" w14:textId="77777777" w:rsidR="00FB1D26" w:rsidRPr="002D30A4" w:rsidRDefault="00FB1D26" w:rsidP="002D30A4">
            <w:pPr>
              <w:jc w:val="both"/>
              <w:rPr>
                <w:rFonts w:ascii="Arial" w:eastAsia="Helvetica Neue" w:hAnsi="Arial" w:cs="Arial"/>
                <w:sz w:val="20"/>
                <w:szCs w:val="20"/>
              </w:rPr>
            </w:pPr>
          </w:p>
        </w:tc>
      </w:tr>
      <w:tr w:rsidR="00FB1D26" w:rsidRPr="002D30A4" w14:paraId="7F00ECC3" w14:textId="77777777" w:rsidTr="002D30A4">
        <w:tc>
          <w:tcPr>
            <w:tcW w:w="1800" w:type="dxa"/>
          </w:tcPr>
          <w:p w14:paraId="7F00ECBF" w14:textId="77777777" w:rsidR="00FB1D26" w:rsidRPr="002D30A4" w:rsidRDefault="00FB1D26" w:rsidP="002D30A4">
            <w:pPr>
              <w:spacing w:before="60" w:after="60"/>
              <w:rPr>
                <w:rFonts w:ascii="Arial" w:hAnsi="Arial" w:cs="Arial"/>
                <w:b/>
                <w:sz w:val="20"/>
                <w:szCs w:val="20"/>
              </w:rPr>
            </w:pPr>
            <w:r w:rsidRPr="002D30A4">
              <w:rPr>
                <w:rFonts w:ascii="Arial" w:hAnsi="Arial" w:cs="Arial"/>
                <w:b/>
                <w:sz w:val="20"/>
                <w:szCs w:val="20"/>
              </w:rPr>
              <w:t>Reference to Corporate Policies</w:t>
            </w:r>
          </w:p>
        </w:tc>
        <w:tc>
          <w:tcPr>
            <w:tcW w:w="8820" w:type="dxa"/>
            <w:gridSpan w:val="2"/>
          </w:tcPr>
          <w:p w14:paraId="7F00ECC0" w14:textId="77777777" w:rsidR="00FB1D26" w:rsidRPr="002D30A4" w:rsidRDefault="00FB1D26" w:rsidP="002D30A4">
            <w:pPr>
              <w:jc w:val="both"/>
              <w:rPr>
                <w:rFonts w:ascii="Arial" w:eastAsia="Helvetica Neue" w:hAnsi="Arial" w:cs="Arial"/>
                <w:color w:val="000000"/>
                <w:sz w:val="20"/>
                <w:szCs w:val="20"/>
              </w:rPr>
            </w:pPr>
          </w:p>
          <w:p w14:paraId="7F00ECC1" w14:textId="77777777" w:rsidR="00FB1D26" w:rsidRPr="002D30A4" w:rsidRDefault="00FB1D26" w:rsidP="002D30A4">
            <w:pPr>
              <w:jc w:val="both"/>
              <w:rPr>
                <w:rFonts w:ascii="Arial" w:eastAsia="Helvetica Neue" w:hAnsi="Arial" w:cs="Arial"/>
                <w:color w:val="000000"/>
                <w:sz w:val="20"/>
                <w:szCs w:val="20"/>
              </w:rPr>
            </w:pPr>
            <w:r w:rsidRPr="002D30A4">
              <w:rPr>
                <w:rFonts w:ascii="Arial" w:eastAsia="Helvetica Neue" w:hAnsi="Arial" w:cs="Arial"/>
                <w:color w:val="000000"/>
                <w:sz w:val="20"/>
                <w:szCs w:val="20"/>
              </w:rPr>
              <w:t>This Global Commercial Underwriting Standard document is subject to adherence to all relevant AIG Corporate Policies.</w:t>
            </w:r>
          </w:p>
          <w:p w14:paraId="7F00ECC2" w14:textId="77777777" w:rsidR="00FB1D26" w:rsidRPr="002D30A4" w:rsidRDefault="00FB1D26" w:rsidP="002D30A4">
            <w:pPr>
              <w:autoSpaceDE w:val="0"/>
              <w:autoSpaceDN w:val="0"/>
              <w:adjustRightInd w:val="0"/>
              <w:jc w:val="both"/>
              <w:rPr>
                <w:rFonts w:ascii="Arial" w:hAnsi="Arial" w:cs="Arial"/>
                <w:sz w:val="20"/>
                <w:szCs w:val="20"/>
              </w:rPr>
            </w:pPr>
          </w:p>
        </w:tc>
      </w:tr>
      <w:tr w:rsidR="00FB1D26" w:rsidRPr="002D30A4" w14:paraId="7F00ECC6" w14:textId="77777777" w:rsidTr="00FC6141">
        <w:trPr>
          <w:trHeight w:val="511"/>
        </w:trPr>
        <w:tc>
          <w:tcPr>
            <w:tcW w:w="1800" w:type="dxa"/>
          </w:tcPr>
          <w:p w14:paraId="7F00ECC4" w14:textId="77777777" w:rsidR="00FB1D26" w:rsidRPr="002D30A4" w:rsidRDefault="00FB1D26" w:rsidP="002D30A4">
            <w:pPr>
              <w:spacing w:before="60" w:after="60"/>
              <w:rPr>
                <w:rFonts w:ascii="Arial" w:hAnsi="Arial" w:cs="Arial"/>
                <w:b/>
                <w:sz w:val="20"/>
                <w:szCs w:val="20"/>
              </w:rPr>
            </w:pPr>
            <w:r w:rsidRPr="002D30A4">
              <w:rPr>
                <w:rFonts w:ascii="Arial" w:hAnsi="Arial" w:cs="Arial"/>
                <w:b/>
                <w:sz w:val="20"/>
                <w:szCs w:val="20"/>
              </w:rPr>
              <w:t>Updates</w:t>
            </w:r>
          </w:p>
        </w:tc>
        <w:tc>
          <w:tcPr>
            <w:tcW w:w="8820" w:type="dxa"/>
            <w:gridSpan w:val="2"/>
            <w:shd w:val="clear" w:color="auto" w:fill="auto"/>
          </w:tcPr>
          <w:p w14:paraId="6DB6B356" w14:textId="77777777" w:rsidR="00FB1D26" w:rsidRDefault="00FB1D26" w:rsidP="002D30A4">
            <w:pPr>
              <w:autoSpaceDE w:val="0"/>
              <w:autoSpaceDN w:val="0"/>
              <w:adjustRightInd w:val="0"/>
              <w:rPr>
                <w:rFonts w:ascii="Arial" w:hAnsi="Arial" w:cs="Arial"/>
                <w:i/>
                <w:iCs/>
                <w:color w:val="FF0000"/>
                <w:sz w:val="16"/>
                <w:szCs w:val="16"/>
              </w:rPr>
            </w:pPr>
            <w:r w:rsidRPr="002D30A4">
              <w:rPr>
                <w:rFonts w:ascii="Arial" w:hAnsi="Arial" w:cs="Arial"/>
                <w:i/>
                <w:iCs/>
                <w:color w:val="FF0000"/>
                <w:sz w:val="16"/>
                <w:szCs w:val="16"/>
              </w:rPr>
              <w:t>History of updates to the Underwriting Document</w:t>
            </w:r>
          </w:p>
          <w:p w14:paraId="7F00ECC5" w14:textId="2480147D" w:rsidR="00FC6141" w:rsidRPr="002D30A4" w:rsidRDefault="00FC6141" w:rsidP="002D30A4">
            <w:pPr>
              <w:autoSpaceDE w:val="0"/>
              <w:autoSpaceDN w:val="0"/>
              <w:adjustRightInd w:val="0"/>
              <w:rPr>
                <w:rFonts w:ascii="Arial" w:eastAsia="Helvetica Neue" w:hAnsi="Arial" w:cs="Arial"/>
                <w:color w:val="FF0000"/>
                <w:sz w:val="16"/>
                <w:szCs w:val="16"/>
              </w:rPr>
            </w:pPr>
            <w:r>
              <w:rPr>
                <w:rFonts w:ascii="Arial" w:hAnsi="Arial" w:cs="Arial"/>
                <w:i/>
                <w:iCs/>
                <w:color w:val="FF0000"/>
                <w:sz w:val="16"/>
                <w:szCs w:val="16"/>
              </w:rPr>
              <w:t>September 29, 2015:  Template Updated</w:t>
            </w:r>
          </w:p>
        </w:tc>
      </w:tr>
    </w:tbl>
    <w:p w14:paraId="7F00ECCD" w14:textId="77777777" w:rsidR="00871599" w:rsidRPr="00953A18" w:rsidRDefault="00871599" w:rsidP="00281BDC"/>
    <w:sectPr w:rsidR="00871599" w:rsidRPr="00953A18" w:rsidSect="00FC6141">
      <w:headerReference w:type="default" r:id="rId12"/>
      <w:footerReference w:type="default" r:id="rId13"/>
      <w:pgSz w:w="12240" w:h="15840"/>
      <w:pgMar w:top="803"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00ECD6" w14:textId="77777777" w:rsidR="004B1582" w:rsidRDefault="004B1582">
      <w:r>
        <w:separator/>
      </w:r>
    </w:p>
  </w:endnote>
  <w:endnote w:type="continuationSeparator" w:id="0">
    <w:p w14:paraId="7F00ECD7" w14:textId="77777777" w:rsidR="004B1582" w:rsidRDefault="004B1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IG Futura">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00ECD9" w14:textId="77777777" w:rsidR="000E4826" w:rsidRDefault="000E4826" w:rsidP="00052C27">
    <w:pPr>
      <w:pStyle w:val="BodyTextIndent3"/>
      <w:pBdr>
        <w:left w:val="single" w:sz="8" w:space="18" w:color="auto"/>
      </w:pBdr>
      <w:ind w:left="0" w:right="-1260"/>
      <w:rPr>
        <w:rStyle w:val="PageNumber"/>
        <w:rFonts w:ascii="Arial" w:eastAsia="MS Mincho" w:hAnsi="Arial" w:cs="Arial"/>
        <w:lang w:eastAsia="ja-JP"/>
      </w:rPr>
    </w:pPr>
    <w:r w:rsidRPr="000E4826">
      <w:rPr>
        <w:rStyle w:val="PageNumber"/>
        <w:rFonts w:ascii="Arial" w:eastAsia="MS Mincho" w:hAnsi="Arial" w:cs="Arial"/>
        <w:lang w:eastAsia="ja-JP"/>
      </w:rPr>
      <w:t xml:space="preserve">Page </w:t>
    </w:r>
    <w:r w:rsidR="009E38CC" w:rsidRPr="000E4826">
      <w:rPr>
        <w:rStyle w:val="PageNumber"/>
        <w:rFonts w:ascii="Arial" w:eastAsia="MS Mincho" w:hAnsi="Arial" w:cs="Arial"/>
        <w:lang w:eastAsia="ja-JP"/>
      </w:rPr>
      <w:fldChar w:fldCharType="begin"/>
    </w:r>
    <w:r w:rsidRPr="000E4826">
      <w:rPr>
        <w:rStyle w:val="PageNumber"/>
        <w:rFonts w:ascii="Arial" w:eastAsia="MS Mincho" w:hAnsi="Arial" w:cs="Arial"/>
        <w:lang w:eastAsia="ja-JP"/>
      </w:rPr>
      <w:instrText xml:space="preserve"> PAGE </w:instrText>
    </w:r>
    <w:r w:rsidR="009E38CC" w:rsidRPr="000E4826">
      <w:rPr>
        <w:rStyle w:val="PageNumber"/>
        <w:rFonts w:ascii="Arial" w:eastAsia="MS Mincho" w:hAnsi="Arial" w:cs="Arial"/>
        <w:lang w:eastAsia="ja-JP"/>
      </w:rPr>
      <w:fldChar w:fldCharType="separate"/>
    </w:r>
    <w:r w:rsidR="00085DD1">
      <w:rPr>
        <w:rStyle w:val="PageNumber"/>
        <w:rFonts w:ascii="Arial" w:eastAsia="MS Mincho" w:hAnsi="Arial" w:cs="Arial"/>
        <w:noProof/>
        <w:lang w:eastAsia="ja-JP"/>
      </w:rPr>
      <w:t>1</w:t>
    </w:r>
    <w:r w:rsidR="009E38CC" w:rsidRPr="000E4826">
      <w:rPr>
        <w:rStyle w:val="PageNumber"/>
        <w:rFonts w:ascii="Arial" w:eastAsia="MS Mincho" w:hAnsi="Arial" w:cs="Arial"/>
        <w:lang w:eastAsia="ja-JP"/>
      </w:rPr>
      <w:fldChar w:fldCharType="end"/>
    </w:r>
    <w:r w:rsidRPr="000E4826">
      <w:rPr>
        <w:rStyle w:val="PageNumber"/>
        <w:rFonts w:ascii="Arial" w:eastAsia="MS Mincho" w:hAnsi="Arial" w:cs="Arial"/>
        <w:lang w:eastAsia="ja-JP"/>
      </w:rPr>
      <w:t xml:space="preserve"> of </w:t>
    </w:r>
    <w:r w:rsidR="009E38CC" w:rsidRPr="000E4826">
      <w:rPr>
        <w:rStyle w:val="PageNumber"/>
        <w:rFonts w:ascii="Arial" w:eastAsia="MS Mincho" w:hAnsi="Arial" w:cs="Arial"/>
        <w:lang w:eastAsia="ja-JP"/>
      </w:rPr>
      <w:fldChar w:fldCharType="begin"/>
    </w:r>
    <w:r w:rsidRPr="000E4826">
      <w:rPr>
        <w:rStyle w:val="PageNumber"/>
        <w:rFonts w:ascii="Arial" w:eastAsia="MS Mincho" w:hAnsi="Arial" w:cs="Arial"/>
        <w:lang w:eastAsia="ja-JP"/>
      </w:rPr>
      <w:instrText xml:space="preserve"> NUMPAGES </w:instrText>
    </w:r>
    <w:r w:rsidR="009E38CC" w:rsidRPr="000E4826">
      <w:rPr>
        <w:rStyle w:val="PageNumber"/>
        <w:rFonts w:ascii="Arial" w:eastAsia="MS Mincho" w:hAnsi="Arial" w:cs="Arial"/>
        <w:lang w:eastAsia="ja-JP"/>
      </w:rPr>
      <w:fldChar w:fldCharType="separate"/>
    </w:r>
    <w:r w:rsidR="00085DD1">
      <w:rPr>
        <w:rStyle w:val="PageNumber"/>
        <w:rFonts w:ascii="Arial" w:eastAsia="MS Mincho" w:hAnsi="Arial" w:cs="Arial"/>
        <w:noProof/>
        <w:lang w:eastAsia="ja-JP"/>
      </w:rPr>
      <w:t>3</w:t>
    </w:r>
    <w:r w:rsidR="009E38CC" w:rsidRPr="000E4826">
      <w:rPr>
        <w:rStyle w:val="PageNumber"/>
        <w:rFonts w:ascii="Arial" w:eastAsia="MS Mincho" w:hAnsi="Arial" w:cs="Arial"/>
        <w:lang w:eastAsia="ja-JP"/>
      </w:rPr>
      <w:fldChar w:fldCharType="end"/>
    </w:r>
  </w:p>
  <w:p w14:paraId="7F00ECDA" w14:textId="77777777" w:rsidR="000666E7" w:rsidRPr="00871599" w:rsidRDefault="000666E7" w:rsidP="00052C27">
    <w:pPr>
      <w:pStyle w:val="BodyTextIndent3"/>
      <w:pBdr>
        <w:left w:val="single" w:sz="8" w:space="18" w:color="auto"/>
      </w:pBdr>
      <w:ind w:left="0" w:right="-1260"/>
      <w:rPr>
        <w:rFonts w:ascii="Arial Narrow" w:hAnsi="Arial Narrow"/>
      </w:rPr>
    </w:pPr>
    <w:r w:rsidRPr="00871599">
      <w:rPr>
        <w:rFonts w:ascii="Arial Narrow" w:hAnsi="Arial Narrow"/>
      </w:rPr>
      <w:t xml:space="preserve">The material contained herein is proprietary to </w:t>
    </w:r>
    <w:r w:rsidR="00D04E6B">
      <w:rPr>
        <w:rFonts w:ascii="Arial Narrow" w:hAnsi="Arial Narrow"/>
      </w:rPr>
      <w:t>AIG</w:t>
    </w:r>
    <w:r w:rsidRPr="00871599">
      <w:rPr>
        <w:rFonts w:ascii="Arial Narrow" w:hAnsi="Arial Narrow"/>
      </w:rPr>
      <w:t xml:space="preserve"> and is intended for internal use only by </w:t>
    </w:r>
    <w:r w:rsidR="00D04E6B">
      <w:rPr>
        <w:rFonts w:ascii="Arial Narrow" w:hAnsi="Arial Narrow"/>
      </w:rPr>
      <w:t>AIG</w:t>
    </w:r>
    <w:r w:rsidRPr="00871599">
      <w:rPr>
        <w:rFonts w:ascii="Arial Narrow" w:hAnsi="Arial Narrow"/>
      </w:rPr>
      <w:t xml:space="preserve"> employees.  Unauthorized disclosure, dissemination, copying, or other</w:t>
    </w:r>
    <w:r>
      <w:rPr>
        <w:rFonts w:ascii="Arial Narrow" w:hAnsi="Arial Narrow"/>
      </w:rPr>
      <w:br/>
    </w:r>
    <w:r w:rsidRPr="00871599">
      <w:rPr>
        <w:rFonts w:ascii="Arial Narrow" w:hAnsi="Arial Narrow"/>
      </w:rPr>
      <w:t xml:space="preserve">use of this material without the express written permission of </w:t>
    </w:r>
    <w:r w:rsidR="00D04E6B">
      <w:rPr>
        <w:rFonts w:ascii="Arial Narrow" w:hAnsi="Arial Narrow"/>
      </w:rPr>
      <w:t>AIG</w:t>
    </w:r>
    <w:r w:rsidRPr="00871599">
      <w:rPr>
        <w:rFonts w:ascii="Arial Narrow" w:hAnsi="Arial Narrow"/>
      </w:rPr>
      <w:t xml:space="preserve"> is strictly prohibited.</w:t>
    </w:r>
    <w:r w:rsidRPr="00871599">
      <w:rPr>
        <w:rFonts w:ascii="Arial Narrow" w:hAnsi="Arial Narrow"/>
      </w:rPr>
      <w:br/>
      <w:t>Copyright © 201</w:t>
    </w:r>
    <w:r w:rsidR="003123BD">
      <w:rPr>
        <w:rFonts w:ascii="Arial Narrow" w:hAnsi="Arial Narrow"/>
      </w:rPr>
      <w:t>3 AIG</w:t>
    </w:r>
    <w:r w:rsidRPr="00871599">
      <w:rPr>
        <w:rFonts w:ascii="Arial Narrow" w:hAnsi="Arial Narrow"/>
      </w:rPr>
      <w:t xml:space="preserve"> Inc.  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00ECD4" w14:textId="77777777" w:rsidR="004B1582" w:rsidRDefault="004B1582">
      <w:r>
        <w:separator/>
      </w:r>
    </w:p>
  </w:footnote>
  <w:footnote w:type="continuationSeparator" w:id="0">
    <w:p w14:paraId="7F00ECD5" w14:textId="77777777" w:rsidR="004B1582" w:rsidRDefault="004B15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537" w:type="pct"/>
      <w:tblInd w:w="-425" w:type="dxa"/>
      <w:tblCellMar>
        <w:top w:w="72" w:type="dxa"/>
        <w:left w:w="115" w:type="dxa"/>
        <w:bottom w:w="72" w:type="dxa"/>
        <w:right w:w="115" w:type="dxa"/>
      </w:tblCellMar>
      <w:tblLook w:val="04A0" w:firstRow="1" w:lastRow="0" w:firstColumn="1" w:lastColumn="0" w:noHBand="0" w:noVBand="1"/>
    </w:tblPr>
    <w:tblGrid>
      <w:gridCol w:w="5400"/>
      <w:gridCol w:w="5220"/>
    </w:tblGrid>
    <w:tr w:rsidR="00FC6141" w14:paraId="4891E9CE" w14:textId="77777777" w:rsidTr="00C01C4E">
      <w:trPr>
        <w:trHeight w:val="288"/>
      </w:trPr>
      <w:tc>
        <w:tcPr>
          <w:tcW w:w="5400" w:type="dxa"/>
        </w:tcPr>
        <w:p w14:paraId="109079F6" w14:textId="345466FF" w:rsidR="00FC6141" w:rsidRPr="008B153A" w:rsidRDefault="00FC6141" w:rsidP="00C01C4E">
          <w:pPr>
            <w:pStyle w:val="Header"/>
            <w:rPr>
              <w:rFonts w:ascii="Cambria" w:hAnsi="Cambria"/>
              <w:sz w:val="36"/>
              <w:szCs w:val="36"/>
            </w:rPr>
          </w:pPr>
          <w:r>
            <w:rPr>
              <w:noProof/>
            </w:rPr>
            <w:drawing>
              <wp:inline distT="0" distB="0" distL="0" distR="0" wp14:anchorId="5171A9EB" wp14:editId="2615FB3F">
                <wp:extent cx="1352550" cy="733425"/>
                <wp:effectExtent l="0" t="0" r="0" b="0"/>
                <wp:docPr id="2" name="Picture 2" descr="https://contact.aig.net/aigcontact/intranet/en/files/AIG_digital_blue_std_tcm1246-4905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ontact.aig.net/aigcontact/intranet/en/files/AIG_digital_blue_std_tcm1246-490599.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2550" cy="733425"/>
                        </a:xfrm>
                        <a:prstGeom prst="rect">
                          <a:avLst/>
                        </a:prstGeom>
                        <a:noFill/>
                        <a:ln>
                          <a:noFill/>
                        </a:ln>
                      </pic:spPr>
                    </pic:pic>
                  </a:graphicData>
                </a:graphic>
              </wp:inline>
            </w:drawing>
          </w:r>
          <w:r>
            <w:rPr>
              <w:rFonts w:ascii="Cambria" w:hAnsi="Cambria"/>
              <w:sz w:val="36"/>
              <w:szCs w:val="36"/>
            </w:rPr>
            <w:t xml:space="preserve"> </w:t>
          </w:r>
        </w:p>
      </w:tc>
      <w:tc>
        <w:tcPr>
          <w:tcW w:w="5220" w:type="dxa"/>
          <w:vAlign w:val="bottom"/>
        </w:tcPr>
        <w:p w14:paraId="11A380D3" w14:textId="5BB2997A" w:rsidR="00FC6141" w:rsidRPr="00C01C4E" w:rsidRDefault="00FC6141" w:rsidP="00C01C4E">
          <w:pPr>
            <w:pStyle w:val="Header"/>
            <w:ind w:hanging="115"/>
            <w:jc w:val="right"/>
            <w:rPr>
              <w:rFonts w:ascii="AIG Futura" w:hAnsi="AIG Futura"/>
              <w:b/>
              <w:bCs/>
              <w:smallCaps/>
              <w:color w:val="000000" w:themeColor="text1"/>
              <w:sz w:val="44"/>
              <w:szCs w:val="44"/>
            </w:rPr>
          </w:pPr>
          <w:r w:rsidRPr="00C01C4E">
            <w:rPr>
              <w:rFonts w:ascii="AIG Futura" w:hAnsi="AIG Futura"/>
              <w:b/>
              <w:bCs/>
              <w:smallCaps/>
              <w:color w:val="000000" w:themeColor="text1"/>
              <w:sz w:val="44"/>
              <w:szCs w:val="44"/>
            </w:rPr>
            <w:t>Profitability Reviews</w:t>
          </w:r>
        </w:p>
      </w:tc>
    </w:tr>
  </w:tbl>
  <w:p w14:paraId="7F00ECD8" w14:textId="77777777" w:rsidR="001B47F3" w:rsidRPr="00FC6141" w:rsidRDefault="001B47F3" w:rsidP="00FC6141">
    <w:pPr>
      <w:pStyle w:val="Header"/>
      <w:rPr>
        <w:b/>
        <w:color w:val="FF0000"/>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23DB0"/>
    <w:multiLevelType w:val="hybridMultilevel"/>
    <w:tmpl w:val="8C7CEF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EF56F48"/>
    <w:multiLevelType w:val="hybridMultilevel"/>
    <w:tmpl w:val="D114A676"/>
    <w:lvl w:ilvl="0" w:tplc="9E7C82E0">
      <w:start w:val="1"/>
      <w:numFmt w:val="decimal"/>
      <w:lvlText w:val="%1."/>
      <w:lvlJc w:val="left"/>
      <w:pPr>
        <w:tabs>
          <w:tab w:val="num" w:pos="720"/>
        </w:tabs>
        <w:ind w:left="720" w:hanging="360"/>
      </w:pPr>
    </w:lvl>
    <w:lvl w:ilvl="1" w:tplc="618219B6" w:tentative="1">
      <w:start w:val="1"/>
      <w:numFmt w:val="decimal"/>
      <w:lvlText w:val="%2."/>
      <w:lvlJc w:val="left"/>
      <w:pPr>
        <w:tabs>
          <w:tab w:val="num" w:pos="1440"/>
        </w:tabs>
        <w:ind w:left="1440" w:hanging="360"/>
      </w:pPr>
    </w:lvl>
    <w:lvl w:ilvl="2" w:tplc="E3DE7BF4" w:tentative="1">
      <w:start w:val="1"/>
      <w:numFmt w:val="decimal"/>
      <w:lvlText w:val="%3."/>
      <w:lvlJc w:val="left"/>
      <w:pPr>
        <w:tabs>
          <w:tab w:val="num" w:pos="2160"/>
        </w:tabs>
        <w:ind w:left="2160" w:hanging="360"/>
      </w:pPr>
    </w:lvl>
    <w:lvl w:ilvl="3" w:tplc="DB562C56" w:tentative="1">
      <w:start w:val="1"/>
      <w:numFmt w:val="decimal"/>
      <w:lvlText w:val="%4."/>
      <w:lvlJc w:val="left"/>
      <w:pPr>
        <w:tabs>
          <w:tab w:val="num" w:pos="2880"/>
        </w:tabs>
        <w:ind w:left="2880" w:hanging="360"/>
      </w:pPr>
    </w:lvl>
    <w:lvl w:ilvl="4" w:tplc="3F94617A" w:tentative="1">
      <w:start w:val="1"/>
      <w:numFmt w:val="decimal"/>
      <w:lvlText w:val="%5."/>
      <w:lvlJc w:val="left"/>
      <w:pPr>
        <w:tabs>
          <w:tab w:val="num" w:pos="3600"/>
        </w:tabs>
        <w:ind w:left="3600" w:hanging="360"/>
      </w:pPr>
    </w:lvl>
    <w:lvl w:ilvl="5" w:tplc="F7868408" w:tentative="1">
      <w:start w:val="1"/>
      <w:numFmt w:val="decimal"/>
      <w:lvlText w:val="%6."/>
      <w:lvlJc w:val="left"/>
      <w:pPr>
        <w:tabs>
          <w:tab w:val="num" w:pos="4320"/>
        </w:tabs>
        <w:ind w:left="4320" w:hanging="360"/>
      </w:pPr>
    </w:lvl>
    <w:lvl w:ilvl="6" w:tplc="A52E47A6" w:tentative="1">
      <w:start w:val="1"/>
      <w:numFmt w:val="decimal"/>
      <w:lvlText w:val="%7."/>
      <w:lvlJc w:val="left"/>
      <w:pPr>
        <w:tabs>
          <w:tab w:val="num" w:pos="5040"/>
        </w:tabs>
        <w:ind w:left="5040" w:hanging="360"/>
      </w:pPr>
    </w:lvl>
    <w:lvl w:ilvl="7" w:tplc="09742544" w:tentative="1">
      <w:start w:val="1"/>
      <w:numFmt w:val="decimal"/>
      <w:lvlText w:val="%8."/>
      <w:lvlJc w:val="left"/>
      <w:pPr>
        <w:tabs>
          <w:tab w:val="num" w:pos="5760"/>
        </w:tabs>
        <w:ind w:left="5760" w:hanging="360"/>
      </w:pPr>
    </w:lvl>
    <w:lvl w:ilvl="8" w:tplc="EE18BA9E" w:tentative="1">
      <w:start w:val="1"/>
      <w:numFmt w:val="decimal"/>
      <w:lvlText w:val="%9."/>
      <w:lvlJc w:val="left"/>
      <w:pPr>
        <w:tabs>
          <w:tab w:val="num" w:pos="6480"/>
        </w:tabs>
        <w:ind w:left="6480" w:hanging="360"/>
      </w:pPr>
    </w:lvl>
  </w:abstractNum>
  <w:abstractNum w:abstractNumId="2">
    <w:nsid w:val="10997DAD"/>
    <w:multiLevelType w:val="hybridMultilevel"/>
    <w:tmpl w:val="6A8CD3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38733B9"/>
    <w:multiLevelType w:val="hybridMultilevel"/>
    <w:tmpl w:val="DFDEE29E"/>
    <w:lvl w:ilvl="0" w:tplc="0C546D86">
      <w:start w:val="1"/>
      <w:numFmt w:val="bullet"/>
      <w:lvlText w:val=""/>
      <w:lvlJc w:val="left"/>
      <w:pPr>
        <w:tabs>
          <w:tab w:val="num" w:pos="0"/>
        </w:tabs>
        <w:ind w:left="357" w:hanging="357"/>
      </w:pPr>
      <w:rPr>
        <w:rFonts w:ascii="Symbol" w:hAnsi="Symbol" w:cs="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FD71403"/>
    <w:multiLevelType w:val="hybridMultilevel"/>
    <w:tmpl w:val="D84A06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21337C3"/>
    <w:multiLevelType w:val="hybridMultilevel"/>
    <w:tmpl w:val="FD8208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08C7861"/>
    <w:multiLevelType w:val="hybridMultilevel"/>
    <w:tmpl w:val="EAB23D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0FE2503"/>
    <w:multiLevelType w:val="hybridMultilevel"/>
    <w:tmpl w:val="FA8C5C0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4CA6520C"/>
    <w:multiLevelType w:val="hybridMultilevel"/>
    <w:tmpl w:val="AFB686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163016C"/>
    <w:multiLevelType w:val="multilevel"/>
    <w:tmpl w:val="5AF61510"/>
    <w:lvl w:ilvl="0">
      <w:start w:val="1"/>
      <w:numFmt w:val="bullet"/>
      <w:lvlText w:val=""/>
      <w:lvlJc w:val="left"/>
      <w:pPr>
        <w:tabs>
          <w:tab w:val="num" w:pos="0"/>
        </w:tabs>
        <w:ind w:left="357" w:hanging="357"/>
      </w:pPr>
      <w:rPr>
        <w:rFonts w:ascii="Symbol" w:hAnsi="Symbol" w:cs="Courier New" w:hint="default"/>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b w:val="0"/>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581309A8"/>
    <w:multiLevelType w:val="hybridMultilevel"/>
    <w:tmpl w:val="3DA8B0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BDD08F8"/>
    <w:multiLevelType w:val="hybridMultilevel"/>
    <w:tmpl w:val="554239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CB37B78"/>
    <w:multiLevelType w:val="hybridMultilevel"/>
    <w:tmpl w:val="FD6CBE6C"/>
    <w:lvl w:ilvl="0" w:tplc="E51E6DB0">
      <w:start w:val="1"/>
      <w:numFmt w:val="upperRoman"/>
      <w:lvlText w:val="%1."/>
      <w:lvlJc w:val="left"/>
      <w:pPr>
        <w:tabs>
          <w:tab w:val="num" w:pos="1080"/>
        </w:tabs>
        <w:ind w:left="1080" w:hanging="720"/>
      </w:pPr>
      <w:rPr>
        <w:rFonts w:cs="Times New Roman" w:hint="default"/>
        <w:b w:val="0"/>
        <w:color w:val="auto"/>
        <w:sz w:val="24"/>
        <w:szCs w:val="24"/>
      </w:rPr>
    </w:lvl>
    <w:lvl w:ilvl="1" w:tplc="CF14D142">
      <w:start w:val="1"/>
      <w:numFmt w:val="upperLetter"/>
      <w:lvlText w:val="%2."/>
      <w:lvlJc w:val="left"/>
      <w:pPr>
        <w:tabs>
          <w:tab w:val="num" w:pos="1440"/>
        </w:tabs>
        <w:ind w:left="1440" w:hanging="360"/>
      </w:pPr>
      <w:rPr>
        <w:rFonts w:cs="Times New Roman" w:hint="default"/>
        <w:color w:val="auto"/>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5F8B350A"/>
    <w:multiLevelType w:val="hybridMultilevel"/>
    <w:tmpl w:val="D81C5B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EAE5AE4"/>
    <w:multiLevelType w:val="hybridMultilevel"/>
    <w:tmpl w:val="FA8C5C0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742051DA"/>
    <w:multiLevelType w:val="hybridMultilevel"/>
    <w:tmpl w:val="E34A46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5B561A0"/>
    <w:multiLevelType w:val="hybridMultilevel"/>
    <w:tmpl w:val="34087C4C"/>
    <w:lvl w:ilvl="0" w:tplc="0C546D86">
      <w:start w:val="1"/>
      <w:numFmt w:val="bullet"/>
      <w:lvlText w:val=""/>
      <w:lvlJc w:val="left"/>
      <w:pPr>
        <w:tabs>
          <w:tab w:val="num" w:pos="0"/>
        </w:tabs>
        <w:ind w:left="357" w:hanging="357"/>
      </w:pPr>
      <w:rPr>
        <w:rFonts w:ascii="Symbol" w:hAnsi="Symbol" w:cs="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DDB7BAC"/>
    <w:multiLevelType w:val="hybridMultilevel"/>
    <w:tmpl w:val="76724D7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7E292C85"/>
    <w:multiLevelType w:val="hybridMultilevel"/>
    <w:tmpl w:val="4C887A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9"/>
  </w:num>
  <w:num w:numId="3">
    <w:abstractNumId w:val="3"/>
  </w:num>
  <w:num w:numId="4">
    <w:abstractNumId w:val="8"/>
  </w:num>
  <w:num w:numId="5">
    <w:abstractNumId w:val="5"/>
  </w:num>
  <w:num w:numId="6">
    <w:abstractNumId w:val="4"/>
  </w:num>
  <w:num w:numId="7">
    <w:abstractNumId w:val="0"/>
  </w:num>
  <w:num w:numId="8">
    <w:abstractNumId w:val="18"/>
  </w:num>
  <w:num w:numId="9">
    <w:abstractNumId w:val="15"/>
  </w:num>
  <w:num w:numId="10">
    <w:abstractNumId w:val="13"/>
  </w:num>
  <w:num w:numId="11">
    <w:abstractNumId w:val="1"/>
  </w:num>
  <w:num w:numId="12">
    <w:abstractNumId w:val="17"/>
  </w:num>
  <w:num w:numId="13">
    <w:abstractNumId w:val="11"/>
  </w:num>
  <w:num w:numId="14">
    <w:abstractNumId w:val="2"/>
  </w:num>
  <w:num w:numId="15">
    <w:abstractNumId w:val="10"/>
  </w:num>
  <w:num w:numId="16">
    <w:abstractNumId w:val="6"/>
  </w:num>
  <w:num w:numId="17">
    <w:abstractNumId w:val="14"/>
  </w:num>
  <w:num w:numId="18">
    <w:abstractNumId w:val="12"/>
  </w:num>
  <w:num w:numId="19">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4"/>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599"/>
    <w:rsid w:val="00001352"/>
    <w:rsid w:val="00001BBD"/>
    <w:rsid w:val="00001EAA"/>
    <w:rsid w:val="00002F8E"/>
    <w:rsid w:val="0000311B"/>
    <w:rsid w:val="0000504F"/>
    <w:rsid w:val="00005070"/>
    <w:rsid w:val="0000507F"/>
    <w:rsid w:val="00005602"/>
    <w:rsid w:val="00005CC0"/>
    <w:rsid w:val="0000600C"/>
    <w:rsid w:val="000060D5"/>
    <w:rsid w:val="00006D39"/>
    <w:rsid w:val="00007505"/>
    <w:rsid w:val="0000773D"/>
    <w:rsid w:val="00010380"/>
    <w:rsid w:val="00010CAB"/>
    <w:rsid w:val="00010F10"/>
    <w:rsid w:val="0001144D"/>
    <w:rsid w:val="000116A4"/>
    <w:rsid w:val="00011C83"/>
    <w:rsid w:val="00011DFE"/>
    <w:rsid w:val="00012412"/>
    <w:rsid w:val="00013C38"/>
    <w:rsid w:val="0001498F"/>
    <w:rsid w:val="00014B33"/>
    <w:rsid w:val="00014BB7"/>
    <w:rsid w:val="00014E17"/>
    <w:rsid w:val="00014F97"/>
    <w:rsid w:val="000152BE"/>
    <w:rsid w:val="00015AE7"/>
    <w:rsid w:val="0001614D"/>
    <w:rsid w:val="000161D6"/>
    <w:rsid w:val="000165E2"/>
    <w:rsid w:val="00016D60"/>
    <w:rsid w:val="00017C35"/>
    <w:rsid w:val="00020706"/>
    <w:rsid w:val="00020CAF"/>
    <w:rsid w:val="00020D73"/>
    <w:rsid w:val="000215BE"/>
    <w:rsid w:val="0002174B"/>
    <w:rsid w:val="00022157"/>
    <w:rsid w:val="000226AE"/>
    <w:rsid w:val="000228D6"/>
    <w:rsid w:val="0002390E"/>
    <w:rsid w:val="00023921"/>
    <w:rsid w:val="000247C9"/>
    <w:rsid w:val="00026353"/>
    <w:rsid w:val="00027084"/>
    <w:rsid w:val="00027251"/>
    <w:rsid w:val="000311E5"/>
    <w:rsid w:val="00031A6E"/>
    <w:rsid w:val="00031E06"/>
    <w:rsid w:val="00031E2E"/>
    <w:rsid w:val="00031E85"/>
    <w:rsid w:val="0003229B"/>
    <w:rsid w:val="000322E9"/>
    <w:rsid w:val="000325BF"/>
    <w:rsid w:val="00033515"/>
    <w:rsid w:val="000340A6"/>
    <w:rsid w:val="000342C0"/>
    <w:rsid w:val="00034624"/>
    <w:rsid w:val="000349E7"/>
    <w:rsid w:val="00034FF1"/>
    <w:rsid w:val="000354E4"/>
    <w:rsid w:val="00035597"/>
    <w:rsid w:val="000355C0"/>
    <w:rsid w:val="000356C5"/>
    <w:rsid w:val="00035F7F"/>
    <w:rsid w:val="00036068"/>
    <w:rsid w:val="000361F4"/>
    <w:rsid w:val="00036B1F"/>
    <w:rsid w:val="0003774C"/>
    <w:rsid w:val="000377E3"/>
    <w:rsid w:val="00037B56"/>
    <w:rsid w:val="00037C34"/>
    <w:rsid w:val="000401D1"/>
    <w:rsid w:val="000404E7"/>
    <w:rsid w:val="00040DC7"/>
    <w:rsid w:val="000413AF"/>
    <w:rsid w:val="000413C7"/>
    <w:rsid w:val="00041D05"/>
    <w:rsid w:val="00041DC3"/>
    <w:rsid w:val="00041EE2"/>
    <w:rsid w:val="0004241A"/>
    <w:rsid w:val="000424EA"/>
    <w:rsid w:val="0004265B"/>
    <w:rsid w:val="00042862"/>
    <w:rsid w:val="00043AE3"/>
    <w:rsid w:val="00043CE8"/>
    <w:rsid w:val="00043F58"/>
    <w:rsid w:val="00044392"/>
    <w:rsid w:val="0004454B"/>
    <w:rsid w:val="000448A9"/>
    <w:rsid w:val="00044A21"/>
    <w:rsid w:val="00046087"/>
    <w:rsid w:val="000476D5"/>
    <w:rsid w:val="000478A1"/>
    <w:rsid w:val="00047E86"/>
    <w:rsid w:val="00050020"/>
    <w:rsid w:val="000506BB"/>
    <w:rsid w:val="00050809"/>
    <w:rsid w:val="000515DA"/>
    <w:rsid w:val="00052BE3"/>
    <w:rsid w:val="00052C27"/>
    <w:rsid w:val="000532A0"/>
    <w:rsid w:val="00053468"/>
    <w:rsid w:val="000537CE"/>
    <w:rsid w:val="0005417C"/>
    <w:rsid w:val="0005418A"/>
    <w:rsid w:val="000550B8"/>
    <w:rsid w:val="00055F73"/>
    <w:rsid w:val="0005662E"/>
    <w:rsid w:val="00056686"/>
    <w:rsid w:val="00056AEE"/>
    <w:rsid w:val="00056CC6"/>
    <w:rsid w:val="00056E8F"/>
    <w:rsid w:val="00057664"/>
    <w:rsid w:val="00057866"/>
    <w:rsid w:val="0005786D"/>
    <w:rsid w:val="00057E48"/>
    <w:rsid w:val="00057FCB"/>
    <w:rsid w:val="000609F0"/>
    <w:rsid w:val="0006104C"/>
    <w:rsid w:val="0006130D"/>
    <w:rsid w:val="00061AED"/>
    <w:rsid w:val="00061C44"/>
    <w:rsid w:val="00062211"/>
    <w:rsid w:val="00062FA5"/>
    <w:rsid w:val="00063748"/>
    <w:rsid w:val="000644ED"/>
    <w:rsid w:val="00065296"/>
    <w:rsid w:val="000652EF"/>
    <w:rsid w:val="00065992"/>
    <w:rsid w:val="00066374"/>
    <w:rsid w:val="000666E7"/>
    <w:rsid w:val="00066808"/>
    <w:rsid w:val="00066EDD"/>
    <w:rsid w:val="000679E5"/>
    <w:rsid w:val="00067E50"/>
    <w:rsid w:val="00070253"/>
    <w:rsid w:val="00070473"/>
    <w:rsid w:val="000705DD"/>
    <w:rsid w:val="00070753"/>
    <w:rsid w:val="000707B0"/>
    <w:rsid w:val="0007108A"/>
    <w:rsid w:val="00071879"/>
    <w:rsid w:val="0007195D"/>
    <w:rsid w:val="000720DB"/>
    <w:rsid w:val="000725E5"/>
    <w:rsid w:val="00073836"/>
    <w:rsid w:val="00073A6D"/>
    <w:rsid w:val="000742FD"/>
    <w:rsid w:val="000743FF"/>
    <w:rsid w:val="00075457"/>
    <w:rsid w:val="0007557C"/>
    <w:rsid w:val="000761EE"/>
    <w:rsid w:val="00077447"/>
    <w:rsid w:val="0007745D"/>
    <w:rsid w:val="00077675"/>
    <w:rsid w:val="00077A27"/>
    <w:rsid w:val="00077B5A"/>
    <w:rsid w:val="00077B78"/>
    <w:rsid w:val="00080498"/>
    <w:rsid w:val="00081807"/>
    <w:rsid w:val="0008186F"/>
    <w:rsid w:val="00081AAA"/>
    <w:rsid w:val="00081B0C"/>
    <w:rsid w:val="00081F76"/>
    <w:rsid w:val="000824F9"/>
    <w:rsid w:val="00082682"/>
    <w:rsid w:val="000829C4"/>
    <w:rsid w:val="000834CB"/>
    <w:rsid w:val="000838EF"/>
    <w:rsid w:val="0008481C"/>
    <w:rsid w:val="000851DD"/>
    <w:rsid w:val="00085D83"/>
    <w:rsid w:val="00085DD1"/>
    <w:rsid w:val="00085E1E"/>
    <w:rsid w:val="000866F5"/>
    <w:rsid w:val="00087006"/>
    <w:rsid w:val="00087059"/>
    <w:rsid w:val="00087339"/>
    <w:rsid w:val="00087428"/>
    <w:rsid w:val="000874F2"/>
    <w:rsid w:val="000876A0"/>
    <w:rsid w:val="000878E3"/>
    <w:rsid w:val="00087961"/>
    <w:rsid w:val="00087A29"/>
    <w:rsid w:val="00087AEC"/>
    <w:rsid w:val="00090ED8"/>
    <w:rsid w:val="00090F1A"/>
    <w:rsid w:val="0009126E"/>
    <w:rsid w:val="000917EF"/>
    <w:rsid w:val="00091960"/>
    <w:rsid w:val="00091D6B"/>
    <w:rsid w:val="00091EE4"/>
    <w:rsid w:val="000922ED"/>
    <w:rsid w:val="0009253F"/>
    <w:rsid w:val="00092649"/>
    <w:rsid w:val="00092B5D"/>
    <w:rsid w:val="00093122"/>
    <w:rsid w:val="0009358F"/>
    <w:rsid w:val="00093C96"/>
    <w:rsid w:val="0009489D"/>
    <w:rsid w:val="00094A32"/>
    <w:rsid w:val="00094DE9"/>
    <w:rsid w:val="000951FF"/>
    <w:rsid w:val="0009550A"/>
    <w:rsid w:val="00095593"/>
    <w:rsid w:val="00095A3B"/>
    <w:rsid w:val="00096277"/>
    <w:rsid w:val="0009649E"/>
    <w:rsid w:val="00096646"/>
    <w:rsid w:val="000A00DD"/>
    <w:rsid w:val="000A03C0"/>
    <w:rsid w:val="000A0591"/>
    <w:rsid w:val="000A05F6"/>
    <w:rsid w:val="000A071E"/>
    <w:rsid w:val="000A152F"/>
    <w:rsid w:val="000A1F47"/>
    <w:rsid w:val="000A2AAC"/>
    <w:rsid w:val="000A2BD0"/>
    <w:rsid w:val="000A307B"/>
    <w:rsid w:val="000A505F"/>
    <w:rsid w:val="000A6282"/>
    <w:rsid w:val="000A6CB4"/>
    <w:rsid w:val="000A799E"/>
    <w:rsid w:val="000A7BD9"/>
    <w:rsid w:val="000B0A21"/>
    <w:rsid w:val="000B0BA0"/>
    <w:rsid w:val="000B154C"/>
    <w:rsid w:val="000B1974"/>
    <w:rsid w:val="000B19CF"/>
    <w:rsid w:val="000B19FB"/>
    <w:rsid w:val="000B1A6D"/>
    <w:rsid w:val="000B1AC4"/>
    <w:rsid w:val="000B1D83"/>
    <w:rsid w:val="000B2CCC"/>
    <w:rsid w:val="000B2E4F"/>
    <w:rsid w:val="000B306F"/>
    <w:rsid w:val="000B3430"/>
    <w:rsid w:val="000B356D"/>
    <w:rsid w:val="000B388F"/>
    <w:rsid w:val="000B3933"/>
    <w:rsid w:val="000B3B88"/>
    <w:rsid w:val="000B4174"/>
    <w:rsid w:val="000B420D"/>
    <w:rsid w:val="000B44CA"/>
    <w:rsid w:val="000B4668"/>
    <w:rsid w:val="000B6363"/>
    <w:rsid w:val="000B6566"/>
    <w:rsid w:val="000B687F"/>
    <w:rsid w:val="000B6A81"/>
    <w:rsid w:val="000B7091"/>
    <w:rsid w:val="000B70EF"/>
    <w:rsid w:val="000B7C59"/>
    <w:rsid w:val="000C070D"/>
    <w:rsid w:val="000C0FD4"/>
    <w:rsid w:val="000C116B"/>
    <w:rsid w:val="000C1244"/>
    <w:rsid w:val="000C2E9F"/>
    <w:rsid w:val="000C34C2"/>
    <w:rsid w:val="000C3BE4"/>
    <w:rsid w:val="000C447C"/>
    <w:rsid w:val="000C5D56"/>
    <w:rsid w:val="000C6CD6"/>
    <w:rsid w:val="000C6EB6"/>
    <w:rsid w:val="000C7855"/>
    <w:rsid w:val="000C7D18"/>
    <w:rsid w:val="000D034D"/>
    <w:rsid w:val="000D0464"/>
    <w:rsid w:val="000D05DF"/>
    <w:rsid w:val="000D17BE"/>
    <w:rsid w:val="000D23EA"/>
    <w:rsid w:val="000D2BBD"/>
    <w:rsid w:val="000D2EC7"/>
    <w:rsid w:val="000D3AA4"/>
    <w:rsid w:val="000D427C"/>
    <w:rsid w:val="000D4910"/>
    <w:rsid w:val="000D4FB3"/>
    <w:rsid w:val="000D506A"/>
    <w:rsid w:val="000D53D5"/>
    <w:rsid w:val="000D5C2C"/>
    <w:rsid w:val="000D5C4E"/>
    <w:rsid w:val="000D5E29"/>
    <w:rsid w:val="000D6899"/>
    <w:rsid w:val="000D752D"/>
    <w:rsid w:val="000D7D21"/>
    <w:rsid w:val="000E0341"/>
    <w:rsid w:val="000E0618"/>
    <w:rsid w:val="000E19D2"/>
    <w:rsid w:val="000E2036"/>
    <w:rsid w:val="000E26FD"/>
    <w:rsid w:val="000E3BA3"/>
    <w:rsid w:val="000E4826"/>
    <w:rsid w:val="000E49A1"/>
    <w:rsid w:val="000E5861"/>
    <w:rsid w:val="000E5A2A"/>
    <w:rsid w:val="000E6407"/>
    <w:rsid w:val="000E7329"/>
    <w:rsid w:val="000F1834"/>
    <w:rsid w:val="000F2403"/>
    <w:rsid w:val="000F25D3"/>
    <w:rsid w:val="000F298E"/>
    <w:rsid w:val="000F3EF4"/>
    <w:rsid w:val="000F43FE"/>
    <w:rsid w:val="000F4539"/>
    <w:rsid w:val="000F49EA"/>
    <w:rsid w:val="000F4ABA"/>
    <w:rsid w:val="000F4E82"/>
    <w:rsid w:val="000F56B0"/>
    <w:rsid w:val="000F56B7"/>
    <w:rsid w:val="000F5943"/>
    <w:rsid w:val="000F5D79"/>
    <w:rsid w:val="000F67E1"/>
    <w:rsid w:val="000F6A91"/>
    <w:rsid w:val="000F6FB7"/>
    <w:rsid w:val="000F7717"/>
    <w:rsid w:val="000F77D4"/>
    <w:rsid w:val="000F782D"/>
    <w:rsid w:val="000F7E01"/>
    <w:rsid w:val="000F7EF8"/>
    <w:rsid w:val="0010174C"/>
    <w:rsid w:val="001021E8"/>
    <w:rsid w:val="001023F8"/>
    <w:rsid w:val="00102C8D"/>
    <w:rsid w:val="00102D68"/>
    <w:rsid w:val="00102F88"/>
    <w:rsid w:val="00103370"/>
    <w:rsid w:val="00104272"/>
    <w:rsid w:val="00104299"/>
    <w:rsid w:val="00105AE5"/>
    <w:rsid w:val="00105B1F"/>
    <w:rsid w:val="00105BAD"/>
    <w:rsid w:val="0010676F"/>
    <w:rsid w:val="0010689C"/>
    <w:rsid w:val="00106BB5"/>
    <w:rsid w:val="001070A5"/>
    <w:rsid w:val="001075C8"/>
    <w:rsid w:val="0011053D"/>
    <w:rsid w:val="001105E3"/>
    <w:rsid w:val="00111677"/>
    <w:rsid w:val="00112126"/>
    <w:rsid w:val="00113C52"/>
    <w:rsid w:val="00114D69"/>
    <w:rsid w:val="001150A3"/>
    <w:rsid w:val="00115228"/>
    <w:rsid w:val="001168D1"/>
    <w:rsid w:val="00116995"/>
    <w:rsid w:val="001169B8"/>
    <w:rsid w:val="0011730B"/>
    <w:rsid w:val="00117765"/>
    <w:rsid w:val="001178C9"/>
    <w:rsid w:val="00117DC7"/>
    <w:rsid w:val="0012024C"/>
    <w:rsid w:val="001204B9"/>
    <w:rsid w:val="00120A37"/>
    <w:rsid w:val="00120FFD"/>
    <w:rsid w:val="00121771"/>
    <w:rsid w:val="00121BF0"/>
    <w:rsid w:val="00121F1E"/>
    <w:rsid w:val="00123428"/>
    <w:rsid w:val="00123ACC"/>
    <w:rsid w:val="00123D5A"/>
    <w:rsid w:val="00123EAE"/>
    <w:rsid w:val="00124907"/>
    <w:rsid w:val="00124B89"/>
    <w:rsid w:val="00124E53"/>
    <w:rsid w:val="0012538C"/>
    <w:rsid w:val="0012672D"/>
    <w:rsid w:val="00126942"/>
    <w:rsid w:val="001269EB"/>
    <w:rsid w:val="0012774B"/>
    <w:rsid w:val="00127C60"/>
    <w:rsid w:val="00127FCC"/>
    <w:rsid w:val="001303BB"/>
    <w:rsid w:val="00130EBF"/>
    <w:rsid w:val="00131280"/>
    <w:rsid w:val="0013159C"/>
    <w:rsid w:val="00131B3D"/>
    <w:rsid w:val="00131DF8"/>
    <w:rsid w:val="00132302"/>
    <w:rsid w:val="00132598"/>
    <w:rsid w:val="00132642"/>
    <w:rsid w:val="00132B6C"/>
    <w:rsid w:val="00132EAA"/>
    <w:rsid w:val="001334B9"/>
    <w:rsid w:val="00134641"/>
    <w:rsid w:val="001347FC"/>
    <w:rsid w:val="00134810"/>
    <w:rsid w:val="00134941"/>
    <w:rsid w:val="00135701"/>
    <w:rsid w:val="00135882"/>
    <w:rsid w:val="00135920"/>
    <w:rsid w:val="00135C3D"/>
    <w:rsid w:val="00135F8A"/>
    <w:rsid w:val="00136607"/>
    <w:rsid w:val="00136AB9"/>
    <w:rsid w:val="00136E6D"/>
    <w:rsid w:val="00136F27"/>
    <w:rsid w:val="001371F4"/>
    <w:rsid w:val="001372EA"/>
    <w:rsid w:val="001374AB"/>
    <w:rsid w:val="00137839"/>
    <w:rsid w:val="001403EE"/>
    <w:rsid w:val="00140427"/>
    <w:rsid w:val="001407FC"/>
    <w:rsid w:val="00140C60"/>
    <w:rsid w:val="00142BC4"/>
    <w:rsid w:val="001432A6"/>
    <w:rsid w:val="00143339"/>
    <w:rsid w:val="001439C5"/>
    <w:rsid w:val="001439E0"/>
    <w:rsid w:val="00143E9F"/>
    <w:rsid w:val="00145A0D"/>
    <w:rsid w:val="00147475"/>
    <w:rsid w:val="001477E2"/>
    <w:rsid w:val="001500B5"/>
    <w:rsid w:val="0015060A"/>
    <w:rsid w:val="00150FD1"/>
    <w:rsid w:val="00151695"/>
    <w:rsid w:val="00151871"/>
    <w:rsid w:val="00151A00"/>
    <w:rsid w:val="00151BA1"/>
    <w:rsid w:val="00151BA8"/>
    <w:rsid w:val="00152076"/>
    <w:rsid w:val="00152186"/>
    <w:rsid w:val="00152F21"/>
    <w:rsid w:val="00153BDA"/>
    <w:rsid w:val="00154181"/>
    <w:rsid w:val="00154313"/>
    <w:rsid w:val="001544A9"/>
    <w:rsid w:val="0015523A"/>
    <w:rsid w:val="00155527"/>
    <w:rsid w:val="00155925"/>
    <w:rsid w:val="00155E6D"/>
    <w:rsid w:val="001568B2"/>
    <w:rsid w:val="00156BE3"/>
    <w:rsid w:val="00156D1C"/>
    <w:rsid w:val="001578C5"/>
    <w:rsid w:val="00157948"/>
    <w:rsid w:val="00157B10"/>
    <w:rsid w:val="00157CB2"/>
    <w:rsid w:val="001605E7"/>
    <w:rsid w:val="0016082D"/>
    <w:rsid w:val="00160BB1"/>
    <w:rsid w:val="00161309"/>
    <w:rsid w:val="001619B6"/>
    <w:rsid w:val="00161AB9"/>
    <w:rsid w:val="00161ABD"/>
    <w:rsid w:val="00161B02"/>
    <w:rsid w:val="00161E74"/>
    <w:rsid w:val="001626AA"/>
    <w:rsid w:val="0016279A"/>
    <w:rsid w:val="00162E7E"/>
    <w:rsid w:val="00163283"/>
    <w:rsid w:val="001641CC"/>
    <w:rsid w:val="00164962"/>
    <w:rsid w:val="00164C30"/>
    <w:rsid w:val="00165B43"/>
    <w:rsid w:val="00165BD7"/>
    <w:rsid w:val="001664F9"/>
    <w:rsid w:val="00166771"/>
    <w:rsid w:val="00166AF0"/>
    <w:rsid w:val="00167149"/>
    <w:rsid w:val="001672AD"/>
    <w:rsid w:val="00170039"/>
    <w:rsid w:val="00170246"/>
    <w:rsid w:val="001710F1"/>
    <w:rsid w:val="00171239"/>
    <w:rsid w:val="00171D79"/>
    <w:rsid w:val="0017243C"/>
    <w:rsid w:val="00172745"/>
    <w:rsid w:val="0017305E"/>
    <w:rsid w:val="00173BA4"/>
    <w:rsid w:val="00173F7B"/>
    <w:rsid w:val="00173F86"/>
    <w:rsid w:val="00173FEE"/>
    <w:rsid w:val="0017435D"/>
    <w:rsid w:val="0017436C"/>
    <w:rsid w:val="001743D9"/>
    <w:rsid w:val="0017454D"/>
    <w:rsid w:val="00174F9B"/>
    <w:rsid w:val="0017504D"/>
    <w:rsid w:val="00175C55"/>
    <w:rsid w:val="00175E5D"/>
    <w:rsid w:val="00176238"/>
    <w:rsid w:val="00176459"/>
    <w:rsid w:val="00176614"/>
    <w:rsid w:val="00176BBA"/>
    <w:rsid w:val="001772EA"/>
    <w:rsid w:val="0017791F"/>
    <w:rsid w:val="00180CBB"/>
    <w:rsid w:val="00180EF6"/>
    <w:rsid w:val="00181222"/>
    <w:rsid w:val="00181381"/>
    <w:rsid w:val="001813E2"/>
    <w:rsid w:val="00181630"/>
    <w:rsid w:val="00181751"/>
    <w:rsid w:val="00182CBF"/>
    <w:rsid w:val="00182D55"/>
    <w:rsid w:val="0018345A"/>
    <w:rsid w:val="001836F9"/>
    <w:rsid w:val="00183768"/>
    <w:rsid w:val="00183A07"/>
    <w:rsid w:val="00183B32"/>
    <w:rsid w:val="00183DA1"/>
    <w:rsid w:val="0018454D"/>
    <w:rsid w:val="0018473A"/>
    <w:rsid w:val="00184A0E"/>
    <w:rsid w:val="00184CFE"/>
    <w:rsid w:val="00185209"/>
    <w:rsid w:val="001852B7"/>
    <w:rsid w:val="00185A65"/>
    <w:rsid w:val="00186189"/>
    <w:rsid w:val="001867CB"/>
    <w:rsid w:val="0018689C"/>
    <w:rsid w:val="00187374"/>
    <w:rsid w:val="00190045"/>
    <w:rsid w:val="00190370"/>
    <w:rsid w:val="0019054F"/>
    <w:rsid w:val="00190DDC"/>
    <w:rsid w:val="00190E46"/>
    <w:rsid w:val="00190EF7"/>
    <w:rsid w:val="00191BAC"/>
    <w:rsid w:val="001925C4"/>
    <w:rsid w:val="0019310C"/>
    <w:rsid w:val="00193516"/>
    <w:rsid w:val="00193FF1"/>
    <w:rsid w:val="00194836"/>
    <w:rsid w:val="00194C80"/>
    <w:rsid w:val="00194E5A"/>
    <w:rsid w:val="00194E92"/>
    <w:rsid w:val="001958DB"/>
    <w:rsid w:val="001966FA"/>
    <w:rsid w:val="001971A5"/>
    <w:rsid w:val="001971D5"/>
    <w:rsid w:val="00197A56"/>
    <w:rsid w:val="00197DAB"/>
    <w:rsid w:val="001A06AE"/>
    <w:rsid w:val="001A06E9"/>
    <w:rsid w:val="001A0D28"/>
    <w:rsid w:val="001A1035"/>
    <w:rsid w:val="001A135E"/>
    <w:rsid w:val="001A1488"/>
    <w:rsid w:val="001A1885"/>
    <w:rsid w:val="001A1DD9"/>
    <w:rsid w:val="001A2048"/>
    <w:rsid w:val="001A204D"/>
    <w:rsid w:val="001A23E7"/>
    <w:rsid w:val="001A27BC"/>
    <w:rsid w:val="001A2868"/>
    <w:rsid w:val="001A2FE9"/>
    <w:rsid w:val="001A3101"/>
    <w:rsid w:val="001A321E"/>
    <w:rsid w:val="001A36A1"/>
    <w:rsid w:val="001A3EC7"/>
    <w:rsid w:val="001A436C"/>
    <w:rsid w:val="001A5F79"/>
    <w:rsid w:val="001A68F1"/>
    <w:rsid w:val="001A6F0B"/>
    <w:rsid w:val="001A76A3"/>
    <w:rsid w:val="001A799F"/>
    <w:rsid w:val="001B012F"/>
    <w:rsid w:val="001B02E6"/>
    <w:rsid w:val="001B076D"/>
    <w:rsid w:val="001B112C"/>
    <w:rsid w:val="001B1745"/>
    <w:rsid w:val="001B2697"/>
    <w:rsid w:val="001B274E"/>
    <w:rsid w:val="001B2F92"/>
    <w:rsid w:val="001B31FB"/>
    <w:rsid w:val="001B3B2C"/>
    <w:rsid w:val="001B3C3F"/>
    <w:rsid w:val="001B4672"/>
    <w:rsid w:val="001B47F3"/>
    <w:rsid w:val="001B4F99"/>
    <w:rsid w:val="001B50D8"/>
    <w:rsid w:val="001B562D"/>
    <w:rsid w:val="001B6B2C"/>
    <w:rsid w:val="001B7592"/>
    <w:rsid w:val="001C0278"/>
    <w:rsid w:val="001C1344"/>
    <w:rsid w:val="001C28F0"/>
    <w:rsid w:val="001C35AF"/>
    <w:rsid w:val="001C3638"/>
    <w:rsid w:val="001C3AAC"/>
    <w:rsid w:val="001C3C13"/>
    <w:rsid w:val="001C4A29"/>
    <w:rsid w:val="001C4B8D"/>
    <w:rsid w:val="001C5F65"/>
    <w:rsid w:val="001C675C"/>
    <w:rsid w:val="001C6B08"/>
    <w:rsid w:val="001C7B63"/>
    <w:rsid w:val="001C7C6D"/>
    <w:rsid w:val="001D043C"/>
    <w:rsid w:val="001D055C"/>
    <w:rsid w:val="001D0775"/>
    <w:rsid w:val="001D0B33"/>
    <w:rsid w:val="001D128A"/>
    <w:rsid w:val="001D1929"/>
    <w:rsid w:val="001D1A38"/>
    <w:rsid w:val="001D2511"/>
    <w:rsid w:val="001D2B5E"/>
    <w:rsid w:val="001D32D2"/>
    <w:rsid w:val="001D3CDB"/>
    <w:rsid w:val="001D4742"/>
    <w:rsid w:val="001D54A9"/>
    <w:rsid w:val="001D5717"/>
    <w:rsid w:val="001D581D"/>
    <w:rsid w:val="001D58BB"/>
    <w:rsid w:val="001D5D19"/>
    <w:rsid w:val="001D5ED6"/>
    <w:rsid w:val="001D6D9C"/>
    <w:rsid w:val="001D72F8"/>
    <w:rsid w:val="001D741A"/>
    <w:rsid w:val="001D756A"/>
    <w:rsid w:val="001E04B5"/>
    <w:rsid w:val="001E1161"/>
    <w:rsid w:val="001E1428"/>
    <w:rsid w:val="001E165D"/>
    <w:rsid w:val="001E17B9"/>
    <w:rsid w:val="001E1CF0"/>
    <w:rsid w:val="001E1E74"/>
    <w:rsid w:val="001E2024"/>
    <w:rsid w:val="001E2062"/>
    <w:rsid w:val="001E22F2"/>
    <w:rsid w:val="001E3124"/>
    <w:rsid w:val="001E351E"/>
    <w:rsid w:val="001E3B36"/>
    <w:rsid w:val="001E3E3C"/>
    <w:rsid w:val="001E3EB0"/>
    <w:rsid w:val="001E47C1"/>
    <w:rsid w:val="001E4A53"/>
    <w:rsid w:val="001E4DC7"/>
    <w:rsid w:val="001E5088"/>
    <w:rsid w:val="001E541B"/>
    <w:rsid w:val="001E5972"/>
    <w:rsid w:val="001E59EC"/>
    <w:rsid w:val="001E5B10"/>
    <w:rsid w:val="001E609C"/>
    <w:rsid w:val="001E60A2"/>
    <w:rsid w:val="001E6CF2"/>
    <w:rsid w:val="001E6E37"/>
    <w:rsid w:val="001E760A"/>
    <w:rsid w:val="001E7A09"/>
    <w:rsid w:val="001E7D8B"/>
    <w:rsid w:val="001E7F4A"/>
    <w:rsid w:val="001E7F95"/>
    <w:rsid w:val="001F017C"/>
    <w:rsid w:val="001F054D"/>
    <w:rsid w:val="001F0D4C"/>
    <w:rsid w:val="001F0DEE"/>
    <w:rsid w:val="001F0E04"/>
    <w:rsid w:val="001F106F"/>
    <w:rsid w:val="001F15C2"/>
    <w:rsid w:val="001F2084"/>
    <w:rsid w:val="001F4332"/>
    <w:rsid w:val="001F4ED9"/>
    <w:rsid w:val="001F5457"/>
    <w:rsid w:val="001F608C"/>
    <w:rsid w:val="001F7DEB"/>
    <w:rsid w:val="002009A6"/>
    <w:rsid w:val="002011A5"/>
    <w:rsid w:val="00201804"/>
    <w:rsid w:val="00201844"/>
    <w:rsid w:val="00201D88"/>
    <w:rsid w:val="00201E72"/>
    <w:rsid w:val="00202069"/>
    <w:rsid w:val="00202677"/>
    <w:rsid w:val="002032B9"/>
    <w:rsid w:val="002034DE"/>
    <w:rsid w:val="00203577"/>
    <w:rsid w:val="00203F47"/>
    <w:rsid w:val="00204198"/>
    <w:rsid w:val="00205B6D"/>
    <w:rsid w:val="00206743"/>
    <w:rsid w:val="002068C3"/>
    <w:rsid w:val="002074FF"/>
    <w:rsid w:val="00210288"/>
    <w:rsid w:val="0021173B"/>
    <w:rsid w:val="00212508"/>
    <w:rsid w:val="00212FEE"/>
    <w:rsid w:val="00213253"/>
    <w:rsid w:val="002138AE"/>
    <w:rsid w:val="00214595"/>
    <w:rsid w:val="00214681"/>
    <w:rsid w:val="00214715"/>
    <w:rsid w:val="00214F96"/>
    <w:rsid w:val="0021532C"/>
    <w:rsid w:val="00215E81"/>
    <w:rsid w:val="0021611D"/>
    <w:rsid w:val="00216966"/>
    <w:rsid w:val="00216C47"/>
    <w:rsid w:val="00216FC2"/>
    <w:rsid w:val="0021745A"/>
    <w:rsid w:val="002178F1"/>
    <w:rsid w:val="00217E29"/>
    <w:rsid w:val="00220525"/>
    <w:rsid w:val="0022080F"/>
    <w:rsid w:val="00220AF5"/>
    <w:rsid w:val="00220C35"/>
    <w:rsid w:val="00220FE7"/>
    <w:rsid w:val="00221152"/>
    <w:rsid w:val="002211AA"/>
    <w:rsid w:val="00221273"/>
    <w:rsid w:val="002214D5"/>
    <w:rsid w:val="00221635"/>
    <w:rsid w:val="0022234C"/>
    <w:rsid w:val="00223495"/>
    <w:rsid w:val="00223848"/>
    <w:rsid w:val="00224E2E"/>
    <w:rsid w:val="00225A2F"/>
    <w:rsid w:val="002264D3"/>
    <w:rsid w:val="00226987"/>
    <w:rsid w:val="00226AB0"/>
    <w:rsid w:val="00226D7C"/>
    <w:rsid w:val="0022717C"/>
    <w:rsid w:val="00227C29"/>
    <w:rsid w:val="00227CB1"/>
    <w:rsid w:val="00230CA2"/>
    <w:rsid w:val="00230D90"/>
    <w:rsid w:val="00231596"/>
    <w:rsid w:val="002317A6"/>
    <w:rsid w:val="00232AFC"/>
    <w:rsid w:val="00232E62"/>
    <w:rsid w:val="00233392"/>
    <w:rsid w:val="002338DF"/>
    <w:rsid w:val="00233F7C"/>
    <w:rsid w:val="0023456E"/>
    <w:rsid w:val="00235022"/>
    <w:rsid w:val="00235584"/>
    <w:rsid w:val="002358A8"/>
    <w:rsid w:val="00235C16"/>
    <w:rsid w:val="00236845"/>
    <w:rsid w:val="00236E51"/>
    <w:rsid w:val="002373ED"/>
    <w:rsid w:val="00237DCA"/>
    <w:rsid w:val="00237FDF"/>
    <w:rsid w:val="002404E7"/>
    <w:rsid w:val="00240B29"/>
    <w:rsid w:val="00240BB9"/>
    <w:rsid w:val="00240F32"/>
    <w:rsid w:val="002412BA"/>
    <w:rsid w:val="002418CF"/>
    <w:rsid w:val="002421C7"/>
    <w:rsid w:val="002422F9"/>
    <w:rsid w:val="00242FD7"/>
    <w:rsid w:val="00243E14"/>
    <w:rsid w:val="00243EB7"/>
    <w:rsid w:val="002452F0"/>
    <w:rsid w:val="00245511"/>
    <w:rsid w:val="0024696C"/>
    <w:rsid w:val="002471C9"/>
    <w:rsid w:val="0025006B"/>
    <w:rsid w:val="0025007B"/>
    <w:rsid w:val="00250383"/>
    <w:rsid w:val="00250D18"/>
    <w:rsid w:val="00250E60"/>
    <w:rsid w:val="00251B16"/>
    <w:rsid w:val="00251C8B"/>
    <w:rsid w:val="00252D71"/>
    <w:rsid w:val="002530AB"/>
    <w:rsid w:val="00253A7C"/>
    <w:rsid w:val="00253AAC"/>
    <w:rsid w:val="00253F5E"/>
    <w:rsid w:val="00254022"/>
    <w:rsid w:val="0025447B"/>
    <w:rsid w:val="00254729"/>
    <w:rsid w:val="00255682"/>
    <w:rsid w:val="00255869"/>
    <w:rsid w:val="00255B52"/>
    <w:rsid w:val="00255D9E"/>
    <w:rsid w:val="002575C9"/>
    <w:rsid w:val="00257A4E"/>
    <w:rsid w:val="002601DB"/>
    <w:rsid w:val="00261206"/>
    <w:rsid w:val="00261779"/>
    <w:rsid w:val="00261D32"/>
    <w:rsid w:val="0026331B"/>
    <w:rsid w:val="00263B88"/>
    <w:rsid w:val="00263E1B"/>
    <w:rsid w:val="00263EB0"/>
    <w:rsid w:val="002649B9"/>
    <w:rsid w:val="00265733"/>
    <w:rsid w:val="002657DF"/>
    <w:rsid w:val="00265A62"/>
    <w:rsid w:val="00265BD7"/>
    <w:rsid w:val="0026695E"/>
    <w:rsid w:val="00266AD2"/>
    <w:rsid w:val="00266CA6"/>
    <w:rsid w:val="00266DB2"/>
    <w:rsid w:val="00267086"/>
    <w:rsid w:val="002670CB"/>
    <w:rsid w:val="00267AA3"/>
    <w:rsid w:val="00267D31"/>
    <w:rsid w:val="002705F7"/>
    <w:rsid w:val="00270732"/>
    <w:rsid w:val="00271519"/>
    <w:rsid w:val="002716C2"/>
    <w:rsid w:val="00271C0B"/>
    <w:rsid w:val="00272471"/>
    <w:rsid w:val="002728B3"/>
    <w:rsid w:val="00272BAE"/>
    <w:rsid w:val="00272C45"/>
    <w:rsid w:val="00272F5A"/>
    <w:rsid w:val="00273B1E"/>
    <w:rsid w:val="00273C9F"/>
    <w:rsid w:val="00274AD4"/>
    <w:rsid w:val="00275458"/>
    <w:rsid w:val="00275CD6"/>
    <w:rsid w:val="002760D8"/>
    <w:rsid w:val="00276124"/>
    <w:rsid w:val="00276BC5"/>
    <w:rsid w:val="00277220"/>
    <w:rsid w:val="0027735D"/>
    <w:rsid w:val="002802E5"/>
    <w:rsid w:val="00281284"/>
    <w:rsid w:val="002819AE"/>
    <w:rsid w:val="00281BDC"/>
    <w:rsid w:val="00281C06"/>
    <w:rsid w:val="002823A8"/>
    <w:rsid w:val="0028353E"/>
    <w:rsid w:val="0028418D"/>
    <w:rsid w:val="002843EA"/>
    <w:rsid w:val="00284528"/>
    <w:rsid w:val="00284580"/>
    <w:rsid w:val="002846E0"/>
    <w:rsid w:val="00284E6A"/>
    <w:rsid w:val="0028505C"/>
    <w:rsid w:val="002856D2"/>
    <w:rsid w:val="00285ABF"/>
    <w:rsid w:val="00286101"/>
    <w:rsid w:val="00286632"/>
    <w:rsid w:val="00286640"/>
    <w:rsid w:val="00286EC6"/>
    <w:rsid w:val="002870E6"/>
    <w:rsid w:val="002879CB"/>
    <w:rsid w:val="00287D01"/>
    <w:rsid w:val="00287FA1"/>
    <w:rsid w:val="002900E5"/>
    <w:rsid w:val="002903E4"/>
    <w:rsid w:val="00290F59"/>
    <w:rsid w:val="00291150"/>
    <w:rsid w:val="002919AF"/>
    <w:rsid w:val="00292701"/>
    <w:rsid w:val="0029393A"/>
    <w:rsid w:val="00293FFD"/>
    <w:rsid w:val="00294BA8"/>
    <w:rsid w:val="00294DC6"/>
    <w:rsid w:val="002956DC"/>
    <w:rsid w:val="00295A3F"/>
    <w:rsid w:val="00295FCE"/>
    <w:rsid w:val="00296D63"/>
    <w:rsid w:val="00297691"/>
    <w:rsid w:val="002A0362"/>
    <w:rsid w:val="002A055B"/>
    <w:rsid w:val="002A17DF"/>
    <w:rsid w:val="002A18FB"/>
    <w:rsid w:val="002A2477"/>
    <w:rsid w:val="002A31D5"/>
    <w:rsid w:val="002A5238"/>
    <w:rsid w:val="002A5637"/>
    <w:rsid w:val="002A691E"/>
    <w:rsid w:val="002A6DC3"/>
    <w:rsid w:val="002A6EC7"/>
    <w:rsid w:val="002A6F0B"/>
    <w:rsid w:val="002A7E35"/>
    <w:rsid w:val="002B0729"/>
    <w:rsid w:val="002B07CB"/>
    <w:rsid w:val="002B09EF"/>
    <w:rsid w:val="002B0E14"/>
    <w:rsid w:val="002B12DA"/>
    <w:rsid w:val="002B14E1"/>
    <w:rsid w:val="002B17ED"/>
    <w:rsid w:val="002B2170"/>
    <w:rsid w:val="002B278F"/>
    <w:rsid w:val="002B2A85"/>
    <w:rsid w:val="002B2A96"/>
    <w:rsid w:val="002B3566"/>
    <w:rsid w:val="002B405C"/>
    <w:rsid w:val="002B4617"/>
    <w:rsid w:val="002B464F"/>
    <w:rsid w:val="002B47A2"/>
    <w:rsid w:val="002B47C2"/>
    <w:rsid w:val="002B54EA"/>
    <w:rsid w:val="002B54F9"/>
    <w:rsid w:val="002B56CC"/>
    <w:rsid w:val="002B60DD"/>
    <w:rsid w:val="002B61C8"/>
    <w:rsid w:val="002B6AB6"/>
    <w:rsid w:val="002B6C3C"/>
    <w:rsid w:val="002B715F"/>
    <w:rsid w:val="002B7400"/>
    <w:rsid w:val="002B7717"/>
    <w:rsid w:val="002B783B"/>
    <w:rsid w:val="002B7B6E"/>
    <w:rsid w:val="002C068D"/>
    <w:rsid w:val="002C121A"/>
    <w:rsid w:val="002C1492"/>
    <w:rsid w:val="002C171A"/>
    <w:rsid w:val="002C2433"/>
    <w:rsid w:val="002C3A46"/>
    <w:rsid w:val="002C4542"/>
    <w:rsid w:val="002C4619"/>
    <w:rsid w:val="002C4C03"/>
    <w:rsid w:val="002C5EC8"/>
    <w:rsid w:val="002C687C"/>
    <w:rsid w:val="002C708F"/>
    <w:rsid w:val="002C77B7"/>
    <w:rsid w:val="002C7B59"/>
    <w:rsid w:val="002C7DF5"/>
    <w:rsid w:val="002D04DD"/>
    <w:rsid w:val="002D1795"/>
    <w:rsid w:val="002D1805"/>
    <w:rsid w:val="002D1D2F"/>
    <w:rsid w:val="002D259E"/>
    <w:rsid w:val="002D2816"/>
    <w:rsid w:val="002D2C9E"/>
    <w:rsid w:val="002D30A4"/>
    <w:rsid w:val="002D30F1"/>
    <w:rsid w:val="002D3285"/>
    <w:rsid w:val="002D34D4"/>
    <w:rsid w:val="002D3922"/>
    <w:rsid w:val="002D3C3C"/>
    <w:rsid w:val="002D5052"/>
    <w:rsid w:val="002D5B6F"/>
    <w:rsid w:val="002D6987"/>
    <w:rsid w:val="002D6B86"/>
    <w:rsid w:val="002D71B1"/>
    <w:rsid w:val="002D75D2"/>
    <w:rsid w:val="002E0027"/>
    <w:rsid w:val="002E0CF8"/>
    <w:rsid w:val="002E0DFB"/>
    <w:rsid w:val="002E12A7"/>
    <w:rsid w:val="002E1798"/>
    <w:rsid w:val="002E1A5E"/>
    <w:rsid w:val="002E22BF"/>
    <w:rsid w:val="002E272F"/>
    <w:rsid w:val="002E2DFC"/>
    <w:rsid w:val="002E2EA5"/>
    <w:rsid w:val="002E2F55"/>
    <w:rsid w:val="002E3B2A"/>
    <w:rsid w:val="002E42B9"/>
    <w:rsid w:val="002E4B35"/>
    <w:rsid w:val="002E4C39"/>
    <w:rsid w:val="002E53F3"/>
    <w:rsid w:val="002E567A"/>
    <w:rsid w:val="002E56E3"/>
    <w:rsid w:val="002E670E"/>
    <w:rsid w:val="002E6A63"/>
    <w:rsid w:val="002E74F4"/>
    <w:rsid w:val="002E7667"/>
    <w:rsid w:val="002E7EED"/>
    <w:rsid w:val="002F0371"/>
    <w:rsid w:val="002F053F"/>
    <w:rsid w:val="002F0AD1"/>
    <w:rsid w:val="002F0B88"/>
    <w:rsid w:val="002F0CCF"/>
    <w:rsid w:val="002F157C"/>
    <w:rsid w:val="002F1BBF"/>
    <w:rsid w:val="002F243A"/>
    <w:rsid w:val="002F2484"/>
    <w:rsid w:val="002F29B2"/>
    <w:rsid w:val="002F3242"/>
    <w:rsid w:val="002F3598"/>
    <w:rsid w:val="002F374E"/>
    <w:rsid w:val="002F4E87"/>
    <w:rsid w:val="002F4F6A"/>
    <w:rsid w:val="002F5400"/>
    <w:rsid w:val="002F56A1"/>
    <w:rsid w:val="002F6411"/>
    <w:rsid w:val="002F7036"/>
    <w:rsid w:val="002F7629"/>
    <w:rsid w:val="002F7B9D"/>
    <w:rsid w:val="002F7F99"/>
    <w:rsid w:val="002F7F9A"/>
    <w:rsid w:val="0030008E"/>
    <w:rsid w:val="0030082C"/>
    <w:rsid w:val="00300A03"/>
    <w:rsid w:val="00300BE9"/>
    <w:rsid w:val="00300C36"/>
    <w:rsid w:val="00300DBB"/>
    <w:rsid w:val="003010CA"/>
    <w:rsid w:val="0030123F"/>
    <w:rsid w:val="0030169A"/>
    <w:rsid w:val="00301BBA"/>
    <w:rsid w:val="00301E4F"/>
    <w:rsid w:val="00302633"/>
    <w:rsid w:val="00302C60"/>
    <w:rsid w:val="00302CC1"/>
    <w:rsid w:val="00302F37"/>
    <w:rsid w:val="00303459"/>
    <w:rsid w:val="00303B3E"/>
    <w:rsid w:val="00303E8A"/>
    <w:rsid w:val="00304A56"/>
    <w:rsid w:val="00304E3D"/>
    <w:rsid w:val="00304E7C"/>
    <w:rsid w:val="003055C3"/>
    <w:rsid w:val="003056BC"/>
    <w:rsid w:val="003057CA"/>
    <w:rsid w:val="00305FB9"/>
    <w:rsid w:val="00310A2C"/>
    <w:rsid w:val="00310ACC"/>
    <w:rsid w:val="00310CEF"/>
    <w:rsid w:val="003116B2"/>
    <w:rsid w:val="00311A93"/>
    <w:rsid w:val="003123BD"/>
    <w:rsid w:val="00312C99"/>
    <w:rsid w:val="00312FB6"/>
    <w:rsid w:val="003136E5"/>
    <w:rsid w:val="00313701"/>
    <w:rsid w:val="00313AD5"/>
    <w:rsid w:val="00313F14"/>
    <w:rsid w:val="00314AB0"/>
    <w:rsid w:val="00314C0E"/>
    <w:rsid w:val="00314DCE"/>
    <w:rsid w:val="003151C3"/>
    <w:rsid w:val="0031580B"/>
    <w:rsid w:val="00315CE4"/>
    <w:rsid w:val="00316165"/>
    <w:rsid w:val="00316DC3"/>
    <w:rsid w:val="00316E04"/>
    <w:rsid w:val="003171E3"/>
    <w:rsid w:val="0031740F"/>
    <w:rsid w:val="00317B19"/>
    <w:rsid w:val="003200BA"/>
    <w:rsid w:val="00320593"/>
    <w:rsid w:val="00320F24"/>
    <w:rsid w:val="003212C9"/>
    <w:rsid w:val="003223B2"/>
    <w:rsid w:val="00322486"/>
    <w:rsid w:val="0032284F"/>
    <w:rsid w:val="00323AF3"/>
    <w:rsid w:val="00323DF6"/>
    <w:rsid w:val="003240A1"/>
    <w:rsid w:val="00324F08"/>
    <w:rsid w:val="00324F1B"/>
    <w:rsid w:val="003253FA"/>
    <w:rsid w:val="00325714"/>
    <w:rsid w:val="003258B1"/>
    <w:rsid w:val="00326163"/>
    <w:rsid w:val="003263D2"/>
    <w:rsid w:val="00326A22"/>
    <w:rsid w:val="00326F39"/>
    <w:rsid w:val="003272FD"/>
    <w:rsid w:val="00327606"/>
    <w:rsid w:val="00327772"/>
    <w:rsid w:val="0032791C"/>
    <w:rsid w:val="00327CD6"/>
    <w:rsid w:val="00330848"/>
    <w:rsid w:val="003308F3"/>
    <w:rsid w:val="00330B69"/>
    <w:rsid w:val="00331B84"/>
    <w:rsid w:val="00332187"/>
    <w:rsid w:val="003322AE"/>
    <w:rsid w:val="00332524"/>
    <w:rsid w:val="00332A3E"/>
    <w:rsid w:val="0033361C"/>
    <w:rsid w:val="00333982"/>
    <w:rsid w:val="00333990"/>
    <w:rsid w:val="00333A0F"/>
    <w:rsid w:val="00333A7D"/>
    <w:rsid w:val="00333CC1"/>
    <w:rsid w:val="00334022"/>
    <w:rsid w:val="0033507E"/>
    <w:rsid w:val="00335097"/>
    <w:rsid w:val="00335F5C"/>
    <w:rsid w:val="003365E2"/>
    <w:rsid w:val="003366D4"/>
    <w:rsid w:val="00336C7D"/>
    <w:rsid w:val="00336FD1"/>
    <w:rsid w:val="00337046"/>
    <w:rsid w:val="00337CA9"/>
    <w:rsid w:val="003403FB"/>
    <w:rsid w:val="00340869"/>
    <w:rsid w:val="00340B49"/>
    <w:rsid w:val="00341A30"/>
    <w:rsid w:val="00341C7C"/>
    <w:rsid w:val="00342A54"/>
    <w:rsid w:val="00342E6E"/>
    <w:rsid w:val="0034316F"/>
    <w:rsid w:val="00343F0C"/>
    <w:rsid w:val="00343F41"/>
    <w:rsid w:val="003443A9"/>
    <w:rsid w:val="003443B4"/>
    <w:rsid w:val="0034452A"/>
    <w:rsid w:val="00344FBD"/>
    <w:rsid w:val="0034562B"/>
    <w:rsid w:val="0034645B"/>
    <w:rsid w:val="00346707"/>
    <w:rsid w:val="00347189"/>
    <w:rsid w:val="003476ED"/>
    <w:rsid w:val="00347858"/>
    <w:rsid w:val="003500C3"/>
    <w:rsid w:val="0035043D"/>
    <w:rsid w:val="0035052A"/>
    <w:rsid w:val="00350880"/>
    <w:rsid w:val="00350CE7"/>
    <w:rsid w:val="00351321"/>
    <w:rsid w:val="00351969"/>
    <w:rsid w:val="00351FD3"/>
    <w:rsid w:val="003523E5"/>
    <w:rsid w:val="003524DB"/>
    <w:rsid w:val="00352F56"/>
    <w:rsid w:val="003531DF"/>
    <w:rsid w:val="00353214"/>
    <w:rsid w:val="00353219"/>
    <w:rsid w:val="003538E2"/>
    <w:rsid w:val="00353DB0"/>
    <w:rsid w:val="00354565"/>
    <w:rsid w:val="00354603"/>
    <w:rsid w:val="003562A6"/>
    <w:rsid w:val="00356368"/>
    <w:rsid w:val="003567F1"/>
    <w:rsid w:val="00356957"/>
    <w:rsid w:val="00356F98"/>
    <w:rsid w:val="003575BA"/>
    <w:rsid w:val="00360811"/>
    <w:rsid w:val="0036105C"/>
    <w:rsid w:val="00361E9A"/>
    <w:rsid w:val="0036393C"/>
    <w:rsid w:val="00366435"/>
    <w:rsid w:val="00366769"/>
    <w:rsid w:val="00366F30"/>
    <w:rsid w:val="003673E8"/>
    <w:rsid w:val="003675C3"/>
    <w:rsid w:val="00367E7B"/>
    <w:rsid w:val="003700EA"/>
    <w:rsid w:val="003705DE"/>
    <w:rsid w:val="0037090A"/>
    <w:rsid w:val="0037099F"/>
    <w:rsid w:val="00370A55"/>
    <w:rsid w:val="003712C9"/>
    <w:rsid w:val="003713AF"/>
    <w:rsid w:val="00371D38"/>
    <w:rsid w:val="003724EC"/>
    <w:rsid w:val="003731DC"/>
    <w:rsid w:val="0037452B"/>
    <w:rsid w:val="00374DE8"/>
    <w:rsid w:val="003755B3"/>
    <w:rsid w:val="00375F36"/>
    <w:rsid w:val="00376E5F"/>
    <w:rsid w:val="00376EDD"/>
    <w:rsid w:val="00377344"/>
    <w:rsid w:val="00377417"/>
    <w:rsid w:val="00377522"/>
    <w:rsid w:val="00377D00"/>
    <w:rsid w:val="00380B9F"/>
    <w:rsid w:val="003816CC"/>
    <w:rsid w:val="003818CA"/>
    <w:rsid w:val="00382053"/>
    <w:rsid w:val="003822EA"/>
    <w:rsid w:val="00382779"/>
    <w:rsid w:val="0038384B"/>
    <w:rsid w:val="00383C8A"/>
    <w:rsid w:val="00383EF2"/>
    <w:rsid w:val="003848C8"/>
    <w:rsid w:val="00384F3D"/>
    <w:rsid w:val="00385755"/>
    <w:rsid w:val="00386845"/>
    <w:rsid w:val="00386D5B"/>
    <w:rsid w:val="00387987"/>
    <w:rsid w:val="00387E7A"/>
    <w:rsid w:val="00390A9C"/>
    <w:rsid w:val="00390FE6"/>
    <w:rsid w:val="00391089"/>
    <w:rsid w:val="00391159"/>
    <w:rsid w:val="003916D6"/>
    <w:rsid w:val="00391769"/>
    <w:rsid w:val="00391EDE"/>
    <w:rsid w:val="003922B7"/>
    <w:rsid w:val="003948B6"/>
    <w:rsid w:val="00395AB4"/>
    <w:rsid w:val="00395D93"/>
    <w:rsid w:val="0039609D"/>
    <w:rsid w:val="00396F82"/>
    <w:rsid w:val="00397B4B"/>
    <w:rsid w:val="00397E43"/>
    <w:rsid w:val="003A1467"/>
    <w:rsid w:val="003A1C30"/>
    <w:rsid w:val="003A2F02"/>
    <w:rsid w:val="003A38B3"/>
    <w:rsid w:val="003A3BD2"/>
    <w:rsid w:val="003A3CE5"/>
    <w:rsid w:val="003A402A"/>
    <w:rsid w:val="003A47DD"/>
    <w:rsid w:val="003A4E70"/>
    <w:rsid w:val="003A5410"/>
    <w:rsid w:val="003A580E"/>
    <w:rsid w:val="003A5AD7"/>
    <w:rsid w:val="003A6317"/>
    <w:rsid w:val="003A6630"/>
    <w:rsid w:val="003A6980"/>
    <w:rsid w:val="003A78F8"/>
    <w:rsid w:val="003A7D15"/>
    <w:rsid w:val="003B0776"/>
    <w:rsid w:val="003B0D0C"/>
    <w:rsid w:val="003B1A31"/>
    <w:rsid w:val="003B2B34"/>
    <w:rsid w:val="003B3CF3"/>
    <w:rsid w:val="003B435F"/>
    <w:rsid w:val="003B4525"/>
    <w:rsid w:val="003B4A02"/>
    <w:rsid w:val="003B4E15"/>
    <w:rsid w:val="003B4E31"/>
    <w:rsid w:val="003B508D"/>
    <w:rsid w:val="003B563E"/>
    <w:rsid w:val="003B57B6"/>
    <w:rsid w:val="003B58A1"/>
    <w:rsid w:val="003B58F0"/>
    <w:rsid w:val="003B5D24"/>
    <w:rsid w:val="003B5FE5"/>
    <w:rsid w:val="003B6BEC"/>
    <w:rsid w:val="003B6C5D"/>
    <w:rsid w:val="003B709F"/>
    <w:rsid w:val="003B77F9"/>
    <w:rsid w:val="003B7CEA"/>
    <w:rsid w:val="003C0529"/>
    <w:rsid w:val="003C0E72"/>
    <w:rsid w:val="003C0ECB"/>
    <w:rsid w:val="003C125B"/>
    <w:rsid w:val="003C1A86"/>
    <w:rsid w:val="003C1AA0"/>
    <w:rsid w:val="003C1C78"/>
    <w:rsid w:val="003C221E"/>
    <w:rsid w:val="003C280E"/>
    <w:rsid w:val="003C28FD"/>
    <w:rsid w:val="003C2CD7"/>
    <w:rsid w:val="003C324F"/>
    <w:rsid w:val="003C3B0D"/>
    <w:rsid w:val="003C43CF"/>
    <w:rsid w:val="003C5CB8"/>
    <w:rsid w:val="003C5DF6"/>
    <w:rsid w:val="003C615C"/>
    <w:rsid w:val="003C617A"/>
    <w:rsid w:val="003C6686"/>
    <w:rsid w:val="003C68C6"/>
    <w:rsid w:val="003C7E32"/>
    <w:rsid w:val="003D032A"/>
    <w:rsid w:val="003D10A8"/>
    <w:rsid w:val="003D1AA6"/>
    <w:rsid w:val="003D27CC"/>
    <w:rsid w:val="003D2B2C"/>
    <w:rsid w:val="003D330D"/>
    <w:rsid w:val="003D39D7"/>
    <w:rsid w:val="003D4424"/>
    <w:rsid w:val="003D5719"/>
    <w:rsid w:val="003D5966"/>
    <w:rsid w:val="003D63BE"/>
    <w:rsid w:val="003D6BAE"/>
    <w:rsid w:val="003D7001"/>
    <w:rsid w:val="003D781C"/>
    <w:rsid w:val="003D7F2E"/>
    <w:rsid w:val="003E10D3"/>
    <w:rsid w:val="003E10FF"/>
    <w:rsid w:val="003E144F"/>
    <w:rsid w:val="003E24BE"/>
    <w:rsid w:val="003E2507"/>
    <w:rsid w:val="003E2918"/>
    <w:rsid w:val="003E2941"/>
    <w:rsid w:val="003E2D21"/>
    <w:rsid w:val="003E304B"/>
    <w:rsid w:val="003E30DB"/>
    <w:rsid w:val="003E4F35"/>
    <w:rsid w:val="003E5465"/>
    <w:rsid w:val="003E5B38"/>
    <w:rsid w:val="003E5B3A"/>
    <w:rsid w:val="003E6126"/>
    <w:rsid w:val="003E6839"/>
    <w:rsid w:val="003E6C63"/>
    <w:rsid w:val="003E6E23"/>
    <w:rsid w:val="003E7464"/>
    <w:rsid w:val="003E7AD0"/>
    <w:rsid w:val="003E7ED5"/>
    <w:rsid w:val="003F045A"/>
    <w:rsid w:val="003F0B10"/>
    <w:rsid w:val="003F0B7F"/>
    <w:rsid w:val="003F0CF0"/>
    <w:rsid w:val="003F0D0F"/>
    <w:rsid w:val="003F19C0"/>
    <w:rsid w:val="003F1A97"/>
    <w:rsid w:val="003F1D39"/>
    <w:rsid w:val="003F1D50"/>
    <w:rsid w:val="003F261E"/>
    <w:rsid w:val="003F2FCF"/>
    <w:rsid w:val="003F30C8"/>
    <w:rsid w:val="003F3891"/>
    <w:rsid w:val="003F3C64"/>
    <w:rsid w:val="003F4C36"/>
    <w:rsid w:val="003F4E87"/>
    <w:rsid w:val="003F5132"/>
    <w:rsid w:val="003F6186"/>
    <w:rsid w:val="003F65AB"/>
    <w:rsid w:val="003F6BE4"/>
    <w:rsid w:val="003F7209"/>
    <w:rsid w:val="003F7C62"/>
    <w:rsid w:val="004000B9"/>
    <w:rsid w:val="0040095A"/>
    <w:rsid w:val="00401ED7"/>
    <w:rsid w:val="0040254A"/>
    <w:rsid w:val="00402623"/>
    <w:rsid w:val="00403537"/>
    <w:rsid w:val="0040376B"/>
    <w:rsid w:val="00404B6B"/>
    <w:rsid w:val="00404EEB"/>
    <w:rsid w:val="00406A13"/>
    <w:rsid w:val="00406E1B"/>
    <w:rsid w:val="00407177"/>
    <w:rsid w:val="00410905"/>
    <w:rsid w:val="0041137A"/>
    <w:rsid w:val="004126C7"/>
    <w:rsid w:val="00413002"/>
    <w:rsid w:val="00413193"/>
    <w:rsid w:val="00413A4B"/>
    <w:rsid w:val="004140C1"/>
    <w:rsid w:val="004144B0"/>
    <w:rsid w:val="00414B6D"/>
    <w:rsid w:val="00414FD6"/>
    <w:rsid w:val="004153A0"/>
    <w:rsid w:val="0041572C"/>
    <w:rsid w:val="00415ED5"/>
    <w:rsid w:val="00416106"/>
    <w:rsid w:val="00416596"/>
    <w:rsid w:val="00417503"/>
    <w:rsid w:val="004204F2"/>
    <w:rsid w:val="00420A47"/>
    <w:rsid w:val="00420D63"/>
    <w:rsid w:val="00420FB8"/>
    <w:rsid w:val="004211E1"/>
    <w:rsid w:val="0042197E"/>
    <w:rsid w:val="00421B24"/>
    <w:rsid w:val="0042258E"/>
    <w:rsid w:val="00422E88"/>
    <w:rsid w:val="00423AFD"/>
    <w:rsid w:val="00424817"/>
    <w:rsid w:val="00424CF3"/>
    <w:rsid w:val="004250D7"/>
    <w:rsid w:val="004250EA"/>
    <w:rsid w:val="00425A7A"/>
    <w:rsid w:val="00425CE0"/>
    <w:rsid w:val="00425E63"/>
    <w:rsid w:val="00426729"/>
    <w:rsid w:val="00426C68"/>
    <w:rsid w:val="0042725D"/>
    <w:rsid w:val="004277E1"/>
    <w:rsid w:val="00427A89"/>
    <w:rsid w:val="00427C97"/>
    <w:rsid w:val="004306CC"/>
    <w:rsid w:val="004309A5"/>
    <w:rsid w:val="00430D8E"/>
    <w:rsid w:val="0043110E"/>
    <w:rsid w:val="0043217A"/>
    <w:rsid w:val="00432695"/>
    <w:rsid w:val="00432889"/>
    <w:rsid w:val="00432A22"/>
    <w:rsid w:val="00432DDA"/>
    <w:rsid w:val="00432F9A"/>
    <w:rsid w:val="004332CA"/>
    <w:rsid w:val="00433C90"/>
    <w:rsid w:val="004341F0"/>
    <w:rsid w:val="0043459F"/>
    <w:rsid w:val="00434A61"/>
    <w:rsid w:val="00434D32"/>
    <w:rsid w:val="0043586D"/>
    <w:rsid w:val="00435AC1"/>
    <w:rsid w:val="00435D27"/>
    <w:rsid w:val="00436328"/>
    <w:rsid w:val="00436AF1"/>
    <w:rsid w:val="00436CF4"/>
    <w:rsid w:val="00437FE6"/>
    <w:rsid w:val="0044009A"/>
    <w:rsid w:val="00440124"/>
    <w:rsid w:val="00440382"/>
    <w:rsid w:val="00440995"/>
    <w:rsid w:val="00440FA4"/>
    <w:rsid w:val="00442DF6"/>
    <w:rsid w:val="00444288"/>
    <w:rsid w:val="004444E1"/>
    <w:rsid w:val="004452EC"/>
    <w:rsid w:val="0044551B"/>
    <w:rsid w:val="00445BD4"/>
    <w:rsid w:val="00445C7E"/>
    <w:rsid w:val="0044651B"/>
    <w:rsid w:val="004467FE"/>
    <w:rsid w:val="00446E95"/>
    <w:rsid w:val="00446FA3"/>
    <w:rsid w:val="00447D23"/>
    <w:rsid w:val="0045029C"/>
    <w:rsid w:val="00450BB4"/>
    <w:rsid w:val="00451D0D"/>
    <w:rsid w:val="00452346"/>
    <w:rsid w:val="004527CC"/>
    <w:rsid w:val="004531FC"/>
    <w:rsid w:val="00453393"/>
    <w:rsid w:val="00453844"/>
    <w:rsid w:val="00455220"/>
    <w:rsid w:val="004555B4"/>
    <w:rsid w:val="0045580C"/>
    <w:rsid w:val="00455B96"/>
    <w:rsid w:val="0045669C"/>
    <w:rsid w:val="00456EB1"/>
    <w:rsid w:val="00456F36"/>
    <w:rsid w:val="00457095"/>
    <w:rsid w:val="0045738E"/>
    <w:rsid w:val="00457668"/>
    <w:rsid w:val="00457FE3"/>
    <w:rsid w:val="0046037D"/>
    <w:rsid w:val="00460D4A"/>
    <w:rsid w:val="004610F3"/>
    <w:rsid w:val="004618C3"/>
    <w:rsid w:val="00461922"/>
    <w:rsid w:val="00461B6A"/>
    <w:rsid w:val="00461DBD"/>
    <w:rsid w:val="004629EE"/>
    <w:rsid w:val="00462C0A"/>
    <w:rsid w:val="0046312D"/>
    <w:rsid w:val="00463677"/>
    <w:rsid w:val="00463FA1"/>
    <w:rsid w:val="0046560B"/>
    <w:rsid w:val="00466BDF"/>
    <w:rsid w:val="00467210"/>
    <w:rsid w:val="00467DD1"/>
    <w:rsid w:val="0047057A"/>
    <w:rsid w:val="0047175C"/>
    <w:rsid w:val="0047211E"/>
    <w:rsid w:val="0047287F"/>
    <w:rsid w:val="004729C5"/>
    <w:rsid w:val="004730B5"/>
    <w:rsid w:val="004732C5"/>
    <w:rsid w:val="00473663"/>
    <w:rsid w:val="00473E60"/>
    <w:rsid w:val="00474A10"/>
    <w:rsid w:val="00474FAF"/>
    <w:rsid w:val="0047517E"/>
    <w:rsid w:val="00475756"/>
    <w:rsid w:val="00475A26"/>
    <w:rsid w:val="00475E61"/>
    <w:rsid w:val="00476C5E"/>
    <w:rsid w:val="00476C8A"/>
    <w:rsid w:val="00477142"/>
    <w:rsid w:val="00477173"/>
    <w:rsid w:val="0047747D"/>
    <w:rsid w:val="00480323"/>
    <w:rsid w:val="00480479"/>
    <w:rsid w:val="00480CB1"/>
    <w:rsid w:val="004813A1"/>
    <w:rsid w:val="00481B69"/>
    <w:rsid w:val="00482A1A"/>
    <w:rsid w:val="0048380D"/>
    <w:rsid w:val="00483E1C"/>
    <w:rsid w:val="00484432"/>
    <w:rsid w:val="0048577A"/>
    <w:rsid w:val="00485E37"/>
    <w:rsid w:val="004862E4"/>
    <w:rsid w:val="00486443"/>
    <w:rsid w:val="00486670"/>
    <w:rsid w:val="00486A07"/>
    <w:rsid w:val="00486C58"/>
    <w:rsid w:val="00487353"/>
    <w:rsid w:val="0048749A"/>
    <w:rsid w:val="004878BD"/>
    <w:rsid w:val="004879C4"/>
    <w:rsid w:val="004912A9"/>
    <w:rsid w:val="00491D6F"/>
    <w:rsid w:val="004922C1"/>
    <w:rsid w:val="004940FC"/>
    <w:rsid w:val="00494A1F"/>
    <w:rsid w:val="00495401"/>
    <w:rsid w:val="00495709"/>
    <w:rsid w:val="004959E1"/>
    <w:rsid w:val="00495DBF"/>
    <w:rsid w:val="0049602B"/>
    <w:rsid w:val="0049632D"/>
    <w:rsid w:val="004966A5"/>
    <w:rsid w:val="00496CD9"/>
    <w:rsid w:val="0049760A"/>
    <w:rsid w:val="004A024A"/>
    <w:rsid w:val="004A027E"/>
    <w:rsid w:val="004A03F3"/>
    <w:rsid w:val="004A0516"/>
    <w:rsid w:val="004A09AE"/>
    <w:rsid w:val="004A0E4A"/>
    <w:rsid w:val="004A1754"/>
    <w:rsid w:val="004A1CA9"/>
    <w:rsid w:val="004A2902"/>
    <w:rsid w:val="004A301B"/>
    <w:rsid w:val="004A31F7"/>
    <w:rsid w:val="004A33F4"/>
    <w:rsid w:val="004A3C54"/>
    <w:rsid w:val="004A3D17"/>
    <w:rsid w:val="004A42F5"/>
    <w:rsid w:val="004A532A"/>
    <w:rsid w:val="004A5E2C"/>
    <w:rsid w:val="004A5F97"/>
    <w:rsid w:val="004A652C"/>
    <w:rsid w:val="004A6F79"/>
    <w:rsid w:val="004A71CB"/>
    <w:rsid w:val="004A71EE"/>
    <w:rsid w:val="004A72A5"/>
    <w:rsid w:val="004A7894"/>
    <w:rsid w:val="004A7C09"/>
    <w:rsid w:val="004A7D5B"/>
    <w:rsid w:val="004B0EB3"/>
    <w:rsid w:val="004B1582"/>
    <w:rsid w:val="004B1B67"/>
    <w:rsid w:val="004B2E0F"/>
    <w:rsid w:val="004B399F"/>
    <w:rsid w:val="004B39D3"/>
    <w:rsid w:val="004B3A5C"/>
    <w:rsid w:val="004B3F63"/>
    <w:rsid w:val="004B4BDC"/>
    <w:rsid w:val="004B58A6"/>
    <w:rsid w:val="004B59EF"/>
    <w:rsid w:val="004B5A98"/>
    <w:rsid w:val="004B5AAC"/>
    <w:rsid w:val="004B5BA7"/>
    <w:rsid w:val="004B5F41"/>
    <w:rsid w:val="004B7C5B"/>
    <w:rsid w:val="004C1CE0"/>
    <w:rsid w:val="004C1FC4"/>
    <w:rsid w:val="004C20D6"/>
    <w:rsid w:val="004C2969"/>
    <w:rsid w:val="004C3465"/>
    <w:rsid w:val="004C4438"/>
    <w:rsid w:val="004C4E13"/>
    <w:rsid w:val="004C57E9"/>
    <w:rsid w:val="004C58CA"/>
    <w:rsid w:val="004C5BE4"/>
    <w:rsid w:val="004C5D1B"/>
    <w:rsid w:val="004C5D71"/>
    <w:rsid w:val="004C741E"/>
    <w:rsid w:val="004D03E2"/>
    <w:rsid w:val="004D0668"/>
    <w:rsid w:val="004D0AEA"/>
    <w:rsid w:val="004D1AF0"/>
    <w:rsid w:val="004D1B2F"/>
    <w:rsid w:val="004D1D64"/>
    <w:rsid w:val="004D1E3E"/>
    <w:rsid w:val="004D265E"/>
    <w:rsid w:val="004D2D58"/>
    <w:rsid w:val="004D3936"/>
    <w:rsid w:val="004D3AFF"/>
    <w:rsid w:val="004D3BF5"/>
    <w:rsid w:val="004D3DC8"/>
    <w:rsid w:val="004D4377"/>
    <w:rsid w:val="004D46C4"/>
    <w:rsid w:val="004D488C"/>
    <w:rsid w:val="004D4AA3"/>
    <w:rsid w:val="004D4C37"/>
    <w:rsid w:val="004D513A"/>
    <w:rsid w:val="004D5E3A"/>
    <w:rsid w:val="004D65CB"/>
    <w:rsid w:val="004D66C8"/>
    <w:rsid w:val="004D68DF"/>
    <w:rsid w:val="004D6FB4"/>
    <w:rsid w:val="004D7607"/>
    <w:rsid w:val="004D7796"/>
    <w:rsid w:val="004D7F39"/>
    <w:rsid w:val="004E05FB"/>
    <w:rsid w:val="004E0A4D"/>
    <w:rsid w:val="004E1E24"/>
    <w:rsid w:val="004E1EC0"/>
    <w:rsid w:val="004E1EE4"/>
    <w:rsid w:val="004E22B8"/>
    <w:rsid w:val="004E2F73"/>
    <w:rsid w:val="004E2FB2"/>
    <w:rsid w:val="004E327D"/>
    <w:rsid w:val="004E3767"/>
    <w:rsid w:val="004E3D7E"/>
    <w:rsid w:val="004E4554"/>
    <w:rsid w:val="004E4965"/>
    <w:rsid w:val="004E4ACC"/>
    <w:rsid w:val="004E4AD4"/>
    <w:rsid w:val="004E4D5B"/>
    <w:rsid w:val="004E5DC0"/>
    <w:rsid w:val="004E5FAB"/>
    <w:rsid w:val="004E60AC"/>
    <w:rsid w:val="004E61E5"/>
    <w:rsid w:val="004E62B5"/>
    <w:rsid w:val="004E6727"/>
    <w:rsid w:val="004E7772"/>
    <w:rsid w:val="004E789C"/>
    <w:rsid w:val="004E7A63"/>
    <w:rsid w:val="004F0057"/>
    <w:rsid w:val="004F03E5"/>
    <w:rsid w:val="004F04B5"/>
    <w:rsid w:val="004F0725"/>
    <w:rsid w:val="004F0DAE"/>
    <w:rsid w:val="004F0F3A"/>
    <w:rsid w:val="004F11D2"/>
    <w:rsid w:val="004F27F8"/>
    <w:rsid w:val="004F281C"/>
    <w:rsid w:val="004F29E9"/>
    <w:rsid w:val="004F3234"/>
    <w:rsid w:val="004F41C6"/>
    <w:rsid w:val="004F5623"/>
    <w:rsid w:val="004F63AB"/>
    <w:rsid w:val="004F66F3"/>
    <w:rsid w:val="004F737C"/>
    <w:rsid w:val="004F7882"/>
    <w:rsid w:val="004F79BF"/>
    <w:rsid w:val="004F79E1"/>
    <w:rsid w:val="004F7A38"/>
    <w:rsid w:val="00500E9C"/>
    <w:rsid w:val="0050102E"/>
    <w:rsid w:val="0050185B"/>
    <w:rsid w:val="00503356"/>
    <w:rsid w:val="0050367A"/>
    <w:rsid w:val="0050368A"/>
    <w:rsid w:val="005043A6"/>
    <w:rsid w:val="00504E33"/>
    <w:rsid w:val="005059DD"/>
    <w:rsid w:val="00505B78"/>
    <w:rsid w:val="00505D30"/>
    <w:rsid w:val="00505DE4"/>
    <w:rsid w:val="00506996"/>
    <w:rsid w:val="005069A3"/>
    <w:rsid w:val="0050711F"/>
    <w:rsid w:val="00507990"/>
    <w:rsid w:val="005079D4"/>
    <w:rsid w:val="00507A78"/>
    <w:rsid w:val="00507E74"/>
    <w:rsid w:val="00511180"/>
    <w:rsid w:val="005112A3"/>
    <w:rsid w:val="00511F1A"/>
    <w:rsid w:val="0051213C"/>
    <w:rsid w:val="0051269E"/>
    <w:rsid w:val="0051312F"/>
    <w:rsid w:val="005132AA"/>
    <w:rsid w:val="005134AA"/>
    <w:rsid w:val="0051376E"/>
    <w:rsid w:val="005137FC"/>
    <w:rsid w:val="00513999"/>
    <w:rsid w:val="005140BD"/>
    <w:rsid w:val="005146A4"/>
    <w:rsid w:val="005156C2"/>
    <w:rsid w:val="00516107"/>
    <w:rsid w:val="0051661C"/>
    <w:rsid w:val="0051771F"/>
    <w:rsid w:val="005178CD"/>
    <w:rsid w:val="00517ADD"/>
    <w:rsid w:val="00517D49"/>
    <w:rsid w:val="00520127"/>
    <w:rsid w:val="00520A0A"/>
    <w:rsid w:val="00520A40"/>
    <w:rsid w:val="00520DD9"/>
    <w:rsid w:val="00521647"/>
    <w:rsid w:val="00521FAF"/>
    <w:rsid w:val="005223C2"/>
    <w:rsid w:val="005224B0"/>
    <w:rsid w:val="00522B89"/>
    <w:rsid w:val="00522EBB"/>
    <w:rsid w:val="005230C9"/>
    <w:rsid w:val="00524361"/>
    <w:rsid w:val="005245F5"/>
    <w:rsid w:val="005248C5"/>
    <w:rsid w:val="00525701"/>
    <w:rsid w:val="00525ADD"/>
    <w:rsid w:val="00525AF4"/>
    <w:rsid w:val="00526AF4"/>
    <w:rsid w:val="005274AD"/>
    <w:rsid w:val="00527882"/>
    <w:rsid w:val="00527DC2"/>
    <w:rsid w:val="00530692"/>
    <w:rsid w:val="00530D5B"/>
    <w:rsid w:val="005313CC"/>
    <w:rsid w:val="005316F0"/>
    <w:rsid w:val="00531766"/>
    <w:rsid w:val="00531882"/>
    <w:rsid w:val="00532054"/>
    <w:rsid w:val="00532F44"/>
    <w:rsid w:val="00533675"/>
    <w:rsid w:val="005342E2"/>
    <w:rsid w:val="005348CB"/>
    <w:rsid w:val="005353B5"/>
    <w:rsid w:val="00536183"/>
    <w:rsid w:val="005370F9"/>
    <w:rsid w:val="0053717E"/>
    <w:rsid w:val="005376B1"/>
    <w:rsid w:val="005377F8"/>
    <w:rsid w:val="00537CBA"/>
    <w:rsid w:val="005403ED"/>
    <w:rsid w:val="00540A7A"/>
    <w:rsid w:val="00540EC4"/>
    <w:rsid w:val="00540FA6"/>
    <w:rsid w:val="005414E8"/>
    <w:rsid w:val="0054158D"/>
    <w:rsid w:val="00541FB0"/>
    <w:rsid w:val="00542024"/>
    <w:rsid w:val="00542749"/>
    <w:rsid w:val="005433C6"/>
    <w:rsid w:val="00543FDF"/>
    <w:rsid w:val="005449C2"/>
    <w:rsid w:val="00545614"/>
    <w:rsid w:val="00546EEE"/>
    <w:rsid w:val="00546F0F"/>
    <w:rsid w:val="00546F8F"/>
    <w:rsid w:val="00546FB9"/>
    <w:rsid w:val="00547668"/>
    <w:rsid w:val="00547D40"/>
    <w:rsid w:val="00547F39"/>
    <w:rsid w:val="00551B43"/>
    <w:rsid w:val="005521E2"/>
    <w:rsid w:val="00552430"/>
    <w:rsid w:val="0055320A"/>
    <w:rsid w:val="00553A97"/>
    <w:rsid w:val="00553B45"/>
    <w:rsid w:val="00553C68"/>
    <w:rsid w:val="00554D5A"/>
    <w:rsid w:val="00554DAE"/>
    <w:rsid w:val="00554E55"/>
    <w:rsid w:val="0055529D"/>
    <w:rsid w:val="005555CD"/>
    <w:rsid w:val="00555779"/>
    <w:rsid w:val="00555C0A"/>
    <w:rsid w:val="00556264"/>
    <w:rsid w:val="00556DB2"/>
    <w:rsid w:val="00556EE3"/>
    <w:rsid w:val="005606BD"/>
    <w:rsid w:val="00560A61"/>
    <w:rsid w:val="00560B4D"/>
    <w:rsid w:val="00561593"/>
    <w:rsid w:val="00561AD0"/>
    <w:rsid w:val="00561D1E"/>
    <w:rsid w:val="0056206A"/>
    <w:rsid w:val="005621C1"/>
    <w:rsid w:val="005629F2"/>
    <w:rsid w:val="00562CEB"/>
    <w:rsid w:val="0056424A"/>
    <w:rsid w:val="00565003"/>
    <w:rsid w:val="00565074"/>
    <w:rsid w:val="005653F7"/>
    <w:rsid w:val="00565765"/>
    <w:rsid w:val="00565B7D"/>
    <w:rsid w:val="005660E8"/>
    <w:rsid w:val="00566630"/>
    <w:rsid w:val="00566D45"/>
    <w:rsid w:val="005672A9"/>
    <w:rsid w:val="005676FF"/>
    <w:rsid w:val="00570342"/>
    <w:rsid w:val="005710C9"/>
    <w:rsid w:val="00571133"/>
    <w:rsid w:val="005715BA"/>
    <w:rsid w:val="005723BD"/>
    <w:rsid w:val="005726A5"/>
    <w:rsid w:val="00574184"/>
    <w:rsid w:val="005741BF"/>
    <w:rsid w:val="005747E0"/>
    <w:rsid w:val="0057525A"/>
    <w:rsid w:val="00575BAC"/>
    <w:rsid w:val="00576241"/>
    <w:rsid w:val="0057743E"/>
    <w:rsid w:val="00580218"/>
    <w:rsid w:val="00580564"/>
    <w:rsid w:val="00580891"/>
    <w:rsid w:val="00581976"/>
    <w:rsid w:val="00581C2D"/>
    <w:rsid w:val="00582058"/>
    <w:rsid w:val="00582EBB"/>
    <w:rsid w:val="0058360E"/>
    <w:rsid w:val="00583D68"/>
    <w:rsid w:val="00584CF5"/>
    <w:rsid w:val="00584F3F"/>
    <w:rsid w:val="005852A6"/>
    <w:rsid w:val="00585D61"/>
    <w:rsid w:val="00586B2D"/>
    <w:rsid w:val="005904B9"/>
    <w:rsid w:val="00590539"/>
    <w:rsid w:val="005905AD"/>
    <w:rsid w:val="00590814"/>
    <w:rsid w:val="00590F9A"/>
    <w:rsid w:val="005912FA"/>
    <w:rsid w:val="00591583"/>
    <w:rsid w:val="00591EF9"/>
    <w:rsid w:val="00592051"/>
    <w:rsid w:val="00592CAD"/>
    <w:rsid w:val="00592E37"/>
    <w:rsid w:val="00592E69"/>
    <w:rsid w:val="0059308A"/>
    <w:rsid w:val="00593262"/>
    <w:rsid w:val="00593FE7"/>
    <w:rsid w:val="0059459C"/>
    <w:rsid w:val="00594AAE"/>
    <w:rsid w:val="00595C67"/>
    <w:rsid w:val="0059629B"/>
    <w:rsid w:val="0059791F"/>
    <w:rsid w:val="00597AEF"/>
    <w:rsid w:val="00597C06"/>
    <w:rsid w:val="005A03D7"/>
    <w:rsid w:val="005A04F5"/>
    <w:rsid w:val="005A098F"/>
    <w:rsid w:val="005A1337"/>
    <w:rsid w:val="005A136C"/>
    <w:rsid w:val="005A1764"/>
    <w:rsid w:val="005A19C7"/>
    <w:rsid w:val="005A1C52"/>
    <w:rsid w:val="005A217E"/>
    <w:rsid w:val="005A2455"/>
    <w:rsid w:val="005A2973"/>
    <w:rsid w:val="005A2E31"/>
    <w:rsid w:val="005A34F3"/>
    <w:rsid w:val="005A3B18"/>
    <w:rsid w:val="005A3DC7"/>
    <w:rsid w:val="005A569B"/>
    <w:rsid w:val="005A5CF9"/>
    <w:rsid w:val="005A70F1"/>
    <w:rsid w:val="005A73F5"/>
    <w:rsid w:val="005A7C76"/>
    <w:rsid w:val="005A7E30"/>
    <w:rsid w:val="005B085C"/>
    <w:rsid w:val="005B0DFF"/>
    <w:rsid w:val="005B140E"/>
    <w:rsid w:val="005B17FA"/>
    <w:rsid w:val="005B182C"/>
    <w:rsid w:val="005B1D64"/>
    <w:rsid w:val="005B200C"/>
    <w:rsid w:val="005B20BB"/>
    <w:rsid w:val="005B24D3"/>
    <w:rsid w:val="005B25F6"/>
    <w:rsid w:val="005B2F5D"/>
    <w:rsid w:val="005B391F"/>
    <w:rsid w:val="005B39BB"/>
    <w:rsid w:val="005B41DD"/>
    <w:rsid w:val="005B4370"/>
    <w:rsid w:val="005B440E"/>
    <w:rsid w:val="005B446D"/>
    <w:rsid w:val="005B4594"/>
    <w:rsid w:val="005B473D"/>
    <w:rsid w:val="005B4F1C"/>
    <w:rsid w:val="005B55A2"/>
    <w:rsid w:val="005B69CD"/>
    <w:rsid w:val="005B6A48"/>
    <w:rsid w:val="005B6E4C"/>
    <w:rsid w:val="005B70EA"/>
    <w:rsid w:val="005B7112"/>
    <w:rsid w:val="005B7553"/>
    <w:rsid w:val="005B7568"/>
    <w:rsid w:val="005B78FB"/>
    <w:rsid w:val="005B7D17"/>
    <w:rsid w:val="005B7E47"/>
    <w:rsid w:val="005C03DB"/>
    <w:rsid w:val="005C05D7"/>
    <w:rsid w:val="005C0D21"/>
    <w:rsid w:val="005C10FA"/>
    <w:rsid w:val="005C1143"/>
    <w:rsid w:val="005C137E"/>
    <w:rsid w:val="005C159D"/>
    <w:rsid w:val="005C1B81"/>
    <w:rsid w:val="005C2789"/>
    <w:rsid w:val="005C3ECC"/>
    <w:rsid w:val="005C47B3"/>
    <w:rsid w:val="005C4876"/>
    <w:rsid w:val="005C5889"/>
    <w:rsid w:val="005C5DC7"/>
    <w:rsid w:val="005C5EC7"/>
    <w:rsid w:val="005C64B3"/>
    <w:rsid w:val="005C658E"/>
    <w:rsid w:val="005C6998"/>
    <w:rsid w:val="005C6D68"/>
    <w:rsid w:val="005C6E1F"/>
    <w:rsid w:val="005C738B"/>
    <w:rsid w:val="005C7519"/>
    <w:rsid w:val="005C7732"/>
    <w:rsid w:val="005C7FF6"/>
    <w:rsid w:val="005C7FF8"/>
    <w:rsid w:val="005D047E"/>
    <w:rsid w:val="005D07B3"/>
    <w:rsid w:val="005D0AE7"/>
    <w:rsid w:val="005D0B35"/>
    <w:rsid w:val="005D0BE3"/>
    <w:rsid w:val="005D0D04"/>
    <w:rsid w:val="005D0D89"/>
    <w:rsid w:val="005D2120"/>
    <w:rsid w:val="005D330C"/>
    <w:rsid w:val="005D402D"/>
    <w:rsid w:val="005D4C38"/>
    <w:rsid w:val="005D5650"/>
    <w:rsid w:val="005D6210"/>
    <w:rsid w:val="005D62A6"/>
    <w:rsid w:val="005D6417"/>
    <w:rsid w:val="005D68D7"/>
    <w:rsid w:val="005D6CA0"/>
    <w:rsid w:val="005D7690"/>
    <w:rsid w:val="005D7A4B"/>
    <w:rsid w:val="005E018A"/>
    <w:rsid w:val="005E0A12"/>
    <w:rsid w:val="005E0C1F"/>
    <w:rsid w:val="005E1031"/>
    <w:rsid w:val="005E1422"/>
    <w:rsid w:val="005E21A1"/>
    <w:rsid w:val="005E319D"/>
    <w:rsid w:val="005E3263"/>
    <w:rsid w:val="005E3653"/>
    <w:rsid w:val="005E3D63"/>
    <w:rsid w:val="005E56FB"/>
    <w:rsid w:val="005E5B19"/>
    <w:rsid w:val="005E5C9C"/>
    <w:rsid w:val="005E6609"/>
    <w:rsid w:val="005E692C"/>
    <w:rsid w:val="005E6D52"/>
    <w:rsid w:val="005E7093"/>
    <w:rsid w:val="005E786C"/>
    <w:rsid w:val="005E7DDA"/>
    <w:rsid w:val="005F0663"/>
    <w:rsid w:val="005F0D0D"/>
    <w:rsid w:val="005F1181"/>
    <w:rsid w:val="005F1765"/>
    <w:rsid w:val="005F1A00"/>
    <w:rsid w:val="005F1ED8"/>
    <w:rsid w:val="005F1FE1"/>
    <w:rsid w:val="005F2D1A"/>
    <w:rsid w:val="005F2FF6"/>
    <w:rsid w:val="005F3064"/>
    <w:rsid w:val="005F31EB"/>
    <w:rsid w:val="005F326C"/>
    <w:rsid w:val="005F34B0"/>
    <w:rsid w:val="005F3AA9"/>
    <w:rsid w:val="005F3E41"/>
    <w:rsid w:val="005F4396"/>
    <w:rsid w:val="005F5414"/>
    <w:rsid w:val="005F54CB"/>
    <w:rsid w:val="005F5D77"/>
    <w:rsid w:val="005F63CA"/>
    <w:rsid w:val="005F6475"/>
    <w:rsid w:val="005F6854"/>
    <w:rsid w:val="005F70E3"/>
    <w:rsid w:val="005F7100"/>
    <w:rsid w:val="006006AF"/>
    <w:rsid w:val="00600D17"/>
    <w:rsid w:val="00600E77"/>
    <w:rsid w:val="006010DE"/>
    <w:rsid w:val="006010F5"/>
    <w:rsid w:val="0060141B"/>
    <w:rsid w:val="00601AD1"/>
    <w:rsid w:val="00601B9C"/>
    <w:rsid w:val="00602F5F"/>
    <w:rsid w:val="00603B05"/>
    <w:rsid w:val="006040C3"/>
    <w:rsid w:val="0060413D"/>
    <w:rsid w:val="006044CD"/>
    <w:rsid w:val="00604A59"/>
    <w:rsid w:val="00606C90"/>
    <w:rsid w:val="006074C7"/>
    <w:rsid w:val="00607728"/>
    <w:rsid w:val="00607743"/>
    <w:rsid w:val="006078B3"/>
    <w:rsid w:val="0061033F"/>
    <w:rsid w:val="006103A5"/>
    <w:rsid w:val="00610941"/>
    <w:rsid w:val="00610B36"/>
    <w:rsid w:val="006110CA"/>
    <w:rsid w:val="00611B86"/>
    <w:rsid w:val="00611F19"/>
    <w:rsid w:val="00613C61"/>
    <w:rsid w:val="00613DE7"/>
    <w:rsid w:val="00614159"/>
    <w:rsid w:val="006146DE"/>
    <w:rsid w:val="00614781"/>
    <w:rsid w:val="00616468"/>
    <w:rsid w:val="00616BFC"/>
    <w:rsid w:val="00617650"/>
    <w:rsid w:val="00617D99"/>
    <w:rsid w:val="006203EF"/>
    <w:rsid w:val="006217A9"/>
    <w:rsid w:val="00621923"/>
    <w:rsid w:val="00621D43"/>
    <w:rsid w:val="00621E05"/>
    <w:rsid w:val="00622332"/>
    <w:rsid w:val="0062343E"/>
    <w:rsid w:val="0062347A"/>
    <w:rsid w:val="0062406A"/>
    <w:rsid w:val="00624242"/>
    <w:rsid w:val="00624780"/>
    <w:rsid w:val="006247B0"/>
    <w:rsid w:val="00624899"/>
    <w:rsid w:val="006251E2"/>
    <w:rsid w:val="006253BA"/>
    <w:rsid w:val="006258C8"/>
    <w:rsid w:val="006259E3"/>
    <w:rsid w:val="00625D6B"/>
    <w:rsid w:val="00626021"/>
    <w:rsid w:val="006260C6"/>
    <w:rsid w:val="00626524"/>
    <w:rsid w:val="00626B03"/>
    <w:rsid w:val="00626E3D"/>
    <w:rsid w:val="00627275"/>
    <w:rsid w:val="00627CA6"/>
    <w:rsid w:val="0063027C"/>
    <w:rsid w:val="0063045E"/>
    <w:rsid w:val="00630610"/>
    <w:rsid w:val="00630E75"/>
    <w:rsid w:val="00631C6D"/>
    <w:rsid w:val="00631D12"/>
    <w:rsid w:val="00631FD1"/>
    <w:rsid w:val="006320F6"/>
    <w:rsid w:val="0063296C"/>
    <w:rsid w:val="006331BE"/>
    <w:rsid w:val="00633271"/>
    <w:rsid w:val="0063372A"/>
    <w:rsid w:val="00633A68"/>
    <w:rsid w:val="00634DA4"/>
    <w:rsid w:val="00634DBD"/>
    <w:rsid w:val="006359AF"/>
    <w:rsid w:val="00636280"/>
    <w:rsid w:val="0063647F"/>
    <w:rsid w:val="006365E9"/>
    <w:rsid w:val="00636E47"/>
    <w:rsid w:val="00637098"/>
    <w:rsid w:val="00637537"/>
    <w:rsid w:val="006376C7"/>
    <w:rsid w:val="00637F94"/>
    <w:rsid w:val="006402C6"/>
    <w:rsid w:val="00640B36"/>
    <w:rsid w:val="006411E2"/>
    <w:rsid w:val="006419B7"/>
    <w:rsid w:val="006427CA"/>
    <w:rsid w:val="00642CAD"/>
    <w:rsid w:val="00643016"/>
    <w:rsid w:val="006434F6"/>
    <w:rsid w:val="00643AB1"/>
    <w:rsid w:val="006443C0"/>
    <w:rsid w:val="00644827"/>
    <w:rsid w:val="00645483"/>
    <w:rsid w:val="00647039"/>
    <w:rsid w:val="00650104"/>
    <w:rsid w:val="006507BD"/>
    <w:rsid w:val="00650836"/>
    <w:rsid w:val="00650AF1"/>
    <w:rsid w:val="00651DD4"/>
    <w:rsid w:val="0065286B"/>
    <w:rsid w:val="0065332A"/>
    <w:rsid w:val="00653E3F"/>
    <w:rsid w:val="00653E71"/>
    <w:rsid w:val="00655183"/>
    <w:rsid w:val="0065535A"/>
    <w:rsid w:val="006556A3"/>
    <w:rsid w:val="00655CB4"/>
    <w:rsid w:val="00655FAE"/>
    <w:rsid w:val="0065613D"/>
    <w:rsid w:val="00656490"/>
    <w:rsid w:val="0065683E"/>
    <w:rsid w:val="00656A54"/>
    <w:rsid w:val="00656C5E"/>
    <w:rsid w:val="00656CAC"/>
    <w:rsid w:val="00656E9C"/>
    <w:rsid w:val="00657047"/>
    <w:rsid w:val="00657A26"/>
    <w:rsid w:val="00657F87"/>
    <w:rsid w:val="00660681"/>
    <w:rsid w:val="00660A1A"/>
    <w:rsid w:val="00661EF8"/>
    <w:rsid w:val="00663746"/>
    <w:rsid w:val="00663894"/>
    <w:rsid w:val="00664A67"/>
    <w:rsid w:val="00664EC4"/>
    <w:rsid w:val="00664F26"/>
    <w:rsid w:val="006650A8"/>
    <w:rsid w:val="00666C16"/>
    <w:rsid w:val="00666F41"/>
    <w:rsid w:val="00666FEB"/>
    <w:rsid w:val="006675EE"/>
    <w:rsid w:val="00667E91"/>
    <w:rsid w:val="00670C81"/>
    <w:rsid w:val="00671D5C"/>
    <w:rsid w:val="00672456"/>
    <w:rsid w:val="00672A9F"/>
    <w:rsid w:val="00672D17"/>
    <w:rsid w:val="00672DCA"/>
    <w:rsid w:val="00673267"/>
    <w:rsid w:val="006738C0"/>
    <w:rsid w:val="00673E9A"/>
    <w:rsid w:val="00673EEA"/>
    <w:rsid w:val="006745CD"/>
    <w:rsid w:val="006750DB"/>
    <w:rsid w:val="006753B2"/>
    <w:rsid w:val="00675416"/>
    <w:rsid w:val="00675653"/>
    <w:rsid w:val="0067570B"/>
    <w:rsid w:val="0067770C"/>
    <w:rsid w:val="00677BFF"/>
    <w:rsid w:val="00677D98"/>
    <w:rsid w:val="00677E9E"/>
    <w:rsid w:val="00677FC2"/>
    <w:rsid w:val="00680079"/>
    <w:rsid w:val="006806D0"/>
    <w:rsid w:val="00680767"/>
    <w:rsid w:val="00680A42"/>
    <w:rsid w:val="00681642"/>
    <w:rsid w:val="00681922"/>
    <w:rsid w:val="00681E59"/>
    <w:rsid w:val="0068237B"/>
    <w:rsid w:val="006830EB"/>
    <w:rsid w:val="00683A97"/>
    <w:rsid w:val="00683AE4"/>
    <w:rsid w:val="00683AE6"/>
    <w:rsid w:val="00683CA2"/>
    <w:rsid w:val="0068470D"/>
    <w:rsid w:val="00684993"/>
    <w:rsid w:val="00684B79"/>
    <w:rsid w:val="00684DFC"/>
    <w:rsid w:val="0068627F"/>
    <w:rsid w:val="006867BB"/>
    <w:rsid w:val="0068684F"/>
    <w:rsid w:val="00686F0A"/>
    <w:rsid w:val="0068759C"/>
    <w:rsid w:val="00690610"/>
    <w:rsid w:val="00690A0A"/>
    <w:rsid w:val="006910CA"/>
    <w:rsid w:val="0069131C"/>
    <w:rsid w:val="00691595"/>
    <w:rsid w:val="0069162D"/>
    <w:rsid w:val="006928FC"/>
    <w:rsid w:val="00692C2B"/>
    <w:rsid w:val="0069317E"/>
    <w:rsid w:val="006931E9"/>
    <w:rsid w:val="006932B7"/>
    <w:rsid w:val="00693A7D"/>
    <w:rsid w:val="00693D07"/>
    <w:rsid w:val="00694EDA"/>
    <w:rsid w:val="00695841"/>
    <w:rsid w:val="00695F9C"/>
    <w:rsid w:val="006967F1"/>
    <w:rsid w:val="00697834"/>
    <w:rsid w:val="00697CC6"/>
    <w:rsid w:val="006A0894"/>
    <w:rsid w:val="006A114E"/>
    <w:rsid w:val="006A13BF"/>
    <w:rsid w:val="006A1B9E"/>
    <w:rsid w:val="006A1D8E"/>
    <w:rsid w:val="006A20FA"/>
    <w:rsid w:val="006A2804"/>
    <w:rsid w:val="006A3130"/>
    <w:rsid w:val="006A383C"/>
    <w:rsid w:val="006A39AD"/>
    <w:rsid w:val="006A3E24"/>
    <w:rsid w:val="006A4226"/>
    <w:rsid w:val="006A4353"/>
    <w:rsid w:val="006A4992"/>
    <w:rsid w:val="006A4C0B"/>
    <w:rsid w:val="006A5544"/>
    <w:rsid w:val="006A58C9"/>
    <w:rsid w:val="006A5F08"/>
    <w:rsid w:val="006A60EC"/>
    <w:rsid w:val="006A66C8"/>
    <w:rsid w:val="006A6C09"/>
    <w:rsid w:val="006A70EA"/>
    <w:rsid w:val="006A7522"/>
    <w:rsid w:val="006A7713"/>
    <w:rsid w:val="006B052C"/>
    <w:rsid w:val="006B06ED"/>
    <w:rsid w:val="006B0973"/>
    <w:rsid w:val="006B0D14"/>
    <w:rsid w:val="006B2D7D"/>
    <w:rsid w:val="006B3284"/>
    <w:rsid w:val="006B3328"/>
    <w:rsid w:val="006B3944"/>
    <w:rsid w:val="006B39FB"/>
    <w:rsid w:val="006B3BF5"/>
    <w:rsid w:val="006B47CA"/>
    <w:rsid w:val="006B487B"/>
    <w:rsid w:val="006B4E5A"/>
    <w:rsid w:val="006B523A"/>
    <w:rsid w:val="006B5555"/>
    <w:rsid w:val="006B6917"/>
    <w:rsid w:val="006B7466"/>
    <w:rsid w:val="006C1045"/>
    <w:rsid w:val="006C1C64"/>
    <w:rsid w:val="006C282F"/>
    <w:rsid w:val="006C3A7C"/>
    <w:rsid w:val="006C3D5A"/>
    <w:rsid w:val="006C42BD"/>
    <w:rsid w:val="006C44CA"/>
    <w:rsid w:val="006C45B1"/>
    <w:rsid w:val="006C4F52"/>
    <w:rsid w:val="006C5213"/>
    <w:rsid w:val="006C527D"/>
    <w:rsid w:val="006C52C7"/>
    <w:rsid w:val="006C6720"/>
    <w:rsid w:val="006C6D71"/>
    <w:rsid w:val="006C7033"/>
    <w:rsid w:val="006C783A"/>
    <w:rsid w:val="006D07EF"/>
    <w:rsid w:val="006D0ACA"/>
    <w:rsid w:val="006D0D5C"/>
    <w:rsid w:val="006D0E30"/>
    <w:rsid w:val="006D129F"/>
    <w:rsid w:val="006D15F8"/>
    <w:rsid w:val="006D1E81"/>
    <w:rsid w:val="006D1F0E"/>
    <w:rsid w:val="006D2B79"/>
    <w:rsid w:val="006D2DAD"/>
    <w:rsid w:val="006D3ABD"/>
    <w:rsid w:val="006D40C5"/>
    <w:rsid w:val="006D42DB"/>
    <w:rsid w:val="006D4F5C"/>
    <w:rsid w:val="006D5AAB"/>
    <w:rsid w:val="006D61B3"/>
    <w:rsid w:val="006D6B78"/>
    <w:rsid w:val="006D7119"/>
    <w:rsid w:val="006D72D6"/>
    <w:rsid w:val="006D76C4"/>
    <w:rsid w:val="006D7D1F"/>
    <w:rsid w:val="006E0635"/>
    <w:rsid w:val="006E1872"/>
    <w:rsid w:val="006E19F5"/>
    <w:rsid w:val="006E1BFE"/>
    <w:rsid w:val="006E29FC"/>
    <w:rsid w:val="006E36B3"/>
    <w:rsid w:val="006E4489"/>
    <w:rsid w:val="006E45EA"/>
    <w:rsid w:val="006E49C2"/>
    <w:rsid w:val="006E49F5"/>
    <w:rsid w:val="006E5190"/>
    <w:rsid w:val="006E53F3"/>
    <w:rsid w:val="006E5870"/>
    <w:rsid w:val="006E702E"/>
    <w:rsid w:val="006E72BA"/>
    <w:rsid w:val="006E7DF2"/>
    <w:rsid w:val="006E7EFC"/>
    <w:rsid w:val="006F007D"/>
    <w:rsid w:val="006F062D"/>
    <w:rsid w:val="006F0821"/>
    <w:rsid w:val="006F0CB6"/>
    <w:rsid w:val="006F1029"/>
    <w:rsid w:val="006F1085"/>
    <w:rsid w:val="006F12F0"/>
    <w:rsid w:val="006F131F"/>
    <w:rsid w:val="006F14D8"/>
    <w:rsid w:val="006F2081"/>
    <w:rsid w:val="006F2119"/>
    <w:rsid w:val="006F2970"/>
    <w:rsid w:val="006F31E6"/>
    <w:rsid w:val="006F38C9"/>
    <w:rsid w:val="006F459F"/>
    <w:rsid w:val="006F47EB"/>
    <w:rsid w:val="006F499F"/>
    <w:rsid w:val="006F4E94"/>
    <w:rsid w:val="006F5124"/>
    <w:rsid w:val="006F5F0B"/>
    <w:rsid w:val="006F718A"/>
    <w:rsid w:val="006F725D"/>
    <w:rsid w:val="006F727A"/>
    <w:rsid w:val="006F72B7"/>
    <w:rsid w:val="006F7626"/>
    <w:rsid w:val="006F7701"/>
    <w:rsid w:val="00700664"/>
    <w:rsid w:val="0070093A"/>
    <w:rsid w:val="00700A37"/>
    <w:rsid w:val="007014CF"/>
    <w:rsid w:val="00701889"/>
    <w:rsid w:val="007030BD"/>
    <w:rsid w:val="00703702"/>
    <w:rsid w:val="007044F2"/>
    <w:rsid w:val="00705395"/>
    <w:rsid w:val="007055B9"/>
    <w:rsid w:val="00705652"/>
    <w:rsid w:val="00705B8D"/>
    <w:rsid w:val="007068F4"/>
    <w:rsid w:val="00706C32"/>
    <w:rsid w:val="00706DF4"/>
    <w:rsid w:val="007076CC"/>
    <w:rsid w:val="00707D5D"/>
    <w:rsid w:val="00707DE1"/>
    <w:rsid w:val="00707FC3"/>
    <w:rsid w:val="0071108A"/>
    <w:rsid w:val="0071143A"/>
    <w:rsid w:val="00711BA2"/>
    <w:rsid w:val="007127E7"/>
    <w:rsid w:val="00712E07"/>
    <w:rsid w:val="00713640"/>
    <w:rsid w:val="007143C2"/>
    <w:rsid w:val="007149B9"/>
    <w:rsid w:val="00714AD3"/>
    <w:rsid w:val="00714BA5"/>
    <w:rsid w:val="00715BF8"/>
    <w:rsid w:val="00715DB7"/>
    <w:rsid w:val="00715EC6"/>
    <w:rsid w:val="0071633F"/>
    <w:rsid w:val="007163E1"/>
    <w:rsid w:val="00716F21"/>
    <w:rsid w:val="0071713B"/>
    <w:rsid w:val="00717784"/>
    <w:rsid w:val="00717CB7"/>
    <w:rsid w:val="007200B3"/>
    <w:rsid w:val="00720130"/>
    <w:rsid w:val="00720C39"/>
    <w:rsid w:val="00720C5D"/>
    <w:rsid w:val="007213D6"/>
    <w:rsid w:val="00721471"/>
    <w:rsid w:val="00721807"/>
    <w:rsid w:val="00721863"/>
    <w:rsid w:val="0072194F"/>
    <w:rsid w:val="00721B19"/>
    <w:rsid w:val="00721B6B"/>
    <w:rsid w:val="0072235A"/>
    <w:rsid w:val="00722775"/>
    <w:rsid w:val="007235E4"/>
    <w:rsid w:val="0072366B"/>
    <w:rsid w:val="00723750"/>
    <w:rsid w:val="00724027"/>
    <w:rsid w:val="007244FE"/>
    <w:rsid w:val="00724A74"/>
    <w:rsid w:val="00724ED6"/>
    <w:rsid w:val="00725002"/>
    <w:rsid w:val="00725026"/>
    <w:rsid w:val="00725135"/>
    <w:rsid w:val="0072545F"/>
    <w:rsid w:val="007263CF"/>
    <w:rsid w:val="00726828"/>
    <w:rsid w:val="00726EDB"/>
    <w:rsid w:val="00731028"/>
    <w:rsid w:val="007311D5"/>
    <w:rsid w:val="00731B1C"/>
    <w:rsid w:val="00732593"/>
    <w:rsid w:val="007329A5"/>
    <w:rsid w:val="00732FD5"/>
    <w:rsid w:val="00733171"/>
    <w:rsid w:val="007336F1"/>
    <w:rsid w:val="00733E60"/>
    <w:rsid w:val="00734198"/>
    <w:rsid w:val="00734B41"/>
    <w:rsid w:val="007351AE"/>
    <w:rsid w:val="00735A98"/>
    <w:rsid w:val="00735F1A"/>
    <w:rsid w:val="00735FF3"/>
    <w:rsid w:val="00736155"/>
    <w:rsid w:val="0073764E"/>
    <w:rsid w:val="00737BFF"/>
    <w:rsid w:val="007405D4"/>
    <w:rsid w:val="00740D8C"/>
    <w:rsid w:val="00741349"/>
    <w:rsid w:val="00741432"/>
    <w:rsid w:val="007414AF"/>
    <w:rsid w:val="00741D58"/>
    <w:rsid w:val="00741FF2"/>
    <w:rsid w:val="007423E1"/>
    <w:rsid w:val="00742803"/>
    <w:rsid w:val="00742BB4"/>
    <w:rsid w:val="00743609"/>
    <w:rsid w:val="00743804"/>
    <w:rsid w:val="00743907"/>
    <w:rsid w:val="00743946"/>
    <w:rsid w:val="00743955"/>
    <w:rsid w:val="00743B6F"/>
    <w:rsid w:val="00744ED5"/>
    <w:rsid w:val="00745270"/>
    <w:rsid w:val="007456F6"/>
    <w:rsid w:val="00745B0D"/>
    <w:rsid w:val="00745E6B"/>
    <w:rsid w:val="00746714"/>
    <w:rsid w:val="007468E2"/>
    <w:rsid w:val="00747249"/>
    <w:rsid w:val="00747FD5"/>
    <w:rsid w:val="00750803"/>
    <w:rsid w:val="00751447"/>
    <w:rsid w:val="007521D0"/>
    <w:rsid w:val="00752632"/>
    <w:rsid w:val="0075311E"/>
    <w:rsid w:val="007539D2"/>
    <w:rsid w:val="00753C21"/>
    <w:rsid w:val="00753E48"/>
    <w:rsid w:val="0075481C"/>
    <w:rsid w:val="00755417"/>
    <w:rsid w:val="00755A31"/>
    <w:rsid w:val="00755D87"/>
    <w:rsid w:val="00755D9E"/>
    <w:rsid w:val="00755E27"/>
    <w:rsid w:val="00756FFE"/>
    <w:rsid w:val="00757544"/>
    <w:rsid w:val="00757874"/>
    <w:rsid w:val="007579DC"/>
    <w:rsid w:val="00757DB5"/>
    <w:rsid w:val="007606A8"/>
    <w:rsid w:val="00760A3E"/>
    <w:rsid w:val="00760B2E"/>
    <w:rsid w:val="00760D2E"/>
    <w:rsid w:val="00761144"/>
    <w:rsid w:val="007615FA"/>
    <w:rsid w:val="0076160D"/>
    <w:rsid w:val="00761812"/>
    <w:rsid w:val="00761C14"/>
    <w:rsid w:val="007620A0"/>
    <w:rsid w:val="007629DE"/>
    <w:rsid w:val="00762AE3"/>
    <w:rsid w:val="00762FDD"/>
    <w:rsid w:val="0076363D"/>
    <w:rsid w:val="007638CF"/>
    <w:rsid w:val="00763903"/>
    <w:rsid w:val="00764E69"/>
    <w:rsid w:val="00765E4A"/>
    <w:rsid w:val="0076687D"/>
    <w:rsid w:val="007670F3"/>
    <w:rsid w:val="007705E2"/>
    <w:rsid w:val="0077088A"/>
    <w:rsid w:val="00770C29"/>
    <w:rsid w:val="00770E04"/>
    <w:rsid w:val="00770F74"/>
    <w:rsid w:val="00771F22"/>
    <w:rsid w:val="00772448"/>
    <w:rsid w:val="00772EB3"/>
    <w:rsid w:val="00773367"/>
    <w:rsid w:val="00776169"/>
    <w:rsid w:val="007761A5"/>
    <w:rsid w:val="007762DC"/>
    <w:rsid w:val="0077697F"/>
    <w:rsid w:val="007804B2"/>
    <w:rsid w:val="007804F1"/>
    <w:rsid w:val="00780D5C"/>
    <w:rsid w:val="0078185D"/>
    <w:rsid w:val="0078195B"/>
    <w:rsid w:val="00781C54"/>
    <w:rsid w:val="0078285B"/>
    <w:rsid w:val="00782FB9"/>
    <w:rsid w:val="0078351B"/>
    <w:rsid w:val="007844EA"/>
    <w:rsid w:val="00785687"/>
    <w:rsid w:val="00785897"/>
    <w:rsid w:val="00785B1B"/>
    <w:rsid w:val="00785ECF"/>
    <w:rsid w:val="00786130"/>
    <w:rsid w:val="00786B97"/>
    <w:rsid w:val="00787405"/>
    <w:rsid w:val="00787F50"/>
    <w:rsid w:val="0079031C"/>
    <w:rsid w:val="00790744"/>
    <w:rsid w:val="00790EDA"/>
    <w:rsid w:val="00790FE0"/>
    <w:rsid w:val="00791C62"/>
    <w:rsid w:val="00791D61"/>
    <w:rsid w:val="007924D2"/>
    <w:rsid w:val="007929DB"/>
    <w:rsid w:val="00793831"/>
    <w:rsid w:val="00793ED8"/>
    <w:rsid w:val="00793F69"/>
    <w:rsid w:val="007943BC"/>
    <w:rsid w:val="0079477B"/>
    <w:rsid w:val="00794DE6"/>
    <w:rsid w:val="007954E4"/>
    <w:rsid w:val="00795565"/>
    <w:rsid w:val="00795C9B"/>
    <w:rsid w:val="00795D0D"/>
    <w:rsid w:val="00796D51"/>
    <w:rsid w:val="00797864"/>
    <w:rsid w:val="007A08AF"/>
    <w:rsid w:val="007A093A"/>
    <w:rsid w:val="007A15A8"/>
    <w:rsid w:val="007A1CA9"/>
    <w:rsid w:val="007A2030"/>
    <w:rsid w:val="007A29A0"/>
    <w:rsid w:val="007A2DA8"/>
    <w:rsid w:val="007A47B2"/>
    <w:rsid w:val="007A5450"/>
    <w:rsid w:val="007A54D9"/>
    <w:rsid w:val="007A5819"/>
    <w:rsid w:val="007A5E18"/>
    <w:rsid w:val="007A5FEB"/>
    <w:rsid w:val="007A6708"/>
    <w:rsid w:val="007A6B3B"/>
    <w:rsid w:val="007A6B7A"/>
    <w:rsid w:val="007A6DF5"/>
    <w:rsid w:val="007A7A4B"/>
    <w:rsid w:val="007A7BA0"/>
    <w:rsid w:val="007A7BFA"/>
    <w:rsid w:val="007A7E17"/>
    <w:rsid w:val="007B0485"/>
    <w:rsid w:val="007B093D"/>
    <w:rsid w:val="007B1F46"/>
    <w:rsid w:val="007B20C6"/>
    <w:rsid w:val="007B2140"/>
    <w:rsid w:val="007B2172"/>
    <w:rsid w:val="007B22AF"/>
    <w:rsid w:val="007B2376"/>
    <w:rsid w:val="007B35E3"/>
    <w:rsid w:val="007B3BCA"/>
    <w:rsid w:val="007B49A4"/>
    <w:rsid w:val="007B4A3C"/>
    <w:rsid w:val="007B4E66"/>
    <w:rsid w:val="007B50D2"/>
    <w:rsid w:val="007B5B02"/>
    <w:rsid w:val="007B5B1B"/>
    <w:rsid w:val="007B5D00"/>
    <w:rsid w:val="007B5D71"/>
    <w:rsid w:val="007B5F66"/>
    <w:rsid w:val="007B717E"/>
    <w:rsid w:val="007B7578"/>
    <w:rsid w:val="007B7677"/>
    <w:rsid w:val="007B7852"/>
    <w:rsid w:val="007B786E"/>
    <w:rsid w:val="007B7F29"/>
    <w:rsid w:val="007C016A"/>
    <w:rsid w:val="007C0509"/>
    <w:rsid w:val="007C0773"/>
    <w:rsid w:val="007C0FA9"/>
    <w:rsid w:val="007C16F1"/>
    <w:rsid w:val="007C1F0B"/>
    <w:rsid w:val="007C1FCC"/>
    <w:rsid w:val="007C248B"/>
    <w:rsid w:val="007C266E"/>
    <w:rsid w:val="007C27C5"/>
    <w:rsid w:val="007C28B9"/>
    <w:rsid w:val="007C34DF"/>
    <w:rsid w:val="007C37F3"/>
    <w:rsid w:val="007C44DB"/>
    <w:rsid w:val="007C4A8B"/>
    <w:rsid w:val="007C4B58"/>
    <w:rsid w:val="007C5233"/>
    <w:rsid w:val="007C533E"/>
    <w:rsid w:val="007C5FA1"/>
    <w:rsid w:val="007C62D9"/>
    <w:rsid w:val="007C6BE1"/>
    <w:rsid w:val="007C6D8F"/>
    <w:rsid w:val="007C6E24"/>
    <w:rsid w:val="007C786C"/>
    <w:rsid w:val="007C7894"/>
    <w:rsid w:val="007D078B"/>
    <w:rsid w:val="007D0981"/>
    <w:rsid w:val="007D1304"/>
    <w:rsid w:val="007D1363"/>
    <w:rsid w:val="007D1875"/>
    <w:rsid w:val="007D1ECE"/>
    <w:rsid w:val="007D1F1E"/>
    <w:rsid w:val="007D2062"/>
    <w:rsid w:val="007D2087"/>
    <w:rsid w:val="007D2C03"/>
    <w:rsid w:val="007D3497"/>
    <w:rsid w:val="007D37DD"/>
    <w:rsid w:val="007D450D"/>
    <w:rsid w:val="007D4E9E"/>
    <w:rsid w:val="007D5043"/>
    <w:rsid w:val="007D5876"/>
    <w:rsid w:val="007D680C"/>
    <w:rsid w:val="007D6866"/>
    <w:rsid w:val="007D6CBF"/>
    <w:rsid w:val="007D71B5"/>
    <w:rsid w:val="007D794F"/>
    <w:rsid w:val="007D7BDD"/>
    <w:rsid w:val="007E0059"/>
    <w:rsid w:val="007E02EB"/>
    <w:rsid w:val="007E15B9"/>
    <w:rsid w:val="007E1B8F"/>
    <w:rsid w:val="007E2B2C"/>
    <w:rsid w:val="007E2CA2"/>
    <w:rsid w:val="007E36D2"/>
    <w:rsid w:val="007E39D9"/>
    <w:rsid w:val="007E3FD4"/>
    <w:rsid w:val="007E47FC"/>
    <w:rsid w:val="007E4C0F"/>
    <w:rsid w:val="007E5A70"/>
    <w:rsid w:val="007E5D9A"/>
    <w:rsid w:val="007E5EB8"/>
    <w:rsid w:val="007E61DD"/>
    <w:rsid w:val="007E657F"/>
    <w:rsid w:val="007E7549"/>
    <w:rsid w:val="007E7800"/>
    <w:rsid w:val="007F0104"/>
    <w:rsid w:val="007F03B2"/>
    <w:rsid w:val="007F03DC"/>
    <w:rsid w:val="007F13D3"/>
    <w:rsid w:val="007F142F"/>
    <w:rsid w:val="007F19D3"/>
    <w:rsid w:val="007F20F5"/>
    <w:rsid w:val="007F222C"/>
    <w:rsid w:val="007F2318"/>
    <w:rsid w:val="007F2AE0"/>
    <w:rsid w:val="007F2C04"/>
    <w:rsid w:val="007F2C47"/>
    <w:rsid w:val="007F2C8F"/>
    <w:rsid w:val="007F2CC9"/>
    <w:rsid w:val="007F2E28"/>
    <w:rsid w:val="007F38F5"/>
    <w:rsid w:val="007F3F69"/>
    <w:rsid w:val="007F409C"/>
    <w:rsid w:val="007F4A42"/>
    <w:rsid w:val="007F50A3"/>
    <w:rsid w:val="007F546A"/>
    <w:rsid w:val="007F553E"/>
    <w:rsid w:val="007F5632"/>
    <w:rsid w:val="007F5D00"/>
    <w:rsid w:val="007F6104"/>
    <w:rsid w:val="007F6C9E"/>
    <w:rsid w:val="007F7578"/>
    <w:rsid w:val="007F7BDE"/>
    <w:rsid w:val="007F7FA4"/>
    <w:rsid w:val="00800185"/>
    <w:rsid w:val="00800689"/>
    <w:rsid w:val="00800E7B"/>
    <w:rsid w:val="008017F6"/>
    <w:rsid w:val="008018C8"/>
    <w:rsid w:val="00801B45"/>
    <w:rsid w:val="00801BE3"/>
    <w:rsid w:val="00801E6A"/>
    <w:rsid w:val="00802589"/>
    <w:rsid w:val="0080295D"/>
    <w:rsid w:val="00802C4B"/>
    <w:rsid w:val="008038D7"/>
    <w:rsid w:val="00803ACE"/>
    <w:rsid w:val="00803F8A"/>
    <w:rsid w:val="0080400A"/>
    <w:rsid w:val="00804AB3"/>
    <w:rsid w:val="00805456"/>
    <w:rsid w:val="00805801"/>
    <w:rsid w:val="008068BD"/>
    <w:rsid w:val="00807526"/>
    <w:rsid w:val="00810814"/>
    <w:rsid w:val="00810924"/>
    <w:rsid w:val="0081140A"/>
    <w:rsid w:val="008116A4"/>
    <w:rsid w:val="008130B9"/>
    <w:rsid w:val="008131D0"/>
    <w:rsid w:val="00813B3C"/>
    <w:rsid w:val="00813CDA"/>
    <w:rsid w:val="00813F88"/>
    <w:rsid w:val="00814899"/>
    <w:rsid w:val="00814AC5"/>
    <w:rsid w:val="00814D8B"/>
    <w:rsid w:val="008150C6"/>
    <w:rsid w:val="008151F2"/>
    <w:rsid w:val="00815AB0"/>
    <w:rsid w:val="00815D46"/>
    <w:rsid w:val="0081619D"/>
    <w:rsid w:val="0081620B"/>
    <w:rsid w:val="008163DA"/>
    <w:rsid w:val="0081651E"/>
    <w:rsid w:val="00816AA3"/>
    <w:rsid w:val="00820CDB"/>
    <w:rsid w:val="00820DB6"/>
    <w:rsid w:val="00821D68"/>
    <w:rsid w:val="00821F73"/>
    <w:rsid w:val="008225A4"/>
    <w:rsid w:val="00822791"/>
    <w:rsid w:val="00822B94"/>
    <w:rsid w:val="00822DAB"/>
    <w:rsid w:val="00822DC1"/>
    <w:rsid w:val="00822E7E"/>
    <w:rsid w:val="00822ED1"/>
    <w:rsid w:val="00823E51"/>
    <w:rsid w:val="00824793"/>
    <w:rsid w:val="008248B2"/>
    <w:rsid w:val="00824E38"/>
    <w:rsid w:val="008252B9"/>
    <w:rsid w:val="008253F3"/>
    <w:rsid w:val="008256B7"/>
    <w:rsid w:val="00825710"/>
    <w:rsid w:val="0082711B"/>
    <w:rsid w:val="00827BBF"/>
    <w:rsid w:val="00827D3D"/>
    <w:rsid w:val="00827DFE"/>
    <w:rsid w:val="00830302"/>
    <w:rsid w:val="0083081A"/>
    <w:rsid w:val="00830ED6"/>
    <w:rsid w:val="00831749"/>
    <w:rsid w:val="008325AF"/>
    <w:rsid w:val="00832825"/>
    <w:rsid w:val="00832920"/>
    <w:rsid w:val="00832F33"/>
    <w:rsid w:val="0083317B"/>
    <w:rsid w:val="008337F5"/>
    <w:rsid w:val="0083415B"/>
    <w:rsid w:val="00834494"/>
    <w:rsid w:val="00834D14"/>
    <w:rsid w:val="00835287"/>
    <w:rsid w:val="008358BB"/>
    <w:rsid w:val="008364F2"/>
    <w:rsid w:val="0083654C"/>
    <w:rsid w:val="008369E4"/>
    <w:rsid w:val="008373CB"/>
    <w:rsid w:val="00840B3B"/>
    <w:rsid w:val="00841BC8"/>
    <w:rsid w:val="00841EB1"/>
    <w:rsid w:val="00842A9A"/>
    <w:rsid w:val="008431F6"/>
    <w:rsid w:val="0084377C"/>
    <w:rsid w:val="00843C6F"/>
    <w:rsid w:val="0084476D"/>
    <w:rsid w:val="00844A6D"/>
    <w:rsid w:val="00844A8A"/>
    <w:rsid w:val="00844C25"/>
    <w:rsid w:val="00845022"/>
    <w:rsid w:val="00845791"/>
    <w:rsid w:val="00845919"/>
    <w:rsid w:val="00845B37"/>
    <w:rsid w:val="00845D79"/>
    <w:rsid w:val="0084743E"/>
    <w:rsid w:val="008503CB"/>
    <w:rsid w:val="00850BF2"/>
    <w:rsid w:val="0085113C"/>
    <w:rsid w:val="00851862"/>
    <w:rsid w:val="00852663"/>
    <w:rsid w:val="00852941"/>
    <w:rsid w:val="00852FCB"/>
    <w:rsid w:val="00853538"/>
    <w:rsid w:val="0085664A"/>
    <w:rsid w:val="00856667"/>
    <w:rsid w:val="00856F2B"/>
    <w:rsid w:val="00857147"/>
    <w:rsid w:val="008574E8"/>
    <w:rsid w:val="00857532"/>
    <w:rsid w:val="00857D87"/>
    <w:rsid w:val="00857DD1"/>
    <w:rsid w:val="0086009B"/>
    <w:rsid w:val="00861640"/>
    <w:rsid w:val="00861773"/>
    <w:rsid w:val="0086184C"/>
    <w:rsid w:val="00861988"/>
    <w:rsid w:val="00861A5D"/>
    <w:rsid w:val="00862555"/>
    <w:rsid w:val="00862E41"/>
    <w:rsid w:val="00863118"/>
    <w:rsid w:val="00863408"/>
    <w:rsid w:val="0086392F"/>
    <w:rsid w:val="00864E18"/>
    <w:rsid w:val="00865077"/>
    <w:rsid w:val="0086507B"/>
    <w:rsid w:val="008651AA"/>
    <w:rsid w:val="008657A7"/>
    <w:rsid w:val="00865EA3"/>
    <w:rsid w:val="0086696A"/>
    <w:rsid w:val="00866CF8"/>
    <w:rsid w:val="00866D14"/>
    <w:rsid w:val="00866DDA"/>
    <w:rsid w:val="00867D1C"/>
    <w:rsid w:val="00867DCF"/>
    <w:rsid w:val="00870197"/>
    <w:rsid w:val="00870C1E"/>
    <w:rsid w:val="0087108E"/>
    <w:rsid w:val="00871256"/>
    <w:rsid w:val="0087129F"/>
    <w:rsid w:val="00871599"/>
    <w:rsid w:val="00871BC3"/>
    <w:rsid w:val="00872981"/>
    <w:rsid w:val="00872EBB"/>
    <w:rsid w:val="008730C7"/>
    <w:rsid w:val="0087317B"/>
    <w:rsid w:val="0087330F"/>
    <w:rsid w:val="00874E28"/>
    <w:rsid w:val="0087716B"/>
    <w:rsid w:val="00877646"/>
    <w:rsid w:val="00877AF1"/>
    <w:rsid w:val="0088019F"/>
    <w:rsid w:val="008807E1"/>
    <w:rsid w:val="00880950"/>
    <w:rsid w:val="00880EF8"/>
    <w:rsid w:val="0088103D"/>
    <w:rsid w:val="0088142C"/>
    <w:rsid w:val="00881DD2"/>
    <w:rsid w:val="00881DD7"/>
    <w:rsid w:val="00883604"/>
    <w:rsid w:val="00883C02"/>
    <w:rsid w:val="00884E8F"/>
    <w:rsid w:val="00884FD2"/>
    <w:rsid w:val="008852CA"/>
    <w:rsid w:val="00885642"/>
    <w:rsid w:val="00885F5D"/>
    <w:rsid w:val="00887251"/>
    <w:rsid w:val="008874BA"/>
    <w:rsid w:val="00887F1F"/>
    <w:rsid w:val="008904A3"/>
    <w:rsid w:val="00890C59"/>
    <w:rsid w:val="00891187"/>
    <w:rsid w:val="008915CE"/>
    <w:rsid w:val="00891CC0"/>
    <w:rsid w:val="0089295C"/>
    <w:rsid w:val="00892D37"/>
    <w:rsid w:val="008936DE"/>
    <w:rsid w:val="00893898"/>
    <w:rsid w:val="008938A1"/>
    <w:rsid w:val="0089390A"/>
    <w:rsid w:val="00893EB5"/>
    <w:rsid w:val="00893F42"/>
    <w:rsid w:val="008940E8"/>
    <w:rsid w:val="00894584"/>
    <w:rsid w:val="00894A24"/>
    <w:rsid w:val="0089529D"/>
    <w:rsid w:val="00895504"/>
    <w:rsid w:val="008955D7"/>
    <w:rsid w:val="0089581E"/>
    <w:rsid w:val="0089639E"/>
    <w:rsid w:val="00896DA0"/>
    <w:rsid w:val="00896E35"/>
    <w:rsid w:val="00897182"/>
    <w:rsid w:val="00897DFF"/>
    <w:rsid w:val="008A0390"/>
    <w:rsid w:val="008A04C6"/>
    <w:rsid w:val="008A0B53"/>
    <w:rsid w:val="008A0DBE"/>
    <w:rsid w:val="008A0E2B"/>
    <w:rsid w:val="008A1A79"/>
    <w:rsid w:val="008A1A82"/>
    <w:rsid w:val="008A2154"/>
    <w:rsid w:val="008A25C2"/>
    <w:rsid w:val="008A341C"/>
    <w:rsid w:val="008A3FDC"/>
    <w:rsid w:val="008A4515"/>
    <w:rsid w:val="008A46AD"/>
    <w:rsid w:val="008A4A50"/>
    <w:rsid w:val="008A4C90"/>
    <w:rsid w:val="008A55FC"/>
    <w:rsid w:val="008A5EDE"/>
    <w:rsid w:val="008A65C6"/>
    <w:rsid w:val="008A670E"/>
    <w:rsid w:val="008A67B9"/>
    <w:rsid w:val="008A74E1"/>
    <w:rsid w:val="008A755F"/>
    <w:rsid w:val="008A7846"/>
    <w:rsid w:val="008A7D29"/>
    <w:rsid w:val="008A7DF4"/>
    <w:rsid w:val="008B00B1"/>
    <w:rsid w:val="008B02AD"/>
    <w:rsid w:val="008B0F81"/>
    <w:rsid w:val="008B122D"/>
    <w:rsid w:val="008B1810"/>
    <w:rsid w:val="008B1A23"/>
    <w:rsid w:val="008B1A4C"/>
    <w:rsid w:val="008B2971"/>
    <w:rsid w:val="008B3281"/>
    <w:rsid w:val="008B3DA8"/>
    <w:rsid w:val="008B41CB"/>
    <w:rsid w:val="008B4C28"/>
    <w:rsid w:val="008B5640"/>
    <w:rsid w:val="008B5659"/>
    <w:rsid w:val="008B56FE"/>
    <w:rsid w:val="008B5B44"/>
    <w:rsid w:val="008B5E91"/>
    <w:rsid w:val="008B61C1"/>
    <w:rsid w:val="008B645E"/>
    <w:rsid w:val="008B71DF"/>
    <w:rsid w:val="008B7A89"/>
    <w:rsid w:val="008C1CBD"/>
    <w:rsid w:val="008C21BF"/>
    <w:rsid w:val="008C25BE"/>
    <w:rsid w:val="008C298E"/>
    <w:rsid w:val="008C3DBC"/>
    <w:rsid w:val="008C3FEA"/>
    <w:rsid w:val="008C5748"/>
    <w:rsid w:val="008C599B"/>
    <w:rsid w:val="008C5B19"/>
    <w:rsid w:val="008C5DB2"/>
    <w:rsid w:val="008C5FB0"/>
    <w:rsid w:val="008C6567"/>
    <w:rsid w:val="008C6CE7"/>
    <w:rsid w:val="008C72E5"/>
    <w:rsid w:val="008C7326"/>
    <w:rsid w:val="008C7480"/>
    <w:rsid w:val="008C7741"/>
    <w:rsid w:val="008C7FD1"/>
    <w:rsid w:val="008D0398"/>
    <w:rsid w:val="008D0846"/>
    <w:rsid w:val="008D08A9"/>
    <w:rsid w:val="008D14DE"/>
    <w:rsid w:val="008D16FA"/>
    <w:rsid w:val="008D2583"/>
    <w:rsid w:val="008D272C"/>
    <w:rsid w:val="008D3765"/>
    <w:rsid w:val="008D3B92"/>
    <w:rsid w:val="008D44F6"/>
    <w:rsid w:val="008D4B7D"/>
    <w:rsid w:val="008D4D4C"/>
    <w:rsid w:val="008D5A74"/>
    <w:rsid w:val="008D5C7A"/>
    <w:rsid w:val="008D67A4"/>
    <w:rsid w:val="008D6AFF"/>
    <w:rsid w:val="008D6D48"/>
    <w:rsid w:val="008D6DD4"/>
    <w:rsid w:val="008D6EAE"/>
    <w:rsid w:val="008D6EFE"/>
    <w:rsid w:val="008D7FEF"/>
    <w:rsid w:val="008E0C7F"/>
    <w:rsid w:val="008E10A1"/>
    <w:rsid w:val="008E12A7"/>
    <w:rsid w:val="008E13CE"/>
    <w:rsid w:val="008E13D3"/>
    <w:rsid w:val="008E1D1C"/>
    <w:rsid w:val="008E2DE2"/>
    <w:rsid w:val="008E3255"/>
    <w:rsid w:val="008E370B"/>
    <w:rsid w:val="008E3F41"/>
    <w:rsid w:val="008E3FF4"/>
    <w:rsid w:val="008E40B5"/>
    <w:rsid w:val="008E4682"/>
    <w:rsid w:val="008E4EA2"/>
    <w:rsid w:val="008E4F69"/>
    <w:rsid w:val="008E513A"/>
    <w:rsid w:val="008E5181"/>
    <w:rsid w:val="008E5D94"/>
    <w:rsid w:val="008E6372"/>
    <w:rsid w:val="008E67D5"/>
    <w:rsid w:val="008E75A2"/>
    <w:rsid w:val="008F013C"/>
    <w:rsid w:val="008F0181"/>
    <w:rsid w:val="008F063F"/>
    <w:rsid w:val="008F0A62"/>
    <w:rsid w:val="008F0C20"/>
    <w:rsid w:val="008F0DC1"/>
    <w:rsid w:val="008F13D6"/>
    <w:rsid w:val="008F166B"/>
    <w:rsid w:val="008F167C"/>
    <w:rsid w:val="008F1AD2"/>
    <w:rsid w:val="008F247D"/>
    <w:rsid w:val="008F2CF1"/>
    <w:rsid w:val="008F2E46"/>
    <w:rsid w:val="008F36BB"/>
    <w:rsid w:val="008F40F4"/>
    <w:rsid w:val="008F468B"/>
    <w:rsid w:val="008F4EDB"/>
    <w:rsid w:val="008F5167"/>
    <w:rsid w:val="008F51F6"/>
    <w:rsid w:val="008F5401"/>
    <w:rsid w:val="008F55B4"/>
    <w:rsid w:val="008F5C0C"/>
    <w:rsid w:val="008F617F"/>
    <w:rsid w:val="008F6CC8"/>
    <w:rsid w:val="008F6F7D"/>
    <w:rsid w:val="008F706F"/>
    <w:rsid w:val="008F77D2"/>
    <w:rsid w:val="008F7919"/>
    <w:rsid w:val="008F7B64"/>
    <w:rsid w:val="00900261"/>
    <w:rsid w:val="009002B8"/>
    <w:rsid w:val="00900826"/>
    <w:rsid w:val="00900BD7"/>
    <w:rsid w:val="00901283"/>
    <w:rsid w:val="0090142F"/>
    <w:rsid w:val="0090285C"/>
    <w:rsid w:val="00902CEC"/>
    <w:rsid w:val="00903CEB"/>
    <w:rsid w:val="00903CED"/>
    <w:rsid w:val="00903DE4"/>
    <w:rsid w:val="00904272"/>
    <w:rsid w:val="00904B5A"/>
    <w:rsid w:val="00904B70"/>
    <w:rsid w:val="00905202"/>
    <w:rsid w:val="0090531D"/>
    <w:rsid w:val="0090558E"/>
    <w:rsid w:val="00905866"/>
    <w:rsid w:val="00905AF4"/>
    <w:rsid w:val="009075B3"/>
    <w:rsid w:val="009103F2"/>
    <w:rsid w:val="009106E0"/>
    <w:rsid w:val="00910AEA"/>
    <w:rsid w:val="0091216A"/>
    <w:rsid w:val="00912554"/>
    <w:rsid w:val="0091257E"/>
    <w:rsid w:val="0091288C"/>
    <w:rsid w:val="00912ED1"/>
    <w:rsid w:val="00912F76"/>
    <w:rsid w:val="00913092"/>
    <w:rsid w:val="0091388C"/>
    <w:rsid w:val="0091395A"/>
    <w:rsid w:val="009139D1"/>
    <w:rsid w:val="00913A23"/>
    <w:rsid w:val="00913C68"/>
    <w:rsid w:val="00913D14"/>
    <w:rsid w:val="009141CD"/>
    <w:rsid w:val="00914227"/>
    <w:rsid w:val="00914299"/>
    <w:rsid w:val="0091440F"/>
    <w:rsid w:val="00914A9C"/>
    <w:rsid w:val="00914CBA"/>
    <w:rsid w:val="00914E8F"/>
    <w:rsid w:val="00914EDF"/>
    <w:rsid w:val="00915C69"/>
    <w:rsid w:val="00915DCF"/>
    <w:rsid w:val="00916735"/>
    <w:rsid w:val="00916A22"/>
    <w:rsid w:val="00916C03"/>
    <w:rsid w:val="00917748"/>
    <w:rsid w:val="00917D74"/>
    <w:rsid w:val="00920700"/>
    <w:rsid w:val="00920754"/>
    <w:rsid w:val="0092140C"/>
    <w:rsid w:val="0092199D"/>
    <w:rsid w:val="00922AC3"/>
    <w:rsid w:val="00922E9B"/>
    <w:rsid w:val="00923B07"/>
    <w:rsid w:val="00924A06"/>
    <w:rsid w:val="00924DFC"/>
    <w:rsid w:val="009260D2"/>
    <w:rsid w:val="00926EF1"/>
    <w:rsid w:val="00927450"/>
    <w:rsid w:val="00927515"/>
    <w:rsid w:val="0092757E"/>
    <w:rsid w:val="00927EC5"/>
    <w:rsid w:val="0093011A"/>
    <w:rsid w:val="00930732"/>
    <w:rsid w:val="00930ACF"/>
    <w:rsid w:val="00930B66"/>
    <w:rsid w:val="0093118F"/>
    <w:rsid w:val="009312E7"/>
    <w:rsid w:val="009319AA"/>
    <w:rsid w:val="00931F1C"/>
    <w:rsid w:val="009320AB"/>
    <w:rsid w:val="0093210A"/>
    <w:rsid w:val="00932788"/>
    <w:rsid w:val="00933445"/>
    <w:rsid w:val="00933AF2"/>
    <w:rsid w:val="00934267"/>
    <w:rsid w:val="009343BB"/>
    <w:rsid w:val="009348BB"/>
    <w:rsid w:val="00934DC3"/>
    <w:rsid w:val="009356DC"/>
    <w:rsid w:val="00935905"/>
    <w:rsid w:val="00935F3B"/>
    <w:rsid w:val="009364C0"/>
    <w:rsid w:val="00936B26"/>
    <w:rsid w:val="00937301"/>
    <w:rsid w:val="0093752A"/>
    <w:rsid w:val="00937AE8"/>
    <w:rsid w:val="00940519"/>
    <w:rsid w:val="009408B3"/>
    <w:rsid w:val="00941E4A"/>
    <w:rsid w:val="00941F81"/>
    <w:rsid w:val="009421CC"/>
    <w:rsid w:val="00943E1E"/>
    <w:rsid w:val="009441FE"/>
    <w:rsid w:val="00944B84"/>
    <w:rsid w:val="009453EF"/>
    <w:rsid w:val="0094610F"/>
    <w:rsid w:val="0094665F"/>
    <w:rsid w:val="009467E8"/>
    <w:rsid w:val="00946D38"/>
    <w:rsid w:val="009473B0"/>
    <w:rsid w:val="00947B30"/>
    <w:rsid w:val="00947C10"/>
    <w:rsid w:val="00950789"/>
    <w:rsid w:val="009508E0"/>
    <w:rsid w:val="00950B97"/>
    <w:rsid w:val="0095124C"/>
    <w:rsid w:val="0095171F"/>
    <w:rsid w:val="00951B94"/>
    <w:rsid w:val="00951DE4"/>
    <w:rsid w:val="00952233"/>
    <w:rsid w:val="00952F21"/>
    <w:rsid w:val="00953644"/>
    <w:rsid w:val="00953A18"/>
    <w:rsid w:val="009549C8"/>
    <w:rsid w:val="00954BA0"/>
    <w:rsid w:val="009551A6"/>
    <w:rsid w:val="00955641"/>
    <w:rsid w:val="00955C95"/>
    <w:rsid w:val="00955E4E"/>
    <w:rsid w:val="00956319"/>
    <w:rsid w:val="009566C9"/>
    <w:rsid w:val="00956F3C"/>
    <w:rsid w:val="00957253"/>
    <w:rsid w:val="009572D4"/>
    <w:rsid w:val="00957826"/>
    <w:rsid w:val="009578B0"/>
    <w:rsid w:val="00960077"/>
    <w:rsid w:val="0096172F"/>
    <w:rsid w:val="0096185F"/>
    <w:rsid w:val="00961C93"/>
    <w:rsid w:val="0096355E"/>
    <w:rsid w:val="00963FF4"/>
    <w:rsid w:val="00964085"/>
    <w:rsid w:val="00964D39"/>
    <w:rsid w:val="00965D99"/>
    <w:rsid w:val="00966022"/>
    <w:rsid w:val="009662A9"/>
    <w:rsid w:val="00966451"/>
    <w:rsid w:val="00966740"/>
    <w:rsid w:val="0096683B"/>
    <w:rsid w:val="00966AF6"/>
    <w:rsid w:val="00966B68"/>
    <w:rsid w:val="00966DB9"/>
    <w:rsid w:val="00970205"/>
    <w:rsid w:val="009718A0"/>
    <w:rsid w:val="00971FAB"/>
    <w:rsid w:val="009733AC"/>
    <w:rsid w:val="009746C3"/>
    <w:rsid w:val="0097470D"/>
    <w:rsid w:val="00974711"/>
    <w:rsid w:val="0097477A"/>
    <w:rsid w:val="009752C1"/>
    <w:rsid w:val="0097532A"/>
    <w:rsid w:val="00975765"/>
    <w:rsid w:val="009761AE"/>
    <w:rsid w:val="0097622B"/>
    <w:rsid w:val="00976BF0"/>
    <w:rsid w:val="00976F64"/>
    <w:rsid w:val="009778CC"/>
    <w:rsid w:val="00977C65"/>
    <w:rsid w:val="00977EB0"/>
    <w:rsid w:val="0098070B"/>
    <w:rsid w:val="0098075B"/>
    <w:rsid w:val="00981363"/>
    <w:rsid w:val="009817FB"/>
    <w:rsid w:val="00981A09"/>
    <w:rsid w:val="009820E5"/>
    <w:rsid w:val="00982DF9"/>
    <w:rsid w:val="00983135"/>
    <w:rsid w:val="0098328D"/>
    <w:rsid w:val="009832AE"/>
    <w:rsid w:val="00983993"/>
    <w:rsid w:val="00983AA8"/>
    <w:rsid w:val="00983E64"/>
    <w:rsid w:val="00983FC4"/>
    <w:rsid w:val="0098402E"/>
    <w:rsid w:val="0098429A"/>
    <w:rsid w:val="00985C00"/>
    <w:rsid w:val="009864AD"/>
    <w:rsid w:val="00986FB5"/>
    <w:rsid w:val="009873DE"/>
    <w:rsid w:val="00987C76"/>
    <w:rsid w:val="00990125"/>
    <w:rsid w:val="0099060A"/>
    <w:rsid w:val="0099093B"/>
    <w:rsid w:val="00990DF2"/>
    <w:rsid w:val="00991763"/>
    <w:rsid w:val="0099229C"/>
    <w:rsid w:val="0099286A"/>
    <w:rsid w:val="00992891"/>
    <w:rsid w:val="00992CA8"/>
    <w:rsid w:val="00992D61"/>
    <w:rsid w:val="00993651"/>
    <w:rsid w:val="00994147"/>
    <w:rsid w:val="009941F3"/>
    <w:rsid w:val="009944DC"/>
    <w:rsid w:val="00994C17"/>
    <w:rsid w:val="00995A39"/>
    <w:rsid w:val="00995D81"/>
    <w:rsid w:val="0099711D"/>
    <w:rsid w:val="009972A7"/>
    <w:rsid w:val="00997625"/>
    <w:rsid w:val="009A0161"/>
    <w:rsid w:val="009A03BD"/>
    <w:rsid w:val="009A0534"/>
    <w:rsid w:val="009A0C6D"/>
    <w:rsid w:val="009A1026"/>
    <w:rsid w:val="009A142A"/>
    <w:rsid w:val="009A1806"/>
    <w:rsid w:val="009A1AB1"/>
    <w:rsid w:val="009A1E97"/>
    <w:rsid w:val="009A207C"/>
    <w:rsid w:val="009A314A"/>
    <w:rsid w:val="009A4648"/>
    <w:rsid w:val="009A4726"/>
    <w:rsid w:val="009A4BEB"/>
    <w:rsid w:val="009A590A"/>
    <w:rsid w:val="009A5B38"/>
    <w:rsid w:val="009A624F"/>
    <w:rsid w:val="009A63AD"/>
    <w:rsid w:val="009A6719"/>
    <w:rsid w:val="009A6AC1"/>
    <w:rsid w:val="009A6F22"/>
    <w:rsid w:val="009A70FC"/>
    <w:rsid w:val="009A7210"/>
    <w:rsid w:val="009A7A9F"/>
    <w:rsid w:val="009B2A1A"/>
    <w:rsid w:val="009B2B57"/>
    <w:rsid w:val="009B3213"/>
    <w:rsid w:val="009B34B0"/>
    <w:rsid w:val="009B364D"/>
    <w:rsid w:val="009B3C12"/>
    <w:rsid w:val="009B3D45"/>
    <w:rsid w:val="009B48DA"/>
    <w:rsid w:val="009B4969"/>
    <w:rsid w:val="009B4CF8"/>
    <w:rsid w:val="009B4F4C"/>
    <w:rsid w:val="009B6F73"/>
    <w:rsid w:val="009B70B3"/>
    <w:rsid w:val="009B7147"/>
    <w:rsid w:val="009B7AAA"/>
    <w:rsid w:val="009C04CB"/>
    <w:rsid w:val="009C0CDD"/>
    <w:rsid w:val="009C1668"/>
    <w:rsid w:val="009C1E2B"/>
    <w:rsid w:val="009C20C3"/>
    <w:rsid w:val="009C21BF"/>
    <w:rsid w:val="009C24A8"/>
    <w:rsid w:val="009C29DC"/>
    <w:rsid w:val="009C45F8"/>
    <w:rsid w:val="009C4802"/>
    <w:rsid w:val="009C4C30"/>
    <w:rsid w:val="009C4E4F"/>
    <w:rsid w:val="009C5072"/>
    <w:rsid w:val="009C5A16"/>
    <w:rsid w:val="009C5A66"/>
    <w:rsid w:val="009C5CAE"/>
    <w:rsid w:val="009C6AA3"/>
    <w:rsid w:val="009C6C59"/>
    <w:rsid w:val="009C7EE9"/>
    <w:rsid w:val="009D06B4"/>
    <w:rsid w:val="009D06EA"/>
    <w:rsid w:val="009D1AE3"/>
    <w:rsid w:val="009D2231"/>
    <w:rsid w:val="009D23C9"/>
    <w:rsid w:val="009D27D6"/>
    <w:rsid w:val="009D2C9A"/>
    <w:rsid w:val="009D3790"/>
    <w:rsid w:val="009D3958"/>
    <w:rsid w:val="009D473D"/>
    <w:rsid w:val="009D4FC6"/>
    <w:rsid w:val="009D5693"/>
    <w:rsid w:val="009D5DE5"/>
    <w:rsid w:val="009D6C08"/>
    <w:rsid w:val="009D6ED5"/>
    <w:rsid w:val="009D7288"/>
    <w:rsid w:val="009D7F70"/>
    <w:rsid w:val="009E0AF2"/>
    <w:rsid w:val="009E186D"/>
    <w:rsid w:val="009E209E"/>
    <w:rsid w:val="009E259C"/>
    <w:rsid w:val="009E27B7"/>
    <w:rsid w:val="009E2AFD"/>
    <w:rsid w:val="009E2BE1"/>
    <w:rsid w:val="009E32F7"/>
    <w:rsid w:val="009E3520"/>
    <w:rsid w:val="009E35AD"/>
    <w:rsid w:val="009E35B8"/>
    <w:rsid w:val="009E374C"/>
    <w:rsid w:val="009E38CC"/>
    <w:rsid w:val="009E3BB5"/>
    <w:rsid w:val="009E4350"/>
    <w:rsid w:val="009E4652"/>
    <w:rsid w:val="009E5599"/>
    <w:rsid w:val="009E594F"/>
    <w:rsid w:val="009E5BD4"/>
    <w:rsid w:val="009E662B"/>
    <w:rsid w:val="009E6681"/>
    <w:rsid w:val="009E679B"/>
    <w:rsid w:val="009E7668"/>
    <w:rsid w:val="009E7E4A"/>
    <w:rsid w:val="009F018B"/>
    <w:rsid w:val="009F0CD6"/>
    <w:rsid w:val="009F0EE4"/>
    <w:rsid w:val="009F130F"/>
    <w:rsid w:val="009F1360"/>
    <w:rsid w:val="009F13B6"/>
    <w:rsid w:val="009F174B"/>
    <w:rsid w:val="009F1DD0"/>
    <w:rsid w:val="009F2061"/>
    <w:rsid w:val="009F20AD"/>
    <w:rsid w:val="009F2198"/>
    <w:rsid w:val="009F3533"/>
    <w:rsid w:val="009F367D"/>
    <w:rsid w:val="009F36BC"/>
    <w:rsid w:val="009F370D"/>
    <w:rsid w:val="009F3D01"/>
    <w:rsid w:val="009F3F24"/>
    <w:rsid w:val="009F4296"/>
    <w:rsid w:val="009F441C"/>
    <w:rsid w:val="009F4852"/>
    <w:rsid w:val="009F4DBD"/>
    <w:rsid w:val="009F4E2D"/>
    <w:rsid w:val="009F5A2F"/>
    <w:rsid w:val="009F5EE3"/>
    <w:rsid w:val="009F64F3"/>
    <w:rsid w:val="009F6CBD"/>
    <w:rsid w:val="009F77FF"/>
    <w:rsid w:val="009F7D8F"/>
    <w:rsid w:val="00A00228"/>
    <w:rsid w:val="00A009E1"/>
    <w:rsid w:val="00A00D1B"/>
    <w:rsid w:val="00A00D6E"/>
    <w:rsid w:val="00A01498"/>
    <w:rsid w:val="00A01504"/>
    <w:rsid w:val="00A019BB"/>
    <w:rsid w:val="00A01B64"/>
    <w:rsid w:val="00A01E46"/>
    <w:rsid w:val="00A01FC4"/>
    <w:rsid w:val="00A01FDB"/>
    <w:rsid w:val="00A02620"/>
    <w:rsid w:val="00A02ED2"/>
    <w:rsid w:val="00A040EF"/>
    <w:rsid w:val="00A041B7"/>
    <w:rsid w:val="00A04B95"/>
    <w:rsid w:val="00A05B04"/>
    <w:rsid w:val="00A05D45"/>
    <w:rsid w:val="00A05DE5"/>
    <w:rsid w:val="00A05FF1"/>
    <w:rsid w:val="00A06026"/>
    <w:rsid w:val="00A06864"/>
    <w:rsid w:val="00A06F9F"/>
    <w:rsid w:val="00A07714"/>
    <w:rsid w:val="00A07AFE"/>
    <w:rsid w:val="00A10313"/>
    <w:rsid w:val="00A1084E"/>
    <w:rsid w:val="00A11127"/>
    <w:rsid w:val="00A123A9"/>
    <w:rsid w:val="00A1278A"/>
    <w:rsid w:val="00A12F11"/>
    <w:rsid w:val="00A137CA"/>
    <w:rsid w:val="00A14148"/>
    <w:rsid w:val="00A141AC"/>
    <w:rsid w:val="00A14709"/>
    <w:rsid w:val="00A14B57"/>
    <w:rsid w:val="00A14E1C"/>
    <w:rsid w:val="00A153D5"/>
    <w:rsid w:val="00A15FC8"/>
    <w:rsid w:val="00A1600F"/>
    <w:rsid w:val="00A16123"/>
    <w:rsid w:val="00A16F60"/>
    <w:rsid w:val="00A179E6"/>
    <w:rsid w:val="00A2038C"/>
    <w:rsid w:val="00A21474"/>
    <w:rsid w:val="00A21E99"/>
    <w:rsid w:val="00A21EC1"/>
    <w:rsid w:val="00A22073"/>
    <w:rsid w:val="00A228D3"/>
    <w:rsid w:val="00A2303D"/>
    <w:rsid w:val="00A23729"/>
    <w:rsid w:val="00A23D03"/>
    <w:rsid w:val="00A24514"/>
    <w:rsid w:val="00A24594"/>
    <w:rsid w:val="00A24CDD"/>
    <w:rsid w:val="00A252B2"/>
    <w:rsid w:val="00A25D9F"/>
    <w:rsid w:val="00A25E81"/>
    <w:rsid w:val="00A264E4"/>
    <w:rsid w:val="00A2691C"/>
    <w:rsid w:val="00A26BA5"/>
    <w:rsid w:val="00A27FD4"/>
    <w:rsid w:val="00A302FC"/>
    <w:rsid w:val="00A303A1"/>
    <w:rsid w:val="00A30696"/>
    <w:rsid w:val="00A30ABB"/>
    <w:rsid w:val="00A30B4E"/>
    <w:rsid w:val="00A31221"/>
    <w:rsid w:val="00A313BC"/>
    <w:rsid w:val="00A3191F"/>
    <w:rsid w:val="00A32057"/>
    <w:rsid w:val="00A3221C"/>
    <w:rsid w:val="00A33BD3"/>
    <w:rsid w:val="00A34032"/>
    <w:rsid w:val="00A349CB"/>
    <w:rsid w:val="00A3510B"/>
    <w:rsid w:val="00A375AC"/>
    <w:rsid w:val="00A377D2"/>
    <w:rsid w:val="00A37962"/>
    <w:rsid w:val="00A379DC"/>
    <w:rsid w:val="00A37AD2"/>
    <w:rsid w:val="00A37CDF"/>
    <w:rsid w:val="00A37E55"/>
    <w:rsid w:val="00A407DF"/>
    <w:rsid w:val="00A40F17"/>
    <w:rsid w:val="00A414C1"/>
    <w:rsid w:val="00A415E1"/>
    <w:rsid w:val="00A419AA"/>
    <w:rsid w:val="00A41CDA"/>
    <w:rsid w:val="00A41E82"/>
    <w:rsid w:val="00A42647"/>
    <w:rsid w:val="00A42761"/>
    <w:rsid w:val="00A42B06"/>
    <w:rsid w:val="00A42C8D"/>
    <w:rsid w:val="00A43B9F"/>
    <w:rsid w:val="00A45052"/>
    <w:rsid w:val="00A45082"/>
    <w:rsid w:val="00A450AD"/>
    <w:rsid w:val="00A452DD"/>
    <w:rsid w:val="00A46558"/>
    <w:rsid w:val="00A47013"/>
    <w:rsid w:val="00A4709D"/>
    <w:rsid w:val="00A471BD"/>
    <w:rsid w:val="00A474C0"/>
    <w:rsid w:val="00A475F7"/>
    <w:rsid w:val="00A47763"/>
    <w:rsid w:val="00A477C5"/>
    <w:rsid w:val="00A47BC4"/>
    <w:rsid w:val="00A50393"/>
    <w:rsid w:val="00A5047A"/>
    <w:rsid w:val="00A50621"/>
    <w:rsid w:val="00A509D1"/>
    <w:rsid w:val="00A50F08"/>
    <w:rsid w:val="00A51638"/>
    <w:rsid w:val="00A52D4B"/>
    <w:rsid w:val="00A5320C"/>
    <w:rsid w:val="00A53CDB"/>
    <w:rsid w:val="00A544D5"/>
    <w:rsid w:val="00A54515"/>
    <w:rsid w:val="00A54A74"/>
    <w:rsid w:val="00A54D12"/>
    <w:rsid w:val="00A54F01"/>
    <w:rsid w:val="00A55015"/>
    <w:rsid w:val="00A55194"/>
    <w:rsid w:val="00A556D1"/>
    <w:rsid w:val="00A5622C"/>
    <w:rsid w:val="00A56D2C"/>
    <w:rsid w:val="00A56ED6"/>
    <w:rsid w:val="00A57274"/>
    <w:rsid w:val="00A57331"/>
    <w:rsid w:val="00A573F2"/>
    <w:rsid w:val="00A600AD"/>
    <w:rsid w:val="00A60CCF"/>
    <w:rsid w:val="00A62766"/>
    <w:rsid w:val="00A62D33"/>
    <w:rsid w:val="00A62EE1"/>
    <w:rsid w:val="00A63A42"/>
    <w:rsid w:val="00A6452F"/>
    <w:rsid w:val="00A64849"/>
    <w:rsid w:val="00A65D43"/>
    <w:rsid w:val="00A664D7"/>
    <w:rsid w:val="00A668F8"/>
    <w:rsid w:val="00A66F42"/>
    <w:rsid w:val="00A6784F"/>
    <w:rsid w:val="00A70748"/>
    <w:rsid w:val="00A70C71"/>
    <w:rsid w:val="00A716B5"/>
    <w:rsid w:val="00A718B5"/>
    <w:rsid w:val="00A71A4F"/>
    <w:rsid w:val="00A72D0E"/>
    <w:rsid w:val="00A73457"/>
    <w:rsid w:val="00A739F8"/>
    <w:rsid w:val="00A75848"/>
    <w:rsid w:val="00A7584E"/>
    <w:rsid w:val="00A76E0D"/>
    <w:rsid w:val="00A77B5A"/>
    <w:rsid w:val="00A80342"/>
    <w:rsid w:val="00A807D4"/>
    <w:rsid w:val="00A80BCA"/>
    <w:rsid w:val="00A81663"/>
    <w:rsid w:val="00A81C62"/>
    <w:rsid w:val="00A8213A"/>
    <w:rsid w:val="00A825FE"/>
    <w:rsid w:val="00A82BFA"/>
    <w:rsid w:val="00A837AB"/>
    <w:rsid w:val="00A837CC"/>
    <w:rsid w:val="00A84051"/>
    <w:rsid w:val="00A8406D"/>
    <w:rsid w:val="00A842FD"/>
    <w:rsid w:val="00A84859"/>
    <w:rsid w:val="00A848AF"/>
    <w:rsid w:val="00A84A9C"/>
    <w:rsid w:val="00A84E39"/>
    <w:rsid w:val="00A85502"/>
    <w:rsid w:val="00A858F4"/>
    <w:rsid w:val="00A85A7D"/>
    <w:rsid w:val="00A87688"/>
    <w:rsid w:val="00A87B46"/>
    <w:rsid w:val="00A90021"/>
    <w:rsid w:val="00A90273"/>
    <w:rsid w:val="00A915D9"/>
    <w:rsid w:val="00A917D9"/>
    <w:rsid w:val="00A91835"/>
    <w:rsid w:val="00A9195A"/>
    <w:rsid w:val="00A92397"/>
    <w:rsid w:val="00A92A4D"/>
    <w:rsid w:val="00A92AB9"/>
    <w:rsid w:val="00A9390F"/>
    <w:rsid w:val="00A93A80"/>
    <w:rsid w:val="00A93D3A"/>
    <w:rsid w:val="00A9449A"/>
    <w:rsid w:val="00A94DA4"/>
    <w:rsid w:val="00A958A0"/>
    <w:rsid w:val="00A95E39"/>
    <w:rsid w:val="00A9731E"/>
    <w:rsid w:val="00AA002E"/>
    <w:rsid w:val="00AA0344"/>
    <w:rsid w:val="00AA0CB9"/>
    <w:rsid w:val="00AA109C"/>
    <w:rsid w:val="00AA1364"/>
    <w:rsid w:val="00AA1399"/>
    <w:rsid w:val="00AA186A"/>
    <w:rsid w:val="00AA1E2B"/>
    <w:rsid w:val="00AA229E"/>
    <w:rsid w:val="00AA2BC3"/>
    <w:rsid w:val="00AA2CB3"/>
    <w:rsid w:val="00AA33D3"/>
    <w:rsid w:val="00AA4086"/>
    <w:rsid w:val="00AA4739"/>
    <w:rsid w:val="00AA56D1"/>
    <w:rsid w:val="00AA7113"/>
    <w:rsid w:val="00AB0475"/>
    <w:rsid w:val="00AB0A1B"/>
    <w:rsid w:val="00AB102C"/>
    <w:rsid w:val="00AB103B"/>
    <w:rsid w:val="00AB140A"/>
    <w:rsid w:val="00AB142E"/>
    <w:rsid w:val="00AB1877"/>
    <w:rsid w:val="00AB1ADB"/>
    <w:rsid w:val="00AB236C"/>
    <w:rsid w:val="00AB2710"/>
    <w:rsid w:val="00AB2994"/>
    <w:rsid w:val="00AB30BC"/>
    <w:rsid w:val="00AB47F3"/>
    <w:rsid w:val="00AB4961"/>
    <w:rsid w:val="00AB4BCF"/>
    <w:rsid w:val="00AB55AB"/>
    <w:rsid w:val="00AB58F4"/>
    <w:rsid w:val="00AB6C9A"/>
    <w:rsid w:val="00AB794A"/>
    <w:rsid w:val="00AC05F7"/>
    <w:rsid w:val="00AC0F32"/>
    <w:rsid w:val="00AC1E2D"/>
    <w:rsid w:val="00AC235C"/>
    <w:rsid w:val="00AC254E"/>
    <w:rsid w:val="00AC2B99"/>
    <w:rsid w:val="00AC2D0B"/>
    <w:rsid w:val="00AC343D"/>
    <w:rsid w:val="00AC3461"/>
    <w:rsid w:val="00AC35CC"/>
    <w:rsid w:val="00AC3EAB"/>
    <w:rsid w:val="00AC3F4E"/>
    <w:rsid w:val="00AC4220"/>
    <w:rsid w:val="00AC4CA6"/>
    <w:rsid w:val="00AC4CB2"/>
    <w:rsid w:val="00AC59F1"/>
    <w:rsid w:val="00AC654B"/>
    <w:rsid w:val="00AC6954"/>
    <w:rsid w:val="00AD0766"/>
    <w:rsid w:val="00AD08FD"/>
    <w:rsid w:val="00AD26EA"/>
    <w:rsid w:val="00AD30EF"/>
    <w:rsid w:val="00AD36C3"/>
    <w:rsid w:val="00AD3A38"/>
    <w:rsid w:val="00AD4011"/>
    <w:rsid w:val="00AD567E"/>
    <w:rsid w:val="00AD66FF"/>
    <w:rsid w:val="00AD7743"/>
    <w:rsid w:val="00AE0044"/>
    <w:rsid w:val="00AE0FCF"/>
    <w:rsid w:val="00AE105C"/>
    <w:rsid w:val="00AE1560"/>
    <w:rsid w:val="00AE270A"/>
    <w:rsid w:val="00AE29E1"/>
    <w:rsid w:val="00AE2ACE"/>
    <w:rsid w:val="00AE2AED"/>
    <w:rsid w:val="00AE2B0C"/>
    <w:rsid w:val="00AE2C11"/>
    <w:rsid w:val="00AE2F2F"/>
    <w:rsid w:val="00AE31A8"/>
    <w:rsid w:val="00AE3A16"/>
    <w:rsid w:val="00AE3A6C"/>
    <w:rsid w:val="00AE3E64"/>
    <w:rsid w:val="00AE44C2"/>
    <w:rsid w:val="00AE54D4"/>
    <w:rsid w:val="00AE6649"/>
    <w:rsid w:val="00AE68E7"/>
    <w:rsid w:val="00AE6C87"/>
    <w:rsid w:val="00AE705A"/>
    <w:rsid w:val="00AE70A2"/>
    <w:rsid w:val="00AE72AF"/>
    <w:rsid w:val="00AE7481"/>
    <w:rsid w:val="00AE7570"/>
    <w:rsid w:val="00AE79E2"/>
    <w:rsid w:val="00AE7EEA"/>
    <w:rsid w:val="00AF16A6"/>
    <w:rsid w:val="00AF21AD"/>
    <w:rsid w:val="00AF2B0E"/>
    <w:rsid w:val="00AF2FFF"/>
    <w:rsid w:val="00AF4485"/>
    <w:rsid w:val="00AF47C6"/>
    <w:rsid w:val="00AF47EF"/>
    <w:rsid w:val="00AF4EA5"/>
    <w:rsid w:val="00AF5CA6"/>
    <w:rsid w:val="00AF60C0"/>
    <w:rsid w:val="00AF672C"/>
    <w:rsid w:val="00AF7B74"/>
    <w:rsid w:val="00B006C3"/>
    <w:rsid w:val="00B00965"/>
    <w:rsid w:val="00B00BE5"/>
    <w:rsid w:val="00B00C83"/>
    <w:rsid w:val="00B01049"/>
    <w:rsid w:val="00B01740"/>
    <w:rsid w:val="00B0174D"/>
    <w:rsid w:val="00B01E46"/>
    <w:rsid w:val="00B02690"/>
    <w:rsid w:val="00B02907"/>
    <w:rsid w:val="00B02D25"/>
    <w:rsid w:val="00B0375C"/>
    <w:rsid w:val="00B0383B"/>
    <w:rsid w:val="00B038B2"/>
    <w:rsid w:val="00B04B33"/>
    <w:rsid w:val="00B04B59"/>
    <w:rsid w:val="00B04BFC"/>
    <w:rsid w:val="00B04C96"/>
    <w:rsid w:val="00B0516C"/>
    <w:rsid w:val="00B06628"/>
    <w:rsid w:val="00B068F6"/>
    <w:rsid w:val="00B06AC9"/>
    <w:rsid w:val="00B06EB0"/>
    <w:rsid w:val="00B071B4"/>
    <w:rsid w:val="00B1104E"/>
    <w:rsid w:val="00B124A2"/>
    <w:rsid w:val="00B12774"/>
    <w:rsid w:val="00B13F11"/>
    <w:rsid w:val="00B143FC"/>
    <w:rsid w:val="00B148A7"/>
    <w:rsid w:val="00B14B3E"/>
    <w:rsid w:val="00B14FB4"/>
    <w:rsid w:val="00B16108"/>
    <w:rsid w:val="00B164A2"/>
    <w:rsid w:val="00B16C8E"/>
    <w:rsid w:val="00B16C9F"/>
    <w:rsid w:val="00B17F4F"/>
    <w:rsid w:val="00B20131"/>
    <w:rsid w:val="00B21546"/>
    <w:rsid w:val="00B2159E"/>
    <w:rsid w:val="00B2311C"/>
    <w:rsid w:val="00B231B3"/>
    <w:rsid w:val="00B23796"/>
    <w:rsid w:val="00B238C8"/>
    <w:rsid w:val="00B23A3E"/>
    <w:rsid w:val="00B23C33"/>
    <w:rsid w:val="00B243ED"/>
    <w:rsid w:val="00B24423"/>
    <w:rsid w:val="00B254B0"/>
    <w:rsid w:val="00B254D6"/>
    <w:rsid w:val="00B259FE"/>
    <w:rsid w:val="00B25C84"/>
    <w:rsid w:val="00B25E99"/>
    <w:rsid w:val="00B2730F"/>
    <w:rsid w:val="00B27853"/>
    <w:rsid w:val="00B30405"/>
    <w:rsid w:val="00B30CBC"/>
    <w:rsid w:val="00B30DC2"/>
    <w:rsid w:val="00B30DEF"/>
    <w:rsid w:val="00B30F07"/>
    <w:rsid w:val="00B30F46"/>
    <w:rsid w:val="00B311D2"/>
    <w:rsid w:val="00B31414"/>
    <w:rsid w:val="00B314FD"/>
    <w:rsid w:val="00B3153E"/>
    <w:rsid w:val="00B3181F"/>
    <w:rsid w:val="00B31B5D"/>
    <w:rsid w:val="00B32231"/>
    <w:rsid w:val="00B3279D"/>
    <w:rsid w:val="00B32E61"/>
    <w:rsid w:val="00B32E7D"/>
    <w:rsid w:val="00B33689"/>
    <w:rsid w:val="00B336C3"/>
    <w:rsid w:val="00B33BF6"/>
    <w:rsid w:val="00B34135"/>
    <w:rsid w:val="00B3413B"/>
    <w:rsid w:val="00B3426A"/>
    <w:rsid w:val="00B346DB"/>
    <w:rsid w:val="00B35629"/>
    <w:rsid w:val="00B35A88"/>
    <w:rsid w:val="00B36CA4"/>
    <w:rsid w:val="00B37204"/>
    <w:rsid w:val="00B37221"/>
    <w:rsid w:val="00B373B7"/>
    <w:rsid w:val="00B37443"/>
    <w:rsid w:val="00B379FF"/>
    <w:rsid w:val="00B37B78"/>
    <w:rsid w:val="00B4088B"/>
    <w:rsid w:val="00B41B1B"/>
    <w:rsid w:val="00B42002"/>
    <w:rsid w:val="00B42208"/>
    <w:rsid w:val="00B4239C"/>
    <w:rsid w:val="00B43053"/>
    <w:rsid w:val="00B43AC4"/>
    <w:rsid w:val="00B444BD"/>
    <w:rsid w:val="00B44D9E"/>
    <w:rsid w:val="00B44F97"/>
    <w:rsid w:val="00B45F94"/>
    <w:rsid w:val="00B46204"/>
    <w:rsid w:val="00B46B52"/>
    <w:rsid w:val="00B46B8E"/>
    <w:rsid w:val="00B47266"/>
    <w:rsid w:val="00B4790A"/>
    <w:rsid w:val="00B5006C"/>
    <w:rsid w:val="00B504B6"/>
    <w:rsid w:val="00B506B6"/>
    <w:rsid w:val="00B50887"/>
    <w:rsid w:val="00B5163A"/>
    <w:rsid w:val="00B518D1"/>
    <w:rsid w:val="00B51B72"/>
    <w:rsid w:val="00B51E6E"/>
    <w:rsid w:val="00B52439"/>
    <w:rsid w:val="00B5345B"/>
    <w:rsid w:val="00B5391B"/>
    <w:rsid w:val="00B53B27"/>
    <w:rsid w:val="00B53E0F"/>
    <w:rsid w:val="00B54174"/>
    <w:rsid w:val="00B5468D"/>
    <w:rsid w:val="00B54C10"/>
    <w:rsid w:val="00B54C9F"/>
    <w:rsid w:val="00B55113"/>
    <w:rsid w:val="00B55121"/>
    <w:rsid w:val="00B55245"/>
    <w:rsid w:val="00B56035"/>
    <w:rsid w:val="00B56F16"/>
    <w:rsid w:val="00B56F72"/>
    <w:rsid w:val="00B57787"/>
    <w:rsid w:val="00B60120"/>
    <w:rsid w:val="00B6020B"/>
    <w:rsid w:val="00B60B97"/>
    <w:rsid w:val="00B61155"/>
    <w:rsid w:val="00B6148E"/>
    <w:rsid w:val="00B61600"/>
    <w:rsid w:val="00B6229B"/>
    <w:rsid w:val="00B628AE"/>
    <w:rsid w:val="00B62E96"/>
    <w:rsid w:val="00B6303F"/>
    <w:rsid w:val="00B632AC"/>
    <w:rsid w:val="00B63C59"/>
    <w:rsid w:val="00B63C9B"/>
    <w:rsid w:val="00B64854"/>
    <w:rsid w:val="00B648B4"/>
    <w:rsid w:val="00B655D5"/>
    <w:rsid w:val="00B65727"/>
    <w:rsid w:val="00B65ABB"/>
    <w:rsid w:val="00B65C1F"/>
    <w:rsid w:val="00B67007"/>
    <w:rsid w:val="00B671CA"/>
    <w:rsid w:val="00B67259"/>
    <w:rsid w:val="00B677DA"/>
    <w:rsid w:val="00B67B8B"/>
    <w:rsid w:val="00B70935"/>
    <w:rsid w:val="00B70A5C"/>
    <w:rsid w:val="00B713FB"/>
    <w:rsid w:val="00B7174D"/>
    <w:rsid w:val="00B71DAE"/>
    <w:rsid w:val="00B720F9"/>
    <w:rsid w:val="00B72899"/>
    <w:rsid w:val="00B72E2D"/>
    <w:rsid w:val="00B73F1A"/>
    <w:rsid w:val="00B74444"/>
    <w:rsid w:val="00B74B8C"/>
    <w:rsid w:val="00B764B5"/>
    <w:rsid w:val="00B76DD5"/>
    <w:rsid w:val="00B76E10"/>
    <w:rsid w:val="00B76E93"/>
    <w:rsid w:val="00B77050"/>
    <w:rsid w:val="00B7734D"/>
    <w:rsid w:val="00B77DE3"/>
    <w:rsid w:val="00B77EE5"/>
    <w:rsid w:val="00B77F7B"/>
    <w:rsid w:val="00B806F8"/>
    <w:rsid w:val="00B808B3"/>
    <w:rsid w:val="00B80F21"/>
    <w:rsid w:val="00B80F36"/>
    <w:rsid w:val="00B8134A"/>
    <w:rsid w:val="00B8196E"/>
    <w:rsid w:val="00B822CD"/>
    <w:rsid w:val="00B825EE"/>
    <w:rsid w:val="00B82B78"/>
    <w:rsid w:val="00B82D57"/>
    <w:rsid w:val="00B834CA"/>
    <w:rsid w:val="00B83BAA"/>
    <w:rsid w:val="00B83CF8"/>
    <w:rsid w:val="00B84C56"/>
    <w:rsid w:val="00B85366"/>
    <w:rsid w:val="00B85724"/>
    <w:rsid w:val="00B85B54"/>
    <w:rsid w:val="00B866C4"/>
    <w:rsid w:val="00B86ABA"/>
    <w:rsid w:val="00B86FEF"/>
    <w:rsid w:val="00B872DF"/>
    <w:rsid w:val="00B875A7"/>
    <w:rsid w:val="00B8790A"/>
    <w:rsid w:val="00B87C49"/>
    <w:rsid w:val="00B906B2"/>
    <w:rsid w:val="00B90C3E"/>
    <w:rsid w:val="00B920B8"/>
    <w:rsid w:val="00B92130"/>
    <w:rsid w:val="00B93D45"/>
    <w:rsid w:val="00B94043"/>
    <w:rsid w:val="00B94777"/>
    <w:rsid w:val="00B94856"/>
    <w:rsid w:val="00B94CEC"/>
    <w:rsid w:val="00B9506C"/>
    <w:rsid w:val="00B9543E"/>
    <w:rsid w:val="00B959F9"/>
    <w:rsid w:val="00B95FFF"/>
    <w:rsid w:val="00B96178"/>
    <w:rsid w:val="00B96849"/>
    <w:rsid w:val="00B96D91"/>
    <w:rsid w:val="00B971B4"/>
    <w:rsid w:val="00B978B5"/>
    <w:rsid w:val="00B97A0D"/>
    <w:rsid w:val="00B97ABF"/>
    <w:rsid w:val="00BA030B"/>
    <w:rsid w:val="00BA0644"/>
    <w:rsid w:val="00BA1019"/>
    <w:rsid w:val="00BA110A"/>
    <w:rsid w:val="00BA14CF"/>
    <w:rsid w:val="00BA1EA0"/>
    <w:rsid w:val="00BA295F"/>
    <w:rsid w:val="00BA3195"/>
    <w:rsid w:val="00BA353B"/>
    <w:rsid w:val="00BA3696"/>
    <w:rsid w:val="00BA38FC"/>
    <w:rsid w:val="00BA3FA1"/>
    <w:rsid w:val="00BA40CD"/>
    <w:rsid w:val="00BA4DE2"/>
    <w:rsid w:val="00BA517E"/>
    <w:rsid w:val="00BA6E70"/>
    <w:rsid w:val="00BA6E92"/>
    <w:rsid w:val="00BA7112"/>
    <w:rsid w:val="00BB0335"/>
    <w:rsid w:val="00BB1726"/>
    <w:rsid w:val="00BB24AF"/>
    <w:rsid w:val="00BB27A7"/>
    <w:rsid w:val="00BB28FC"/>
    <w:rsid w:val="00BB2E7A"/>
    <w:rsid w:val="00BB33E8"/>
    <w:rsid w:val="00BB3A5A"/>
    <w:rsid w:val="00BB5508"/>
    <w:rsid w:val="00BB55EC"/>
    <w:rsid w:val="00BB562D"/>
    <w:rsid w:val="00BB60B4"/>
    <w:rsid w:val="00BB60EB"/>
    <w:rsid w:val="00BB6875"/>
    <w:rsid w:val="00BC016F"/>
    <w:rsid w:val="00BC0317"/>
    <w:rsid w:val="00BC0332"/>
    <w:rsid w:val="00BC0937"/>
    <w:rsid w:val="00BC16C1"/>
    <w:rsid w:val="00BC1897"/>
    <w:rsid w:val="00BC1E5D"/>
    <w:rsid w:val="00BC1F51"/>
    <w:rsid w:val="00BC226F"/>
    <w:rsid w:val="00BC2A13"/>
    <w:rsid w:val="00BC2FA9"/>
    <w:rsid w:val="00BC3045"/>
    <w:rsid w:val="00BC30FA"/>
    <w:rsid w:val="00BC325E"/>
    <w:rsid w:val="00BC3C10"/>
    <w:rsid w:val="00BC3C63"/>
    <w:rsid w:val="00BC40E0"/>
    <w:rsid w:val="00BC4E82"/>
    <w:rsid w:val="00BC5151"/>
    <w:rsid w:val="00BC52FF"/>
    <w:rsid w:val="00BC57B9"/>
    <w:rsid w:val="00BC5A90"/>
    <w:rsid w:val="00BC5C6D"/>
    <w:rsid w:val="00BC5DC9"/>
    <w:rsid w:val="00BC63AA"/>
    <w:rsid w:val="00BC657B"/>
    <w:rsid w:val="00BC6779"/>
    <w:rsid w:val="00BC6A9A"/>
    <w:rsid w:val="00BC71DA"/>
    <w:rsid w:val="00BC73DF"/>
    <w:rsid w:val="00BC74CE"/>
    <w:rsid w:val="00BC7F17"/>
    <w:rsid w:val="00BD050D"/>
    <w:rsid w:val="00BD11F6"/>
    <w:rsid w:val="00BD1210"/>
    <w:rsid w:val="00BD1A78"/>
    <w:rsid w:val="00BD3868"/>
    <w:rsid w:val="00BD3969"/>
    <w:rsid w:val="00BD458D"/>
    <w:rsid w:val="00BD494E"/>
    <w:rsid w:val="00BD49A3"/>
    <w:rsid w:val="00BD5BF9"/>
    <w:rsid w:val="00BD60EB"/>
    <w:rsid w:val="00BD6263"/>
    <w:rsid w:val="00BD6407"/>
    <w:rsid w:val="00BD68AA"/>
    <w:rsid w:val="00BD6D9A"/>
    <w:rsid w:val="00BD75F2"/>
    <w:rsid w:val="00BD79ED"/>
    <w:rsid w:val="00BD7A43"/>
    <w:rsid w:val="00BE090B"/>
    <w:rsid w:val="00BE10BC"/>
    <w:rsid w:val="00BE138B"/>
    <w:rsid w:val="00BE18E9"/>
    <w:rsid w:val="00BE1EF9"/>
    <w:rsid w:val="00BE24CC"/>
    <w:rsid w:val="00BE2B92"/>
    <w:rsid w:val="00BE2F2B"/>
    <w:rsid w:val="00BE3B8F"/>
    <w:rsid w:val="00BE4423"/>
    <w:rsid w:val="00BE46A9"/>
    <w:rsid w:val="00BE46F5"/>
    <w:rsid w:val="00BE5BA8"/>
    <w:rsid w:val="00BE60A8"/>
    <w:rsid w:val="00BE7238"/>
    <w:rsid w:val="00BE7290"/>
    <w:rsid w:val="00BE75B2"/>
    <w:rsid w:val="00BE7B33"/>
    <w:rsid w:val="00BF0140"/>
    <w:rsid w:val="00BF0514"/>
    <w:rsid w:val="00BF0E5B"/>
    <w:rsid w:val="00BF0FD1"/>
    <w:rsid w:val="00BF18D2"/>
    <w:rsid w:val="00BF1D19"/>
    <w:rsid w:val="00BF1E98"/>
    <w:rsid w:val="00BF1EB3"/>
    <w:rsid w:val="00BF203C"/>
    <w:rsid w:val="00BF25AF"/>
    <w:rsid w:val="00BF3A9E"/>
    <w:rsid w:val="00BF3C3F"/>
    <w:rsid w:val="00BF3CAE"/>
    <w:rsid w:val="00BF428A"/>
    <w:rsid w:val="00BF432C"/>
    <w:rsid w:val="00BF441C"/>
    <w:rsid w:val="00BF4A06"/>
    <w:rsid w:val="00BF532B"/>
    <w:rsid w:val="00BF5A50"/>
    <w:rsid w:val="00BF676D"/>
    <w:rsid w:val="00BF694B"/>
    <w:rsid w:val="00BF6E5F"/>
    <w:rsid w:val="00BF739C"/>
    <w:rsid w:val="00BF784C"/>
    <w:rsid w:val="00BF7FD8"/>
    <w:rsid w:val="00C00B2C"/>
    <w:rsid w:val="00C01C4E"/>
    <w:rsid w:val="00C0263D"/>
    <w:rsid w:val="00C027FA"/>
    <w:rsid w:val="00C0282F"/>
    <w:rsid w:val="00C03989"/>
    <w:rsid w:val="00C039BF"/>
    <w:rsid w:val="00C03C04"/>
    <w:rsid w:val="00C047F0"/>
    <w:rsid w:val="00C04F88"/>
    <w:rsid w:val="00C0552D"/>
    <w:rsid w:val="00C05812"/>
    <w:rsid w:val="00C059B3"/>
    <w:rsid w:val="00C05FC2"/>
    <w:rsid w:val="00C06228"/>
    <w:rsid w:val="00C0628D"/>
    <w:rsid w:val="00C06C9D"/>
    <w:rsid w:val="00C06F1C"/>
    <w:rsid w:val="00C072D3"/>
    <w:rsid w:val="00C0776E"/>
    <w:rsid w:val="00C103C6"/>
    <w:rsid w:val="00C1059F"/>
    <w:rsid w:val="00C1128A"/>
    <w:rsid w:val="00C11821"/>
    <w:rsid w:val="00C11B4E"/>
    <w:rsid w:val="00C11B5C"/>
    <w:rsid w:val="00C1212B"/>
    <w:rsid w:val="00C1233C"/>
    <w:rsid w:val="00C128C1"/>
    <w:rsid w:val="00C134F4"/>
    <w:rsid w:val="00C1361B"/>
    <w:rsid w:val="00C13878"/>
    <w:rsid w:val="00C14518"/>
    <w:rsid w:val="00C14958"/>
    <w:rsid w:val="00C14E52"/>
    <w:rsid w:val="00C15276"/>
    <w:rsid w:val="00C1570A"/>
    <w:rsid w:val="00C16509"/>
    <w:rsid w:val="00C1672E"/>
    <w:rsid w:val="00C16AB9"/>
    <w:rsid w:val="00C1767F"/>
    <w:rsid w:val="00C17AD8"/>
    <w:rsid w:val="00C17E8D"/>
    <w:rsid w:val="00C20919"/>
    <w:rsid w:val="00C20ACC"/>
    <w:rsid w:val="00C210B0"/>
    <w:rsid w:val="00C22485"/>
    <w:rsid w:val="00C238BA"/>
    <w:rsid w:val="00C24A96"/>
    <w:rsid w:val="00C24D29"/>
    <w:rsid w:val="00C25827"/>
    <w:rsid w:val="00C25902"/>
    <w:rsid w:val="00C25A64"/>
    <w:rsid w:val="00C25B0E"/>
    <w:rsid w:val="00C2650B"/>
    <w:rsid w:val="00C26984"/>
    <w:rsid w:val="00C26D12"/>
    <w:rsid w:val="00C2707D"/>
    <w:rsid w:val="00C272C7"/>
    <w:rsid w:val="00C27B0A"/>
    <w:rsid w:val="00C300A3"/>
    <w:rsid w:val="00C31330"/>
    <w:rsid w:val="00C318C5"/>
    <w:rsid w:val="00C31A6A"/>
    <w:rsid w:val="00C31EB7"/>
    <w:rsid w:val="00C32196"/>
    <w:rsid w:val="00C32713"/>
    <w:rsid w:val="00C32C70"/>
    <w:rsid w:val="00C32FD2"/>
    <w:rsid w:val="00C33370"/>
    <w:rsid w:val="00C34651"/>
    <w:rsid w:val="00C347DA"/>
    <w:rsid w:val="00C348CF"/>
    <w:rsid w:val="00C34A49"/>
    <w:rsid w:val="00C351D3"/>
    <w:rsid w:val="00C35833"/>
    <w:rsid w:val="00C36331"/>
    <w:rsid w:val="00C36CFE"/>
    <w:rsid w:val="00C37391"/>
    <w:rsid w:val="00C37516"/>
    <w:rsid w:val="00C378D6"/>
    <w:rsid w:val="00C37AB8"/>
    <w:rsid w:val="00C40106"/>
    <w:rsid w:val="00C40363"/>
    <w:rsid w:val="00C4043E"/>
    <w:rsid w:val="00C404A1"/>
    <w:rsid w:val="00C406E2"/>
    <w:rsid w:val="00C408C0"/>
    <w:rsid w:val="00C41208"/>
    <w:rsid w:val="00C41379"/>
    <w:rsid w:val="00C41877"/>
    <w:rsid w:val="00C41A85"/>
    <w:rsid w:val="00C423AF"/>
    <w:rsid w:val="00C42424"/>
    <w:rsid w:val="00C42675"/>
    <w:rsid w:val="00C42A46"/>
    <w:rsid w:val="00C42D4E"/>
    <w:rsid w:val="00C42FF8"/>
    <w:rsid w:val="00C43052"/>
    <w:rsid w:val="00C431D7"/>
    <w:rsid w:val="00C434EF"/>
    <w:rsid w:val="00C43616"/>
    <w:rsid w:val="00C448AA"/>
    <w:rsid w:val="00C44B0F"/>
    <w:rsid w:val="00C44C52"/>
    <w:rsid w:val="00C44FDE"/>
    <w:rsid w:val="00C44FDF"/>
    <w:rsid w:val="00C451E2"/>
    <w:rsid w:val="00C45484"/>
    <w:rsid w:val="00C45F5E"/>
    <w:rsid w:val="00C46867"/>
    <w:rsid w:val="00C46A9D"/>
    <w:rsid w:val="00C46DAA"/>
    <w:rsid w:val="00C46E55"/>
    <w:rsid w:val="00C46EA9"/>
    <w:rsid w:val="00C47311"/>
    <w:rsid w:val="00C4761A"/>
    <w:rsid w:val="00C50C0F"/>
    <w:rsid w:val="00C50E12"/>
    <w:rsid w:val="00C50F9A"/>
    <w:rsid w:val="00C516D8"/>
    <w:rsid w:val="00C52590"/>
    <w:rsid w:val="00C53879"/>
    <w:rsid w:val="00C54072"/>
    <w:rsid w:val="00C54C99"/>
    <w:rsid w:val="00C55021"/>
    <w:rsid w:val="00C55F9C"/>
    <w:rsid w:val="00C56996"/>
    <w:rsid w:val="00C56BBF"/>
    <w:rsid w:val="00C56D91"/>
    <w:rsid w:val="00C571DB"/>
    <w:rsid w:val="00C577FD"/>
    <w:rsid w:val="00C57D06"/>
    <w:rsid w:val="00C601FB"/>
    <w:rsid w:val="00C606A7"/>
    <w:rsid w:val="00C61186"/>
    <w:rsid w:val="00C61DA3"/>
    <w:rsid w:val="00C61F77"/>
    <w:rsid w:val="00C62028"/>
    <w:rsid w:val="00C62731"/>
    <w:rsid w:val="00C634FE"/>
    <w:rsid w:val="00C63AEB"/>
    <w:rsid w:val="00C64270"/>
    <w:rsid w:val="00C6469E"/>
    <w:rsid w:val="00C658B2"/>
    <w:rsid w:val="00C65A75"/>
    <w:rsid w:val="00C66AE8"/>
    <w:rsid w:val="00C67012"/>
    <w:rsid w:val="00C6743F"/>
    <w:rsid w:val="00C6749E"/>
    <w:rsid w:val="00C67DBC"/>
    <w:rsid w:val="00C70107"/>
    <w:rsid w:val="00C70D10"/>
    <w:rsid w:val="00C70D77"/>
    <w:rsid w:val="00C71644"/>
    <w:rsid w:val="00C71649"/>
    <w:rsid w:val="00C71BC6"/>
    <w:rsid w:val="00C71C06"/>
    <w:rsid w:val="00C74213"/>
    <w:rsid w:val="00C75CF5"/>
    <w:rsid w:val="00C75EE0"/>
    <w:rsid w:val="00C767D4"/>
    <w:rsid w:val="00C7685A"/>
    <w:rsid w:val="00C779F7"/>
    <w:rsid w:val="00C77C29"/>
    <w:rsid w:val="00C77D28"/>
    <w:rsid w:val="00C802AB"/>
    <w:rsid w:val="00C807F1"/>
    <w:rsid w:val="00C8095B"/>
    <w:rsid w:val="00C80A97"/>
    <w:rsid w:val="00C80B23"/>
    <w:rsid w:val="00C80F02"/>
    <w:rsid w:val="00C82371"/>
    <w:rsid w:val="00C828CA"/>
    <w:rsid w:val="00C82AFE"/>
    <w:rsid w:val="00C830E4"/>
    <w:rsid w:val="00C83178"/>
    <w:rsid w:val="00C83356"/>
    <w:rsid w:val="00C838E0"/>
    <w:rsid w:val="00C8396D"/>
    <w:rsid w:val="00C842B6"/>
    <w:rsid w:val="00C84611"/>
    <w:rsid w:val="00C84D77"/>
    <w:rsid w:val="00C850DD"/>
    <w:rsid w:val="00C867A2"/>
    <w:rsid w:val="00C868BF"/>
    <w:rsid w:val="00C87492"/>
    <w:rsid w:val="00C8762D"/>
    <w:rsid w:val="00C87C0D"/>
    <w:rsid w:val="00C9072E"/>
    <w:rsid w:val="00C908EE"/>
    <w:rsid w:val="00C90C05"/>
    <w:rsid w:val="00C90C2D"/>
    <w:rsid w:val="00C912C0"/>
    <w:rsid w:val="00C914DD"/>
    <w:rsid w:val="00C9212F"/>
    <w:rsid w:val="00C926DB"/>
    <w:rsid w:val="00C9281C"/>
    <w:rsid w:val="00C92E9B"/>
    <w:rsid w:val="00C9365F"/>
    <w:rsid w:val="00C93A1A"/>
    <w:rsid w:val="00C941FE"/>
    <w:rsid w:val="00C943B5"/>
    <w:rsid w:val="00C94426"/>
    <w:rsid w:val="00C94D98"/>
    <w:rsid w:val="00C952A6"/>
    <w:rsid w:val="00C95B75"/>
    <w:rsid w:val="00C96766"/>
    <w:rsid w:val="00C96F1E"/>
    <w:rsid w:val="00CA08E0"/>
    <w:rsid w:val="00CA0B96"/>
    <w:rsid w:val="00CA0F18"/>
    <w:rsid w:val="00CA160A"/>
    <w:rsid w:val="00CA21E7"/>
    <w:rsid w:val="00CA2380"/>
    <w:rsid w:val="00CA2878"/>
    <w:rsid w:val="00CA2C2A"/>
    <w:rsid w:val="00CA34A5"/>
    <w:rsid w:val="00CA4330"/>
    <w:rsid w:val="00CA4451"/>
    <w:rsid w:val="00CA45FF"/>
    <w:rsid w:val="00CA464C"/>
    <w:rsid w:val="00CA4A8B"/>
    <w:rsid w:val="00CA4E47"/>
    <w:rsid w:val="00CA514C"/>
    <w:rsid w:val="00CA52DD"/>
    <w:rsid w:val="00CA5FBF"/>
    <w:rsid w:val="00CA634C"/>
    <w:rsid w:val="00CA7239"/>
    <w:rsid w:val="00CB0083"/>
    <w:rsid w:val="00CB03D0"/>
    <w:rsid w:val="00CB0E24"/>
    <w:rsid w:val="00CB0FE5"/>
    <w:rsid w:val="00CB1465"/>
    <w:rsid w:val="00CB1504"/>
    <w:rsid w:val="00CB1996"/>
    <w:rsid w:val="00CB1FB6"/>
    <w:rsid w:val="00CB23A5"/>
    <w:rsid w:val="00CB2671"/>
    <w:rsid w:val="00CB299F"/>
    <w:rsid w:val="00CB2EE3"/>
    <w:rsid w:val="00CB2F57"/>
    <w:rsid w:val="00CB327E"/>
    <w:rsid w:val="00CB3339"/>
    <w:rsid w:val="00CB433E"/>
    <w:rsid w:val="00CB4B84"/>
    <w:rsid w:val="00CB4DD3"/>
    <w:rsid w:val="00CB59C4"/>
    <w:rsid w:val="00CB6522"/>
    <w:rsid w:val="00CB7101"/>
    <w:rsid w:val="00CB725F"/>
    <w:rsid w:val="00CB7A73"/>
    <w:rsid w:val="00CC0387"/>
    <w:rsid w:val="00CC03F9"/>
    <w:rsid w:val="00CC0B6B"/>
    <w:rsid w:val="00CC0FE1"/>
    <w:rsid w:val="00CC35BC"/>
    <w:rsid w:val="00CC38E9"/>
    <w:rsid w:val="00CC3B64"/>
    <w:rsid w:val="00CC3C84"/>
    <w:rsid w:val="00CC4145"/>
    <w:rsid w:val="00CC4346"/>
    <w:rsid w:val="00CC4827"/>
    <w:rsid w:val="00CC4D64"/>
    <w:rsid w:val="00CC4EEE"/>
    <w:rsid w:val="00CC50EB"/>
    <w:rsid w:val="00CC5218"/>
    <w:rsid w:val="00CC59E4"/>
    <w:rsid w:val="00CC5D78"/>
    <w:rsid w:val="00CC6131"/>
    <w:rsid w:val="00CC64AB"/>
    <w:rsid w:val="00CC69C3"/>
    <w:rsid w:val="00CC6B14"/>
    <w:rsid w:val="00CC6BB5"/>
    <w:rsid w:val="00CC6F44"/>
    <w:rsid w:val="00CC7B4C"/>
    <w:rsid w:val="00CC7B6B"/>
    <w:rsid w:val="00CC7E72"/>
    <w:rsid w:val="00CD032B"/>
    <w:rsid w:val="00CD0443"/>
    <w:rsid w:val="00CD0DE4"/>
    <w:rsid w:val="00CD13AF"/>
    <w:rsid w:val="00CD1836"/>
    <w:rsid w:val="00CD19C0"/>
    <w:rsid w:val="00CD1A2A"/>
    <w:rsid w:val="00CD281B"/>
    <w:rsid w:val="00CD3A75"/>
    <w:rsid w:val="00CD3C6F"/>
    <w:rsid w:val="00CD4148"/>
    <w:rsid w:val="00CD5B6A"/>
    <w:rsid w:val="00CD6FDD"/>
    <w:rsid w:val="00CD7040"/>
    <w:rsid w:val="00CD7A3A"/>
    <w:rsid w:val="00CD7A57"/>
    <w:rsid w:val="00CD7D53"/>
    <w:rsid w:val="00CE0239"/>
    <w:rsid w:val="00CE0993"/>
    <w:rsid w:val="00CE09B2"/>
    <w:rsid w:val="00CE0C4E"/>
    <w:rsid w:val="00CE2479"/>
    <w:rsid w:val="00CE327C"/>
    <w:rsid w:val="00CE3806"/>
    <w:rsid w:val="00CE3B10"/>
    <w:rsid w:val="00CE3C8F"/>
    <w:rsid w:val="00CE459B"/>
    <w:rsid w:val="00CE48CA"/>
    <w:rsid w:val="00CE4934"/>
    <w:rsid w:val="00CE5124"/>
    <w:rsid w:val="00CE5D95"/>
    <w:rsid w:val="00CE5EC6"/>
    <w:rsid w:val="00CE688B"/>
    <w:rsid w:val="00CE6F26"/>
    <w:rsid w:val="00CE73FB"/>
    <w:rsid w:val="00CE758A"/>
    <w:rsid w:val="00CE7649"/>
    <w:rsid w:val="00CE7C85"/>
    <w:rsid w:val="00CF02A7"/>
    <w:rsid w:val="00CF0393"/>
    <w:rsid w:val="00CF0FD0"/>
    <w:rsid w:val="00CF1AA0"/>
    <w:rsid w:val="00CF2379"/>
    <w:rsid w:val="00CF2484"/>
    <w:rsid w:val="00CF40F9"/>
    <w:rsid w:val="00CF4E00"/>
    <w:rsid w:val="00CF501C"/>
    <w:rsid w:val="00CF5575"/>
    <w:rsid w:val="00CF6BC7"/>
    <w:rsid w:val="00CF6EE3"/>
    <w:rsid w:val="00CF7C1D"/>
    <w:rsid w:val="00D0046E"/>
    <w:rsid w:val="00D00B62"/>
    <w:rsid w:val="00D00E6E"/>
    <w:rsid w:val="00D01B43"/>
    <w:rsid w:val="00D020C2"/>
    <w:rsid w:val="00D027B3"/>
    <w:rsid w:val="00D027CD"/>
    <w:rsid w:val="00D04389"/>
    <w:rsid w:val="00D04508"/>
    <w:rsid w:val="00D04679"/>
    <w:rsid w:val="00D04D12"/>
    <w:rsid w:val="00D04E6B"/>
    <w:rsid w:val="00D05D22"/>
    <w:rsid w:val="00D05E62"/>
    <w:rsid w:val="00D06041"/>
    <w:rsid w:val="00D062A0"/>
    <w:rsid w:val="00D0788E"/>
    <w:rsid w:val="00D07AF4"/>
    <w:rsid w:val="00D07F21"/>
    <w:rsid w:val="00D101AA"/>
    <w:rsid w:val="00D105EF"/>
    <w:rsid w:val="00D10C69"/>
    <w:rsid w:val="00D113D4"/>
    <w:rsid w:val="00D1144A"/>
    <w:rsid w:val="00D11D37"/>
    <w:rsid w:val="00D126BB"/>
    <w:rsid w:val="00D13307"/>
    <w:rsid w:val="00D13B4E"/>
    <w:rsid w:val="00D13FB8"/>
    <w:rsid w:val="00D140D3"/>
    <w:rsid w:val="00D14151"/>
    <w:rsid w:val="00D143E2"/>
    <w:rsid w:val="00D14729"/>
    <w:rsid w:val="00D14BDA"/>
    <w:rsid w:val="00D153A3"/>
    <w:rsid w:val="00D1566E"/>
    <w:rsid w:val="00D158AE"/>
    <w:rsid w:val="00D15931"/>
    <w:rsid w:val="00D159DE"/>
    <w:rsid w:val="00D15EEA"/>
    <w:rsid w:val="00D161E7"/>
    <w:rsid w:val="00D1750B"/>
    <w:rsid w:val="00D200F5"/>
    <w:rsid w:val="00D20570"/>
    <w:rsid w:val="00D20608"/>
    <w:rsid w:val="00D216F8"/>
    <w:rsid w:val="00D223A2"/>
    <w:rsid w:val="00D225A7"/>
    <w:rsid w:val="00D22EB6"/>
    <w:rsid w:val="00D22F2D"/>
    <w:rsid w:val="00D241B7"/>
    <w:rsid w:val="00D243AF"/>
    <w:rsid w:val="00D24649"/>
    <w:rsid w:val="00D248DC"/>
    <w:rsid w:val="00D24D23"/>
    <w:rsid w:val="00D26070"/>
    <w:rsid w:val="00D26165"/>
    <w:rsid w:val="00D2622E"/>
    <w:rsid w:val="00D2646B"/>
    <w:rsid w:val="00D265A8"/>
    <w:rsid w:val="00D27400"/>
    <w:rsid w:val="00D27C8C"/>
    <w:rsid w:val="00D27E3B"/>
    <w:rsid w:val="00D27E7C"/>
    <w:rsid w:val="00D3012F"/>
    <w:rsid w:val="00D30864"/>
    <w:rsid w:val="00D309F9"/>
    <w:rsid w:val="00D30A15"/>
    <w:rsid w:val="00D327AA"/>
    <w:rsid w:val="00D32849"/>
    <w:rsid w:val="00D33204"/>
    <w:rsid w:val="00D3327B"/>
    <w:rsid w:val="00D33503"/>
    <w:rsid w:val="00D3383E"/>
    <w:rsid w:val="00D3587D"/>
    <w:rsid w:val="00D35B39"/>
    <w:rsid w:val="00D35ED3"/>
    <w:rsid w:val="00D3616E"/>
    <w:rsid w:val="00D36486"/>
    <w:rsid w:val="00D36B84"/>
    <w:rsid w:val="00D370F4"/>
    <w:rsid w:val="00D37254"/>
    <w:rsid w:val="00D376D6"/>
    <w:rsid w:val="00D40318"/>
    <w:rsid w:val="00D409FF"/>
    <w:rsid w:val="00D413CC"/>
    <w:rsid w:val="00D41630"/>
    <w:rsid w:val="00D41BBE"/>
    <w:rsid w:val="00D42813"/>
    <w:rsid w:val="00D43066"/>
    <w:rsid w:val="00D43596"/>
    <w:rsid w:val="00D43F7C"/>
    <w:rsid w:val="00D44BF7"/>
    <w:rsid w:val="00D44DB6"/>
    <w:rsid w:val="00D450E9"/>
    <w:rsid w:val="00D456E8"/>
    <w:rsid w:val="00D456EC"/>
    <w:rsid w:val="00D457E6"/>
    <w:rsid w:val="00D467AB"/>
    <w:rsid w:val="00D50182"/>
    <w:rsid w:val="00D5031E"/>
    <w:rsid w:val="00D5051E"/>
    <w:rsid w:val="00D50582"/>
    <w:rsid w:val="00D50960"/>
    <w:rsid w:val="00D50C4D"/>
    <w:rsid w:val="00D51145"/>
    <w:rsid w:val="00D51690"/>
    <w:rsid w:val="00D51D38"/>
    <w:rsid w:val="00D52469"/>
    <w:rsid w:val="00D53098"/>
    <w:rsid w:val="00D536A9"/>
    <w:rsid w:val="00D5393C"/>
    <w:rsid w:val="00D53CC1"/>
    <w:rsid w:val="00D54181"/>
    <w:rsid w:val="00D54224"/>
    <w:rsid w:val="00D54557"/>
    <w:rsid w:val="00D54E6D"/>
    <w:rsid w:val="00D55ADB"/>
    <w:rsid w:val="00D55F82"/>
    <w:rsid w:val="00D56072"/>
    <w:rsid w:val="00D565D7"/>
    <w:rsid w:val="00D567B8"/>
    <w:rsid w:val="00D56D8F"/>
    <w:rsid w:val="00D57699"/>
    <w:rsid w:val="00D57B7D"/>
    <w:rsid w:val="00D60B00"/>
    <w:rsid w:val="00D60D11"/>
    <w:rsid w:val="00D61451"/>
    <w:rsid w:val="00D61E74"/>
    <w:rsid w:val="00D625BC"/>
    <w:rsid w:val="00D62F06"/>
    <w:rsid w:val="00D63105"/>
    <w:rsid w:val="00D6322C"/>
    <w:rsid w:val="00D63BD9"/>
    <w:rsid w:val="00D64591"/>
    <w:rsid w:val="00D64954"/>
    <w:rsid w:val="00D64C7F"/>
    <w:rsid w:val="00D6682A"/>
    <w:rsid w:val="00D66999"/>
    <w:rsid w:val="00D67AC3"/>
    <w:rsid w:val="00D70483"/>
    <w:rsid w:val="00D706BC"/>
    <w:rsid w:val="00D7176A"/>
    <w:rsid w:val="00D71D4E"/>
    <w:rsid w:val="00D72A62"/>
    <w:rsid w:val="00D72C91"/>
    <w:rsid w:val="00D7301C"/>
    <w:rsid w:val="00D7317A"/>
    <w:rsid w:val="00D738F9"/>
    <w:rsid w:val="00D7618C"/>
    <w:rsid w:val="00D761A2"/>
    <w:rsid w:val="00D76DA0"/>
    <w:rsid w:val="00D774B9"/>
    <w:rsid w:val="00D77B91"/>
    <w:rsid w:val="00D80B52"/>
    <w:rsid w:val="00D80B73"/>
    <w:rsid w:val="00D80C70"/>
    <w:rsid w:val="00D80DE6"/>
    <w:rsid w:val="00D81240"/>
    <w:rsid w:val="00D818DC"/>
    <w:rsid w:val="00D81F54"/>
    <w:rsid w:val="00D829CF"/>
    <w:rsid w:val="00D82CC8"/>
    <w:rsid w:val="00D82DB6"/>
    <w:rsid w:val="00D830BE"/>
    <w:rsid w:val="00D832AC"/>
    <w:rsid w:val="00D8478B"/>
    <w:rsid w:val="00D85179"/>
    <w:rsid w:val="00D8532C"/>
    <w:rsid w:val="00D8562B"/>
    <w:rsid w:val="00D856A8"/>
    <w:rsid w:val="00D858D2"/>
    <w:rsid w:val="00D85A87"/>
    <w:rsid w:val="00D869FD"/>
    <w:rsid w:val="00D8705A"/>
    <w:rsid w:val="00D87488"/>
    <w:rsid w:val="00D87700"/>
    <w:rsid w:val="00D87B34"/>
    <w:rsid w:val="00D90572"/>
    <w:rsid w:val="00D914BE"/>
    <w:rsid w:val="00D91595"/>
    <w:rsid w:val="00D91687"/>
    <w:rsid w:val="00D92132"/>
    <w:rsid w:val="00D9277F"/>
    <w:rsid w:val="00D92BE3"/>
    <w:rsid w:val="00D92E71"/>
    <w:rsid w:val="00D93960"/>
    <w:rsid w:val="00D93C7D"/>
    <w:rsid w:val="00D9431F"/>
    <w:rsid w:val="00D94538"/>
    <w:rsid w:val="00D945F4"/>
    <w:rsid w:val="00D94DB2"/>
    <w:rsid w:val="00D94E17"/>
    <w:rsid w:val="00D9540C"/>
    <w:rsid w:val="00D95F50"/>
    <w:rsid w:val="00D96641"/>
    <w:rsid w:val="00D96D7C"/>
    <w:rsid w:val="00D972E6"/>
    <w:rsid w:val="00D97706"/>
    <w:rsid w:val="00D97A3C"/>
    <w:rsid w:val="00D97A84"/>
    <w:rsid w:val="00D97F23"/>
    <w:rsid w:val="00DA08C6"/>
    <w:rsid w:val="00DA0A41"/>
    <w:rsid w:val="00DA0B39"/>
    <w:rsid w:val="00DA0C31"/>
    <w:rsid w:val="00DA1D67"/>
    <w:rsid w:val="00DA2222"/>
    <w:rsid w:val="00DA223D"/>
    <w:rsid w:val="00DA2A73"/>
    <w:rsid w:val="00DA2B03"/>
    <w:rsid w:val="00DA2FD2"/>
    <w:rsid w:val="00DA3E94"/>
    <w:rsid w:val="00DA3EC6"/>
    <w:rsid w:val="00DA3F83"/>
    <w:rsid w:val="00DA4469"/>
    <w:rsid w:val="00DA455A"/>
    <w:rsid w:val="00DA4BBD"/>
    <w:rsid w:val="00DA4C72"/>
    <w:rsid w:val="00DA554E"/>
    <w:rsid w:val="00DA559B"/>
    <w:rsid w:val="00DA6CC0"/>
    <w:rsid w:val="00DA6FCB"/>
    <w:rsid w:val="00DA7511"/>
    <w:rsid w:val="00DA7597"/>
    <w:rsid w:val="00DA7B68"/>
    <w:rsid w:val="00DB055B"/>
    <w:rsid w:val="00DB0DAD"/>
    <w:rsid w:val="00DB1388"/>
    <w:rsid w:val="00DB1C6A"/>
    <w:rsid w:val="00DB1C94"/>
    <w:rsid w:val="00DB1E28"/>
    <w:rsid w:val="00DB26DE"/>
    <w:rsid w:val="00DB2A39"/>
    <w:rsid w:val="00DB2C57"/>
    <w:rsid w:val="00DB3422"/>
    <w:rsid w:val="00DB34BB"/>
    <w:rsid w:val="00DB406A"/>
    <w:rsid w:val="00DB5380"/>
    <w:rsid w:val="00DB54FC"/>
    <w:rsid w:val="00DB5649"/>
    <w:rsid w:val="00DB57BE"/>
    <w:rsid w:val="00DB5FD3"/>
    <w:rsid w:val="00DB63F3"/>
    <w:rsid w:val="00DB6D95"/>
    <w:rsid w:val="00DB7821"/>
    <w:rsid w:val="00DB7DE9"/>
    <w:rsid w:val="00DC1450"/>
    <w:rsid w:val="00DC18A7"/>
    <w:rsid w:val="00DC1F16"/>
    <w:rsid w:val="00DC2A56"/>
    <w:rsid w:val="00DC2B97"/>
    <w:rsid w:val="00DC2C10"/>
    <w:rsid w:val="00DC2C18"/>
    <w:rsid w:val="00DC37FB"/>
    <w:rsid w:val="00DC3AFE"/>
    <w:rsid w:val="00DC3B7C"/>
    <w:rsid w:val="00DC41A2"/>
    <w:rsid w:val="00DC45DA"/>
    <w:rsid w:val="00DC4A8F"/>
    <w:rsid w:val="00DC4AAE"/>
    <w:rsid w:val="00DC4BCC"/>
    <w:rsid w:val="00DC4FE3"/>
    <w:rsid w:val="00DC5074"/>
    <w:rsid w:val="00DC58A1"/>
    <w:rsid w:val="00DC5D5A"/>
    <w:rsid w:val="00DC6B58"/>
    <w:rsid w:val="00DC6DE4"/>
    <w:rsid w:val="00DC710B"/>
    <w:rsid w:val="00DC7356"/>
    <w:rsid w:val="00DC74E3"/>
    <w:rsid w:val="00DC7DD6"/>
    <w:rsid w:val="00DD0765"/>
    <w:rsid w:val="00DD14FA"/>
    <w:rsid w:val="00DD1857"/>
    <w:rsid w:val="00DD38C9"/>
    <w:rsid w:val="00DD3BFD"/>
    <w:rsid w:val="00DD4308"/>
    <w:rsid w:val="00DD43A5"/>
    <w:rsid w:val="00DD550E"/>
    <w:rsid w:val="00DD597F"/>
    <w:rsid w:val="00DD5D13"/>
    <w:rsid w:val="00DD5E66"/>
    <w:rsid w:val="00DD6060"/>
    <w:rsid w:val="00DD632C"/>
    <w:rsid w:val="00DD6B50"/>
    <w:rsid w:val="00DD6D9E"/>
    <w:rsid w:val="00DD7343"/>
    <w:rsid w:val="00DD7576"/>
    <w:rsid w:val="00DD7C69"/>
    <w:rsid w:val="00DE01D3"/>
    <w:rsid w:val="00DE0972"/>
    <w:rsid w:val="00DE098D"/>
    <w:rsid w:val="00DE0E43"/>
    <w:rsid w:val="00DE18D2"/>
    <w:rsid w:val="00DE1B3D"/>
    <w:rsid w:val="00DE1B8D"/>
    <w:rsid w:val="00DE1BFB"/>
    <w:rsid w:val="00DE1C11"/>
    <w:rsid w:val="00DE1E9C"/>
    <w:rsid w:val="00DE39AF"/>
    <w:rsid w:val="00DE40FF"/>
    <w:rsid w:val="00DE46AC"/>
    <w:rsid w:val="00DE4BE9"/>
    <w:rsid w:val="00DE4C63"/>
    <w:rsid w:val="00DE5996"/>
    <w:rsid w:val="00DE66B5"/>
    <w:rsid w:val="00DE7861"/>
    <w:rsid w:val="00DF0490"/>
    <w:rsid w:val="00DF0E80"/>
    <w:rsid w:val="00DF154E"/>
    <w:rsid w:val="00DF164B"/>
    <w:rsid w:val="00DF1EE4"/>
    <w:rsid w:val="00DF219D"/>
    <w:rsid w:val="00DF2F14"/>
    <w:rsid w:val="00DF348F"/>
    <w:rsid w:val="00DF3D3C"/>
    <w:rsid w:val="00DF4476"/>
    <w:rsid w:val="00DF46CD"/>
    <w:rsid w:val="00DF58DC"/>
    <w:rsid w:val="00DF59D7"/>
    <w:rsid w:val="00DF5A09"/>
    <w:rsid w:val="00DF5DEA"/>
    <w:rsid w:val="00DF65E2"/>
    <w:rsid w:val="00DF66B6"/>
    <w:rsid w:val="00DF6B42"/>
    <w:rsid w:val="00E0018B"/>
    <w:rsid w:val="00E002C1"/>
    <w:rsid w:val="00E00ED4"/>
    <w:rsid w:val="00E01339"/>
    <w:rsid w:val="00E01416"/>
    <w:rsid w:val="00E01CCC"/>
    <w:rsid w:val="00E01D3D"/>
    <w:rsid w:val="00E0253E"/>
    <w:rsid w:val="00E02755"/>
    <w:rsid w:val="00E027EC"/>
    <w:rsid w:val="00E02CF7"/>
    <w:rsid w:val="00E02F8F"/>
    <w:rsid w:val="00E033F2"/>
    <w:rsid w:val="00E03655"/>
    <w:rsid w:val="00E03CB4"/>
    <w:rsid w:val="00E04012"/>
    <w:rsid w:val="00E04022"/>
    <w:rsid w:val="00E041F0"/>
    <w:rsid w:val="00E0455F"/>
    <w:rsid w:val="00E04CE3"/>
    <w:rsid w:val="00E051F3"/>
    <w:rsid w:val="00E0525A"/>
    <w:rsid w:val="00E053B6"/>
    <w:rsid w:val="00E05832"/>
    <w:rsid w:val="00E062C6"/>
    <w:rsid w:val="00E064F9"/>
    <w:rsid w:val="00E06A52"/>
    <w:rsid w:val="00E06AEE"/>
    <w:rsid w:val="00E06FF3"/>
    <w:rsid w:val="00E076F4"/>
    <w:rsid w:val="00E11A45"/>
    <w:rsid w:val="00E1231A"/>
    <w:rsid w:val="00E12768"/>
    <w:rsid w:val="00E12B87"/>
    <w:rsid w:val="00E13064"/>
    <w:rsid w:val="00E131A7"/>
    <w:rsid w:val="00E13A6A"/>
    <w:rsid w:val="00E13FA9"/>
    <w:rsid w:val="00E14032"/>
    <w:rsid w:val="00E14896"/>
    <w:rsid w:val="00E156A1"/>
    <w:rsid w:val="00E15A30"/>
    <w:rsid w:val="00E16B1C"/>
    <w:rsid w:val="00E16E8F"/>
    <w:rsid w:val="00E178A0"/>
    <w:rsid w:val="00E20071"/>
    <w:rsid w:val="00E20EEA"/>
    <w:rsid w:val="00E218DB"/>
    <w:rsid w:val="00E21E9E"/>
    <w:rsid w:val="00E227FC"/>
    <w:rsid w:val="00E22E2C"/>
    <w:rsid w:val="00E23E26"/>
    <w:rsid w:val="00E244E5"/>
    <w:rsid w:val="00E248BF"/>
    <w:rsid w:val="00E25329"/>
    <w:rsid w:val="00E253A1"/>
    <w:rsid w:val="00E25428"/>
    <w:rsid w:val="00E264E2"/>
    <w:rsid w:val="00E264E7"/>
    <w:rsid w:val="00E26711"/>
    <w:rsid w:val="00E267F2"/>
    <w:rsid w:val="00E26D03"/>
    <w:rsid w:val="00E27306"/>
    <w:rsid w:val="00E274A0"/>
    <w:rsid w:val="00E27724"/>
    <w:rsid w:val="00E2782D"/>
    <w:rsid w:val="00E27867"/>
    <w:rsid w:val="00E27D5F"/>
    <w:rsid w:val="00E30365"/>
    <w:rsid w:val="00E30CFC"/>
    <w:rsid w:val="00E31ACB"/>
    <w:rsid w:val="00E3235C"/>
    <w:rsid w:val="00E324A7"/>
    <w:rsid w:val="00E3268B"/>
    <w:rsid w:val="00E32D53"/>
    <w:rsid w:val="00E33331"/>
    <w:rsid w:val="00E33518"/>
    <w:rsid w:val="00E3457B"/>
    <w:rsid w:val="00E347DF"/>
    <w:rsid w:val="00E349E9"/>
    <w:rsid w:val="00E34B38"/>
    <w:rsid w:val="00E35ADC"/>
    <w:rsid w:val="00E35AE6"/>
    <w:rsid w:val="00E35DBF"/>
    <w:rsid w:val="00E35E02"/>
    <w:rsid w:val="00E362A8"/>
    <w:rsid w:val="00E36A3D"/>
    <w:rsid w:val="00E36ABF"/>
    <w:rsid w:val="00E374AE"/>
    <w:rsid w:val="00E3772E"/>
    <w:rsid w:val="00E400E5"/>
    <w:rsid w:val="00E405F0"/>
    <w:rsid w:val="00E41387"/>
    <w:rsid w:val="00E41A4A"/>
    <w:rsid w:val="00E41FBE"/>
    <w:rsid w:val="00E42023"/>
    <w:rsid w:val="00E420F3"/>
    <w:rsid w:val="00E4218B"/>
    <w:rsid w:val="00E42C43"/>
    <w:rsid w:val="00E42EEC"/>
    <w:rsid w:val="00E43474"/>
    <w:rsid w:val="00E435EC"/>
    <w:rsid w:val="00E437F3"/>
    <w:rsid w:val="00E4396B"/>
    <w:rsid w:val="00E4400E"/>
    <w:rsid w:val="00E442F3"/>
    <w:rsid w:val="00E452F9"/>
    <w:rsid w:val="00E45574"/>
    <w:rsid w:val="00E45840"/>
    <w:rsid w:val="00E45E38"/>
    <w:rsid w:val="00E46D79"/>
    <w:rsid w:val="00E4753D"/>
    <w:rsid w:val="00E47D21"/>
    <w:rsid w:val="00E47D93"/>
    <w:rsid w:val="00E51823"/>
    <w:rsid w:val="00E51B22"/>
    <w:rsid w:val="00E52351"/>
    <w:rsid w:val="00E52CFC"/>
    <w:rsid w:val="00E5376F"/>
    <w:rsid w:val="00E54658"/>
    <w:rsid w:val="00E548D3"/>
    <w:rsid w:val="00E549E8"/>
    <w:rsid w:val="00E5616A"/>
    <w:rsid w:val="00E56C5B"/>
    <w:rsid w:val="00E57A80"/>
    <w:rsid w:val="00E57F62"/>
    <w:rsid w:val="00E60531"/>
    <w:rsid w:val="00E6105A"/>
    <w:rsid w:val="00E614C3"/>
    <w:rsid w:val="00E61F7D"/>
    <w:rsid w:val="00E6229C"/>
    <w:rsid w:val="00E62604"/>
    <w:rsid w:val="00E62CC5"/>
    <w:rsid w:val="00E630A0"/>
    <w:rsid w:val="00E6375E"/>
    <w:rsid w:val="00E64181"/>
    <w:rsid w:val="00E644BE"/>
    <w:rsid w:val="00E64547"/>
    <w:rsid w:val="00E65185"/>
    <w:rsid w:val="00E65209"/>
    <w:rsid w:val="00E65750"/>
    <w:rsid w:val="00E65838"/>
    <w:rsid w:val="00E65969"/>
    <w:rsid w:val="00E65AE9"/>
    <w:rsid w:val="00E6695A"/>
    <w:rsid w:val="00E66B3E"/>
    <w:rsid w:val="00E67F2B"/>
    <w:rsid w:val="00E70026"/>
    <w:rsid w:val="00E7033E"/>
    <w:rsid w:val="00E705F1"/>
    <w:rsid w:val="00E70B31"/>
    <w:rsid w:val="00E71362"/>
    <w:rsid w:val="00E7171E"/>
    <w:rsid w:val="00E71C32"/>
    <w:rsid w:val="00E7202B"/>
    <w:rsid w:val="00E7289F"/>
    <w:rsid w:val="00E729CE"/>
    <w:rsid w:val="00E72A37"/>
    <w:rsid w:val="00E73031"/>
    <w:rsid w:val="00E73973"/>
    <w:rsid w:val="00E73B49"/>
    <w:rsid w:val="00E73F3D"/>
    <w:rsid w:val="00E7439B"/>
    <w:rsid w:val="00E74D3C"/>
    <w:rsid w:val="00E75284"/>
    <w:rsid w:val="00E754EB"/>
    <w:rsid w:val="00E75A99"/>
    <w:rsid w:val="00E75EA9"/>
    <w:rsid w:val="00E75FE0"/>
    <w:rsid w:val="00E767FA"/>
    <w:rsid w:val="00E76857"/>
    <w:rsid w:val="00E76945"/>
    <w:rsid w:val="00E7757E"/>
    <w:rsid w:val="00E77F3F"/>
    <w:rsid w:val="00E8084F"/>
    <w:rsid w:val="00E80C0E"/>
    <w:rsid w:val="00E81A38"/>
    <w:rsid w:val="00E8251C"/>
    <w:rsid w:val="00E82B53"/>
    <w:rsid w:val="00E82C2A"/>
    <w:rsid w:val="00E83D02"/>
    <w:rsid w:val="00E83E04"/>
    <w:rsid w:val="00E84A2C"/>
    <w:rsid w:val="00E84D1D"/>
    <w:rsid w:val="00E850C3"/>
    <w:rsid w:val="00E851D5"/>
    <w:rsid w:val="00E86082"/>
    <w:rsid w:val="00E8664D"/>
    <w:rsid w:val="00E867A5"/>
    <w:rsid w:val="00E869B9"/>
    <w:rsid w:val="00E873A9"/>
    <w:rsid w:val="00E87D63"/>
    <w:rsid w:val="00E901BF"/>
    <w:rsid w:val="00E901F7"/>
    <w:rsid w:val="00E903ED"/>
    <w:rsid w:val="00E90C11"/>
    <w:rsid w:val="00E91845"/>
    <w:rsid w:val="00E9202D"/>
    <w:rsid w:val="00E92218"/>
    <w:rsid w:val="00E925C1"/>
    <w:rsid w:val="00E929A4"/>
    <w:rsid w:val="00E92DB1"/>
    <w:rsid w:val="00E93CB1"/>
    <w:rsid w:val="00E940D1"/>
    <w:rsid w:val="00E94228"/>
    <w:rsid w:val="00E94401"/>
    <w:rsid w:val="00E94890"/>
    <w:rsid w:val="00E94D3E"/>
    <w:rsid w:val="00E95985"/>
    <w:rsid w:val="00E961E6"/>
    <w:rsid w:val="00E9632D"/>
    <w:rsid w:val="00E96902"/>
    <w:rsid w:val="00E96ACB"/>
    <w:rsid w:val="00E97436"/>
    <w:rsid w:val="00E97AAB"/>
    <w:rsid w:val="00E97C61"/>
    <w:rsid w:val="00EA08AE"/>
    <w:rsid w:val="00EA0A49"/>
    <w:rsid w:val="00EA26A3"/>
    <w:rsid w:val="00EA2AD0"/>
    <w:rsid w:val="00EA3D20"/>
    <w:rsid w:val="00EA4AB0"/>
    <w:rsid w:val="00EA4B46"/>
    <w:rsid w:val="00EA52ED"/>
    <w:rsid w:val="00EA5838"/>
    <w:rsid w:val="00EA585C"/>
    <w:rsid w:val="00EA5932"/>
    <w:rsid w:val="00EA5E41"/>
    <w:rsid w:val="00EA6288"/>
    <w:rsid w:val="00EA7505"/>
    <w:rsid w:val="00EA799A"/>
    <w:rsid w:val="00EA7C6A"/>
    <w:rsid w:val="00EB0004"/>
    <w:rsid w:val="00EB175D"/>
    <w:rsid w:val="00EB226D"/>
    <w:rsid w:val="00EB2626"/>
    <w:rsid w:val="00EB26B7"/>
    <w:rsid w:val="00EB2F5A"/>
    <w:rsid w:val="00EB3AB8"/>
    <w:rsid w:val="00EB455D"/>
    <w:rsid w:val="00EB5508"/>
    <w:rsid w:val="00EB55FC"/>
    <w:rsid w:val="00EB5716"/>
    <w:rsid w:val="00EB6025"/>
    <w:rsid w:val="00EB6253"/>
    <w:rsid w:val="00EB63CF"/>
    <w:rsid w:val="00EB6A84"/>
    <w:rsid w:val="00EB6C84"/>
    <w:rsid w:val="00EC0165"/>
    <w:rsid w:val="00EC111A"/>
    <w:rsid w:val="00EC20FD"/>
    <w:rsid w:val="00EC2EEC"/>
    <w:rsid w:val="00EC371C"/>
    <w:rsid w:val="00EC399C"/>
    <w:rsid w:val="00EC3C4A"/>
    <w:rsid w:val="00EC4894"/>
    <w:rsid w:val="00EC5A37"/>
    <w:rsid w:val="00EC6A47"/>
    <w:rsid w:val="00EC6D12"/>
    <w:rsid w:val="00EC705A"/>
    <w:rsid w:val="00EC75D9"/>
    <w:rsid w:val="00EC7691"/>
    <w:rsid w:val="00EC790A"/>
    <w:rsid w:val="00EC7B3E"/>
    <w:rsid w:val="00ED09DE"/>
    <w:rsid w:val="00ED0F6A"/>
    <w:rsid w:val="00ED13A2"/>
    <w:rsid w:val="00ED1CB5"/>
    <w:rsid w:val="00ED2821"/>
    <w:rsid w:val="00ED33BC"/>
    <w:rsid w:val="00ED34C7"/>
    <w:rsid w:val="00ED3663"/>
    <w:rsid w:val="00ED3D6E"/>
    <w:rsid w:val="00ED4702"/>
    <w:rsid w:val="00ED4EE4"/>
    <w:rsid w:val="00ED4F90"/>
    <w:rsid w:val="00ED5107"/>
    <w:rsid w:val="00ED567E"/>
    <w:rsid w:val="00ED5745"/>
    <w:rsid w:val="00ED5C67"/>
    <w:rsid w:val="00ED5D94"/>
    <w:rsid w:val="00ED6702"/>
    <w:rsid w:val="00ED6986"/>
    <w:rsid w:val="00ED6B87"/>
    <w:rsid w:val="00ED71F5"/>
    <w:rsid w:val="00ED7B19"/>
    <w:rsid w:val="00EE08D2"/>
    <w:rsid w:val="00EE0D5E"/>
    <w:rsid w:val="00EE25DA"/>
    <w:rsid w:val="00EE368D"/>
    <w:rsid w:val="00EE4730"/>
    <w:rsid w:val="00EE4A6D"/>
    <w:rsid w:val="00EE5C90"/>
    <w:rsid w:val="00EE5EB8"/>
    <w:rsid w:val="00EE6677"/>
    <w:rsid w:val="00EE6D8F"/>
    <w:rsid w:val="00EE707C"/>
    <w:rsid w:val="00EE72B8"/>
    <w:rsid w:val="00EE7A03"/>
    <w:rsid w:val="00EF0A92"/>
    <w:rsid w:val="00EF0ADA"/>
    <w:rsid w:val="00EF11D8"/>
    <w:rsid w:val="00EF14BF"/>
    <w:rsid w:val="00EF1FEE"/>
    <w:rsid w:val="00EF2BDB"/>
    <w:rsid w:val="00EF307B"/>
    <w:rsid w:val="00EF33DA"/>
    <w:rsid w:val="00EF4695"/>
    <w:rsid w:val="00EF4B1F"/>
    <w:rsid w:val="00EF51EC"/>
    <w:rsid w:val="00EF5985"/>
    <w:rsid w:val="00EF5FBF"/>
    <w:rsid w:val="00EF60CD"/>
    <w:rsid w:val="00EF65B8"/>
    <w:rsid w:val="00EF669F"/>
    <w:rsid w:val="00EF7F15"/>
    <w:rsid w:val="00F0063A"/>
    <w:rsid w:val="00F014F5"/>
    <w:rsid w:val="00F01691"/>
    <w:rsid w:val="00F01B08"/>
    <w:rsid w:val="00F01B6A"/>
    <w:rsid w:val="00F01DE5"/>
    <w:rsid w:val="00F02341"/>
    <w:rsid w:val="00F02639"/>
    <w:rsid w:val="00F02B8B"/>
    <w:rsid w:val="00F03AC6"/>
    <w:rsid w:val="00F0436A"/>
    <w:rsid w:val="00F055FE"/>
    <w:rsid w:val="00F06BF2"/>
    <w:rsid w:val="00F07AC4"/>
    <w:rsid w:val="00F07BC6"/>
    <w:rsid w:val="00F07E1E"/>
    <w:rsid w:val="00F10891"/>
    <w:rsid w:val="00F10E32"/>
    <w:rsid w:val="00F1124B"/>
    <w:rsid w:val="00F11369"/>
    <w:rsid w:val="00F12147"/>
    <w:rsid w:val="00F124B3"/>
    <w:rsid w:val="00F1280F"/>
    <w:rsid w:val="00F12F99"/>
    <w:rsid w:val="00F1378E"/>
    <w:rsid w:val="00F13856"/>
    <w:rsid w:val="00F13A89"/>
    <w:rsid w:val="00F13CD7"/>
    <w:rsid w:val="00F144D2"/>
    <w:rsid w:val="00F146B7"/>
    <w:rsid w:val="00F147AB"/>
    <w:rsid w:val="00F158F0"/>
    <w:rsid w:val="00F15C15"/>
    <w:rsid w:val="00F16768"/>
    <w:rsid w:val="00F16C8B"/>
    <w:rsid w:val="00F17133"/>
    <w:rsid w:val="00F17266"/>
    <w:rsid w:val="00F17573"/>
    <w:rsid w:val="00F1772C"/>
    <w:rsid w:val="00F20002"/>
    <w:rsid w:val="00F20531"/>
    <w:rsid w:val="00F206D1"/>
    <w:rsid w:val="00F20F42"/>
    <w:rsid w:val="00F211C8"/>
    <w:rsid w:val="00F220E5"/>
    <w:rsid w:val="00F22E02"/>
    <w:rsid w:val="00F23A04"/>
    <w:rsid w:val="00F24BC8"/>
    <w:rsid w:val="00F25202"/>
    <w:rsid w:val="00F25B0F"/>
    <w:rsid w:val="00F25FA0"/>
    <w:rsid w:val="00F26D71"/>
    <w:rsid w:val="00F26E82"/>
    <w:rsid w:val="00F27123"/>
    <w:rsid w:val="00F27908"/>
    <w:rsid w:val="00F30569"/>
    <w:rsid w:val="00F305F5"/>
    <w:rsid w:val="00F306C1"/>
    <w:rsid w:val="00F3117F"/>
    <w:rsid w:val="00F31866"/>
    <w:rsid w:val="00F320E8"/>
    <w:rsid w:val="00F323D0"/>
    <w:rsid w:val="00F328E5"/>
    <w:rsid w:val="00F32C96"/>
    <w:rsid w:val="00F32EE6"/>
    <w:rsid w:val="00F33C31"/>
    <w:rsid w:val="00F33C3C"/>
    <w:rsid w:val="00F34357"/>
    <w:rsid w:val="00F345FA"/>
    <w:rsid w:val="00F3469C"/>
    <w:rsid w:val="00F349DB"/>
    <w:rsid w:val="00F34B38"/>
    <w:rsid w:val="00F3505E"/>
    <w:rsid w:val="00F3571A"/>
    <w:rsid w:val="00F35739"/>
    <w:rsid w:val="00F36332"/>
    <w:rsid w:val="00F36BEE"/>
    <w:rsid w:val="00F415CD"/>
    <w:rsid w:val="00F4166F"/>
    <w:rsid w:val="00F419AA"/>
    <w:rsid w:val="00F41DAF"/>
    <w:rsid w:val="00F41E84"/>
    <w:rsid w:val="00F4306E"/>
    <w:rsid w:val="00F430F5"/>
    <w:rsid w:val="00F43BBD"/>
    <w:rsid w:val="00F44152"/>
    <w:rsid w:val="00F4485A"/>
    <w:rsid w:val="00F44955"/>
    <w:rsid w:val="00F44DDB"/>
    <w:rsid w:val="00F45143"/>
    <w:rsid w:val="00F4537A"/>
    <w:rsid w:val="00F45459"/>
    <w:rsid w:val="00F454A9"/>
    <w:rsid w:val="00F45591"/>
    <w:rsid w:val="00F45B33"/>
    <w:rsid w:val="00F46144"/>
    <w:rsid w:val="00F46B86"/>
    <w:rsid w:val="00F46C02"/>
    <w:rsid w:val="00F474FE"/>
    <w:rsid w:val="00F47D85"/>
    <w:rsid w:val="00F5005B"/>
    <w:rsid w:val="00F51107"/>
    <w:rsid w:val="00F5142A"/>
    <w:rsid w:val="00F51542"/>
    <w:rsid w:val="00F52069"/>
    <w:rsid w:val="00F52346"/>
    <w:rsid w:val="00F52B65"/>
    <w:rsid w:val="00F52C11"/>
    <w:rsid w:val="00F52CA8"/>
    <w:rsid w:val="00F52E8F"/>
    <w:rsid w:val="00F534FE"/>
    <w:rsid w:val="00F544D3"/>
    <w:rsid w:val="00F547A5"/>
    <w:rsid w:val="00F54D69"/>
    <w:rsid w:val="00F552B8"/>
    <w:rsid w:val="00F55912"/>
    <w:rsid w:val="00F55B63"/>
    <w:rsid w:val="00F56763"/>
    <w:rsid w:val="00F56777"/>
    <w:rsid w:val="00F56D4C"/>
    <w:rsid w:val="00F57554"/>
    <w:rsid w:val="00F579F3"/>
    <w:rsid w:val="00F57C95"/>
    <w:rsid w:val="00F615F1"/>
    <w:rsid w:val="00F61FBC"/>
    <w:rsid w:val="00F622A6"/>
    <w:rsid w:val="00F62D72"/>
    <w:rsid w:val="00F62F83"/>
    <w:rsid w:val="00F63502"/>
    <w:rsid w:val="00F64123"/>
    <w:rsid w:val="00F64F72"/>
    <w:rsid w:val="00F6575C"/>
    <w:rsid w:val="00F65A8D"/>
    <w:rsid w:val="00F65D3E"/>
    <w:rsid w:val="00F65DE7"/>
    <w:rsid w:val="00F66B80"/>
    <w:rsid w:val="00F6712C"/>
    <w:rsid w:val="00F67736"/>
    <w:rsid w:val="00F677DC"/>
    <w:rsid w:val="00F67884"/>
    <w:rsid w:val="00F67CB7"/>
    <w:rsid w:val="00F70A09"/>
    <w:rsid w:val="00F711C0"/>
    <w:rsid w:val="00F71CEE"/>
    <w:rsid w:val="00F71D1B"/>
    <w:rsid w:val="00F72501"/>
    <w:rsid w:val="00F72F68"/>
    <w:rsid w:val="00F74552"/>
    <w:rsid w:val="00F748D3"/>
    <w:rsid w:val="00F75A5D"/>
    <w:rsid w:val="00F75ACA"/>
    <w:rsid w:val="00F75FEC"/>
    <w:rsid w:val="00F7699F"/>
    <w:rsid w:val="00F76A15"/>
    <w:rsid w:val="00F76D74"/>
    <w:rsid w:val="00F770B9"/>
    <w:rsid w:val="00F77EBD"/>
    <w:rsid w:val="00F77EE7"/>
    <w:rsid w:val="00F80307"/>
    <w:rsid w:val="00F815E5"/>
    <w:rsid w:val="00F81635"/>
    <w:rsid w:val="00F825FA"/>
    <w:rsid w:val="00F827D4"/>
    <w:rsid w:val="00F83A74"/>
    <w:rsid w:val="00F84231"/>
    <w:rsid w:val="00F84918"/>
    <w:rsid w:val="00F855EB"/>
    <w:rsid w:val="00F85CA8"/>
    <w:rsid w:val="00F85F50"/>
    <w:rsid w:val="00F86798"/>
    <w:rsid w:val="00F86914"/>
    <w:rsid w:val="00F87507"/>
    <w:rsid w:val="00F87666"/>
    <w:rsid w:val="00F9022A"/>
    <w:rsid w:val="00F90C42"/>
    <w:rsid w:val="00F91139"/>
    <w:rsid w:val="00F9117B"/>
    <w:rsid w:val="00F9124D"/>
    <w:rsid w:val="00F92471"/>
    <w:rsid w:val="00F93A5A"/>
    <w:rsid w:val="00F93F77"/>
    <w:rsid w:val="00F94750"/>
    <w:rsid w:val="00F94D47"/>
    <w:rsid w:val="00F94E94"/>
    <w:rsid w:val="00F94F33"/>
    <w:rsid w:val="00F951D1"/>
    <w:rsid w:val="00F95214"/>
    <w:rsid w:val="00F95453"/>
    <w:rsid w:val="00F96318"/>
    <w:rsid w:val="00FA06B1"/>
    <w:rsid w:val="00FA1639"/>
    <w:rsid w:val="00FA1E5F"/>
    <w:rsid w:val="00FA1F12"/>
    <w:rsid w:val="00FA2952"/>
    <w:rsid w:val="00FA3120"/>
    <w:rsid w:val="00FA3281"/>
    <w:rsid w:val="00FA461B"/>
    <w:rsid w:val="00FA4683"/>
    <w:rsid w:val="00FA4C0D"/>
    <w:rsid w:val="00FA4D1C"/>
    <w:rsid w:val="00FA50FF"/>
    <w:rsid w:val="00FA5711"/>
    <w:rsid w:val="00FA5A15"/>
    <w:rsid w:val="00FA5EEE"/>
    <w:rsid w:val="00FA6BD4"/>
    <w:rsid w:val="00FA6BDC"/>
    <w:rsid w:val="00FA7A47"/>
    <w:rsid w:val="00FB02D6"/>
    <w:rsid w:val="00FB03EC"/>
    <w:rsid w:val="00FB096B"/>
    <w:rsid w:val="00FB1689"/>
    <w:rsid w:val="00FB1D26"/>
    <w:rsid w:val="00FB1EF9"/>
    <w:rsid w:val="00FB3AC7"/>
    <w:rsid w:val="00FB478F"/>
    <w:rsid w:val="00FB488B"/>
    <w:rsid w:val="00FB4B57"/>
    <w:rsid w:val="00FB4CD9"/>
    <w:rsid w:val="00FB5165"/>
    <w:rsid w:val="00FB665B"/>
    <w:rsid w:val="00FC024C"/>
    <w:rsid w:val="00FC0373"/>
    <w:rsid w:val="00FC0435"/>
    <w:rsid w:val="00FC0651"/>
    <w:rsid w:val="00FC09C2"/>
    <w:rsid w:val="00FC15B3"/>
    <w:rsid w:val="00FC1767"/>
    <w:rsid w:val="00FC1C2C"/>
    <w:rsid w:val="00FC2076"/>
    <w:rsid w:val="00FC2102"/>
    <w:rsid w:val="00FC2C37"/>
    <w:rsid w:val="00FC2D5F"/>
    <w:rsid w:val="00FC30CB"/>
    <w:rsid w:val="00FC4CA7"/>
    <w:rsid w:val="00FC4F61"/>
    <w:rsid w:val="00FC4F9F"/>
    <w:rsid w:val="00FC51F3"/>
    <w:rsid w:val="00FC6141"/>
    <w:rsid w:val="00FC6552"/>
    <w:rsid w:val="00FC6904"/>
    <w:rsid w:val="00FC691C"/>
    <w:rsid w:val="00FC6A85"/>
    <w:rsid w:val="00FC6C38"/>
    <w:rsid w:val="00FC6F12"/>
    <w:rsid w:val="00FC7532"/>
    <w:rsid w:val="00FC755C"/>
    <w:rsid w:val="00FC7DBB"/>
    <w:rsid w:val="00FC7E12"/>
    <w:rsid w:val="00FD00A1"/>
    <w:rsid w:val="00FD00BB"/>
    <w:rsid w:val="00FD03D5"/>
    <w:rsid w:val="00FD05B2"/>
    <w:rsid w:val="00FD1704"/>
    <w:rsid w:val="00FD1BAC"/>
    <w:rsid w:val="00FD233F"/>
    <w:rsid w:val="00FD2727"/>
    <w:rsid w:val="00FD2810"/>
    <w:rsid w:val="00FD2968"/>
    <w:rsid w:val="00FD3403"/>
    <w:rsid w:val="00FD3C1A"/>
    <w:rsid w:val="00FD4060"/>
    <w:rsid w:val="00FD4DC9"/>
    <w:rsid w:val="00FD4E85"/>
    <w:rsid w:val="00FD54E7"/>
    <w:rsid w:val="00FD5F5A"/>
    <w:rsid w:val="00FD6445"/>
    <w:rsid w:val="00FD6A2A"/>
    <w:rsid w:val="00FD6D52"/>
    <w:rsid w:val="00FD6FD9"/>
    <w:rsid w:val="00FD7E17"/>
    <w:rsid w:val="00FE00CB"/>
    <w:rsid w:val="00FE025F"/>
    <w:rsid w:val="00FE0CBC"/>
    <w:rsid w:val="00FE13F6"/>
    <w:rsid w:val="00FE1D99"/>
    <w:rsid w:val="00FE2A85"/>
    <w:rsid w:val="00FE2CCB"/>
    <w:rsid w:val="00FE2D1A"/>
    <w:rsid w:val="00FE2D4E"/>
    <w:rsid w:val="00FE354A"/>
    <w:rsid w:val="00FE37DD"/>
    <w:rsid w:val="00FE3B07"/>
    <w:rsid w:val="00FE44C9"/>
    <w:rsid w:val="00FE4EB4"/>
    <w:rsid w:val="00FE501C"/>
    <w:rsid w:val="00FE530B"/>
    <w:rsid w:val="00FE55A6"/>
    <w:rsid w:val="00FE7DCA"/>
    <w:rsid w:val="00FE7E2D"/>
    <w:rsid w:val="00FF135D"/>
    <w:rsid w:val="00FF13B3"/>
    <w:rsid w:val="00FF146C"/>
    <w:rsid w:val="00FF34A2"/>
    <w:rsid w:val="00FF36A8"/>
    <w:rsid w:val="00FF395D"/>
    <w:rsid w:val="00FF50DA"/>
    <w:rsid w:val="00FF5701"/>
    <w:rsid w:val="00FF5A0F"/>
    <w:rsid w:val="00FF5AC2"/>
    <w:rsid w:val="00FF6283"/>
    <w:rsid w:val="00FF6521"/>
    <w:rsid w:val="00FF6777"/>
    <w:rsid w:val="00FF6C45"/>
    <w:rsid w:val="00FF7338"/>
    <w:rsid w:val="00FF7B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7F00E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4ACC"/>
    <w:rPr>
      <w:sz w:val="24"/>
      <w:szCs w:val="24"/>
      <w:lang w:eastAsia="ja-JP"/>
    </w:rPr>
  </w:style>
  <w:style w:type="paragraph" w:styleId="Heading3">
    <w:name w:val="heading 3"/>
    <w:basedOn w:val="Normal"/>
    <w:next w:val="Normal"/>
    <w:link w:val="Heading3Char"/>
    <w:qFormat/>
    <w:rsid w:val="00871599"/>
    <w:pPr>
      <w:keepNext/>
      <w:spacing w:line="500" w:lineRule="exact"/>
      <w:outlineLvl w:val="2"/>
    </w:pPr>
    <w:rPr>
      <w:rFonts w:ascii="Arial" w:eastAsia="Times New Roman" w:hAnsi="Arial"/>
      <w:b/>
      <w:color w:val="FFFFFF"/>
      <w:sz w:val="38"/>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715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rsid w:val="00871599"/>
    <w:pPr>
      <w:spacing w:before="60" w:after="60"/>
    </w:pPr>
    <w:rPr>
      <w:rFonts w:ascii="Arial" w:eastAsia="Times New Roman" w:hAnsi="Arial"/>
      <w:b/>
      <w:u w:val="single"/>
      <w:lang w:eastAsia="en-US"/>
    </w:rPr>
  </w:style>
  <w:style w:type="paragraph" w:styleId="Header">
    <w:name w:val="header"/>
    <w:basedOn w:val="Normal"/>
    <w:link w:val="HeaderChar"/>
    <w:uiPriority w:val="99"/>
    <w:rsid w:val="00871599"/>
    <w:pPr>
      <w:tabs>
        <w:tab w:val="center" w:pos="4320"/>
        <w:tab w:val="right" w:pos="8640"/>
      </w:tabs>
    </w:pPr>
    <w:rPr>
      <w:rFonts w:eastAsia="Times New Roman"/>
      <w:lang w:eastAsia="en-US"/>
    </w:rPr>
  </w:style>
  <w:style w:type="character" w:customStyle="1" w:styleId="Heading3Char">
    <w:name w:val="Heading 3 Char"/>
    <w:basedOn w:val="DefaultParagraphFont"/>
    <w:link w:val="Heading3"/>
    <w:locked/>
    <w:rsid w:val="00871599"/>
    <w:rPr>
      <w:rFonts w:ascii="Arial" w:hAnsi="Arial"/>
      <w:b/>
      <w:color w:val="FFFFFF"/>
      <w:sz w:val="38"/>
      <w:szCs w:val="26"/>
      <w:lang w:val="en-US" w:eastAsia="en-US" w:bidi="ar-SA"/>
    </w:rPr>
  </w:style>
  <w:style w:type="paragraph" w:styleId="Footer">
    <w:name w:val="footer"/>
    <w:basedOn w:val="Normal"/>
    <w:rsid w:val="00871599"/>
    <w:pPr>
      <w:tabs>
        <w:tab w:val="center" w:pos="4320"/>
        <w:tab w:val="right" w:pos="8640"/>
      </w:tabs>
    </w:pPr>
  </w:style>
  <w:style w:type="paragraph" w:styleId="BodyTextIndent3">
    <w:name w:val="Body Text Indent 3"/>
    <w:basedOn w:val="Normal"/>
    <w:rsid w:val="00871599"/>
    <w:pPr>
      <w:spacing w:after="120"/>
      <w:ind w:left="360"/>
    </w:pPr>
    <w:rPr>
      <w:rFonts w:eastAsia="Times New Roman"/>
      <w:sz w:val="16"/>
      <w:szCs w:val="16"/>
      <w:lang w:eastAsia="en-US"/>
    </w:rPr>
  </w:style>
  <w:style w:type="character" w:styleId="CommentReference">
    <w:name w:val="annotation reference"/>
    <w:basedOn w:val="DefaultParagraphFont"/>
    <w:semiHidden/>
    <w:rsid w:val="007606A8"/>
    <w:rPr>
      <w:sz w:val="16"/>
      <w:szCs w:val="16"/>
    </w:rPr>
  </w:style>
  <w:style w:type="paragraph" w:styleId="CommentText">
    <w:name w:val="annotation text"/>
    <w:basedOn w:val="Normal"/>
    <w:semiHidden/>
    <w:rsid w:val="007606A8"/>
    <w:rPr>
      <w:sz w:val="20"/>
      <w:szCs w:val="20"/>
    </w:rPr>
  </w:style>
  <w:style w:type="paragraph" w:styleId="CommentSubject">
    <w:name w:val="annotation subject"/>
    <w:basedOn w:val="CommentText"/>
    <w:next w:val="CommentText"/>
    <w:semiHidden/>
    <w:rsid w:val="007606A8"/>
    <w:rPr>
      <w:b/>
      <w:bCs/>
    </w:rPr>
  </w:style>
  <w:style w:type="paragraph" w:styleId="BalloonText">
    <w:name w:val="Balloon Text"/>
    <w:basedOn w:val="Normal"/>
    <w:semiHidden/>
    <w:rsid w:val="007606A8"/>
    <w:rPr>
      <w:rFonts w:ascii="Tahoma" w:hAnsi="Tahoma" w:cs="Tahoma"/>
      <w:sz w:val="16"/>
      <w:szCs w:val="16"/>
    </w:rPr>
  </w:style>
  <w:style w:type="character" w:styleId="Hyperlink">
    <w:name w:val="Hyperlink"/>
    <w:basedOn w:val="DefaultParagraphFont"/>
    <w:rsid w:val="00453844"/>
    <w:rPr>
      <w:strike w:val="0"/>
      <w:dstrike w:val="0"/>
      <w:color w:val="0000FF"/>
      <w:u w:val="none"/>
      <w:effect w:val="none"/>
    </w:rPr>
  </w:style>
  <w:style w:type="paragraph" w:styleId="FootnoteText">
    <w:name w:val="footnote text"/>
    <w:basedOn w:val="Normal"/>
    <w:semiHidden/>
    <w:rsid w:val="00A47BC4"/>
    <w:rPr>
      <w:rFonts w:eastAsia="Times New Roman"/>
      <w:sz w:val="20"/>
      <w:szCs w:val="20"/>
      <w:lang w:eastAsia="en-US"/>
    </w:rPr>
  </w:style>
  <w:style w:type="character" w:styleId="FootnoteReference">
    <w:name w:val="footnote reference"/>
    <w:basedOn w:val="DefaultParagraphFont"/>
    <w:semiHidden/>
    <w:rsid w:val="00A47BC4"/>
    <w:rPr>
      <w:vertAlign w:val="superscript"/>
    </w:rPr>
  </w:style>
  <w:style w:type="paragraph" w:customStyle="1" w:styleId="Default">
    <w:name w:val="Default"/>
    <w:rsid w:val="00A47BC4"/>
    <w:pPr>
      <w:autoSpaceDE w:val="0"/>
      <w:autoSpaceDN w:val="0"/>
      <w:adjustRightInd w:val="0"/>
    </w:pPr>
    <w:rPr>
      <w:rFonts w:ascii="Garamond" w:hAnsi="Garamond" w:cs="Garamond"/>
      <w:color w:val="000000"/>
      <w:sz w:val="24"/>
      <w:szCs w:val="24"/>
      <w:lang w:eastAsia="ja-JP"/>
    </w:rPr>
  </w:style>
  <w:style w:type="paragraph" w:customStyle="1" w:styleId="Normal1">
    <w:name w:val="Normal+1"/>
    <w:basedOn w:val="Default"/>
    <w:next w:val="Default"/>
    <w:rsid w:val="00A47BC4"/>
    <w:rPr>
      <w:rFonts w:cs="Times New Roman"/>
      <w:color w:val="auto"/>
    </w:rPr>
  </w:style>
  <w:style w:type="character" w:styleId="FollowedHyperlink">
    <w:name w:val="FollowedHyperlink"/>
    <w:basedOn w:val="DefaultParagraphFont"/>
    <w:rsid w:val="00DB7821"/>
    <w:rPr>
      <w:color w:val="606420"/>
      <w:u w:val="single"/>
    </w:rPr>
  </w:style>
  <w:style w:type="character" w:styleId="PageNumber">
    <w:name w:val="page number"/>
    <w:basedOn w:val="DefaultParagraphFont"/>
    <w:rsid w:val="008F1AD2"/>
  </w:style>
  <w:style w:type="paragraph" w:customStyle="1" w:styleId="Pa0">
    <w:name w:val="Pa0"/>
    <w:basedOn w:val="Normal"/>
    <w:next w:val="Normal"/>
    <w:rsid w:val="00E03CB4"/>
    <w:pPr>
      <w:autoSpaceDE w:val="0"/>
      <w:autoSpaceDN w:val="0"/>
      <w:adjustRightInd w:val="0"/>
      <w:spacing w:after="100" w:line="197" w:lineRule="atLeast"/>
    </w:pPr>
    <w:rPr>
      <w:rFonts w:ascii="Helvetica Neue" w:eastAsia="Times New Roman" w:hAnsi="Helvetica Neue"/>
      <w:lang w:eastAsia="en-US"/>
    </w:rPr>
  </w:style>
  <w:style w:type="paragraph" w:styleId="ListParagraph">
    <w:name w:val="List Paragraph"/>
    <w:basedOn w:val="Normal"/>
    <w:qFormat/>
    <w:rsid w:val="001B47F3"/>
    <w:pPr>
      <w:ind w:left="720"/>
      <w:contextualSpacing/>
    </w:pPr>
    <w:rPr>
      <w:rFonts w:eastAsia="Times New Roman"/>
      <w:lang w:eastAsia="en-US"/>
    </w:rPr>
  </w:style>
  <w:style w:type="paragraph" w:styleId="Revision">
    <w:name w:val="Revision"/>
    <w:hidden/>
    <w:uiPriority w:val="99"/>
    <w:semiHidden/>
    <w:rsid w:val="004B0EB3"/>
    <w:rPr>
      <w:sz w:val="24"/>
      <w:szCs w:val="24"/>
      <w:lang w:eastAsia="ja-JP"/>
    </w:rPr>
  </w:style>
  <w:style w:type="character" w:customStyle="1" w:styleId="HeaderChar">
    <w:name w:val="Header Char"/>
    <w:basedOn w:val="DefaultParagraphFont"/>
    <w:link w:val="Header"/>
    <w:uiPriority w:val="99"/>
    <w:rsid w:val="00FC6141"/>
    <w:rPr>
      <w:rFonts w:eastAsia="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4ACC"/>
    <w:rPr>
      <w:sz w:val="24"/>
      <w:szCs w:val="24"/>
      <w:lang w:eastAsia="ja-JP"/>
    </w:rPr>
  </w:style>
  <w:style w:type="paragraph" w:styleId="Heading3">
    <w:name w:val="heading 3"/>
    <w:basedOn w:val="Normal"/>
    <w:next w:val="Normal"/>
    <w:link w:val="Heading3Char"/>
    <w:qFormat/>
    <w:rsid w:val="00871599"/>
    <w:pPr>
      <w:keepNext/>
      <w:spacing w:line="500" w:lineRule="exact"/>
      <w:outlineLvl w:val="2"/>
    </w:pPr>
    <w:rPr>
      <w:rFonts w:ascii="Arial" w:eastAsia="Times New Roman" w:hAnsi="Arial"/>
      <w:b/>
      <w:color w:val="FFFFFF"/>
      <w:sz w:val="38"/>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715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rsid w:val="00871599"/>
    <w:pPr>
      <w:spacing w:before="60" w:after="60"/>
    </w:pPr>
    <w:rPr>
      <w:rFonts w:ascii="Arial" w:eastAsia="Times New Roman" w:hAnsi="Arial"/>
      <w:b/>
      <w:u w:val="single"/>
      <w:lang w:eastAsia="en-US"/>
    </w:rPr>
  </w:style>
  <w:style w:type="paragraph" w:styleId="Header">
    <w:name w:val="header"/>
    <w:basedOn w:val="Normal"/>
    <w:link w:val="HeaderChar"/>
    <w:uiPriority w:val="99"/>
    <w:rsid w:val="00871599"/>
    <w:pPr>
      <w:tabs>
        <w:tab w:val="center" w:pos="4320"/>
        <w:tab w:val="right" w:pos="8640"/>
      </w:tabs>
    </w:pPr>
    <w:rPr>
      <w:rFonts w:eastAsia="Times New Roman"/>
      <w:lang w:eastAsia="en-US"/>
    </w:rPr>
  </w:style>
  <w:style w:type="character" w:customStyle="1" w:styleId="Heading3Char">
    <w:name w:val="Heading 3 Char"/>
    <w:basedOn w:val="DefaultParagraphFont"/>
    <w:link w:val="Heading3"/>
    <w:locked/>
    <w:rsid w:val="00871599"/>
    <w:rPr>
      <w:rFonts w:ascii="Arial" w:hAnsi="Arial"/>
      <w:b/>
      <w:color w:val="FFFFFF"/>
      <w:sz w:val="38"/>
      <w:szCs w:val="26"/>
      <w:lang w:val="en-US" w:eastAsia="en-US" w:bidi="ar-SA"/>
    </w:rPr>
  </w:style>
  <w:style w:type="paragraph" w:styleId="Footer">
    <w:name w:val="footer"/>
    <w:basedOn w:val="Normal"/>
    <w:rsid w:val="00871599"/>
    <w:pPr>
      <w:tabs>
        <w:tab w:val="center" w:pos="4320"/>
        <w:tab w:val="right" w:pos="8640"/>
      </w:tabs>
    </w:pPr>
  </w:style>
  <w:style w:type="paragraph" w:styleId="BodyTextIndent3">
    <w:name w:val="Body Text Indent 3"/>
    <w:basedOn w:val="Normal"/>
    <w:rsid w:val="00871599"/>
    <w:pPr>
      <w:spacing w:after="120"/>
      <w:ind w:left="360"/>
    </w:pPr>
    <w:rPr>
      <w:rFonts w:eastAsia="Times New Roman"/>
      <w:sz w:val="16"/>
      <w:szCs w:val="16"/>
      <w:lang w:eastAsia="en-US"/>
    </w:rPr>
  </w:style>
  <w:style w:type="character" w:styleId="CommentReference">
    <w:name w:val="annotation reference"/>
    <w:basedOn w:val="DefaultParagraphFont"/>
    <w:semiHidden/>
    <w:rsid w:val="007606A8"/>
    <w:rPr>
      <w:sz w:val="16"/>
      <w:szCs w:val="16"/>
    </w:rPr>
  </w:style>
  <w:style w:type="paragraph" w:styleId="CommentText">
    <w:name w:val="annotation text"/>
    <w:basedOn w:val="Normal"/>
    <w:semiHidden/>
    <w:rsid w:val="007606A8"/>
    <w:rPr>
      <w:sz w:val="20"/>
      <w:szCs w:val="20"/>
    </w:rPr>
  </w:style>
  <w:style w:type="paragraph" w:styleId="CommentSubject">
    <w:name w:val="annotation subject"/>
    <w:basedOn w:val="CommentText"/>
    <w:next w:val="CommentText"/>
    <w:semiHidden/>
    <w:rsid w:val="007606A8"/>
    <w:rPr>
      <w:b/>
      <w:bCs/>
    </w:rPr>
  </w:style>
  <w:style w:type="paragraph" w:styleId="BalloonText">
    <w:name w:val="Balloon Text"/>
    <w:basedOn w:val="Normal"/>
    <w:semiHidden/>
    <w:rsid w:val="007606A8"/>
    <w:rPr>
      <w:rFonts w:ascii="Tahoma" w:hAnsi="Tahoma" w:cs="Tahoma"/>
      <w:sz w:val="16"/>
      <w:szCs w:val="16"/>
    </w:rPr>
  </w:style>
  <w:style w:type="character" w:styleId="Hyperlink">
    <w:name w:val="Hyperlink"/>
    <w:basedOn w:val="DefaultParagraphFont"/>
    <w:rsid w:val="00453844"/>
    <w:rPr>
      <w:strike w:val="0"/>
      <w:dstrike w:val="0"/>
      <w:color w:val="0000FF"/>
      <w:u w:val="none"/>
      <w:effect w:val="none"/>
    </w:rPr>
  </w:style>
  <w:style w:type="paragraph" w:styleId="FootnoteText">
    <w:name w:val="footnote text"/>
    <w:basedOn w:val="Normal"/>
    <w:semiHidden/>
    <w:rsid w:val="00A47BC4"/>
    <w:rPr>
      <w:rFonts w:eastAsia="Times New Roman"/>
      <w:sz w:val="20"/>
      <w:szCs w:val="20"/>
      <w:lang w:eastAsia="en-US"/>
    </w:rPr>
  </w:style>
  <w:style w:type="character" w:styleId="FootnoteReference">
    <w:name w:val="footnote reference"/>
    <w:basedOn w:val="DefaultParagraphFont"/>
    <w:semiHidden/>
    <w:rsid w:val="00A47BC4"/>
    <w:rPr>
      <w:vertAlign w:val="superscript"/>
    </w:rPr>
  </w:style>
  <w:style w:type="paragraph" w:customStyle="1" w:styleId="Default">
    <w:name w:val="Default"/>
    <w:rsid w:val="00A47BC4"/>
    <w:pPr>
      <w:autoSpaceDE w:val="0"/>
      <w:autoSpaceDN w:val="0"/>
      <w:adjustRightInd w:val="0"/>
    </w:pPr>
    <w:rPr>
      <w:rFonts w:ascii="Garamond" w:hAnsi="Garamond" w:cs="Garamond"/>
      <w:color w:val="000000"/>
      <w:sz w:val="24"/>
      <w:szCs w:val="24"/>
      <w:lang w:eastAsia="ja-JP"/>
    </w:rPr>
  </w:style>
  <w:style w:type="paragraph" w:customStyle="1" w:styleId="Normal1">
    <w:name w:val="Normal+1"/>
    <w:basedOn w:val="Default"/>
    <w:next w:val="Default"/>
    <w:rsid w:val="00A47BC4"/>
    <w:rPr>
      <w:rFonts w:cs="Times New Roman"/>
      <w:color w:val="auto"/>
    </w:rPr>
  </w:style>
  <w:style w:type="character" w:styleId="FollowedHyperlink">
    <w:name w:val="FollowedHyperlink"/>
    <w:basedOn w:val="DefaultParagraphFont"/>
    <w:rsid w:val="00DB7821"/>
    <w:rPr>
      <w:color w:val="606420"/>
      <w:u w:val="single"/>
    </w:rPr>
  </w:style>
  <w:style w:type="character" w:styleId="PageNumber">
    <w:name w:val="page number"/>
    <w:basedOn w:val="DefaultParagraphFont"/>
    <w:rsid w:val="008F1AD2"/>
  </w:style>
  <w:style w:type="paragraph" w:customStyle="1" w:styleId="Pa0">
    <w:name w:val="Pa0"/>
    <w:basedOn w:val="Normal"/>
    <w:next w:val="Normal"/>
    <w:rsid w:val="00E03CB4"/>
    <w:pPr>
      <w:autoSpaceDE w:val="0"/>
      <w:autoSpaceDN w:val="0"/>
      <w:adjustRightInd w:val="0"/>
      <w:spacing w:after="100" w:line="197" w:lineRule="atLeast"/>
    </w:pPr>
    <w:rPr>
      <w:rFonts w:ascii="Helvetica Neue" w:eastAsia="Times New Roman" w:hAnsi="Helvetica Neue"/>
      <w:lang w:eastAsia="en-US"/>
    </w:rPr>
  </w:style>
  <w:style w:type="paragraph" w:styleId="ListParagraph">
    <w:name w:val="List Paragraph"/>
    <w:basedOn w:val="Normal"/>
    <w:qFormat/>
    <w:rsid w:val="001B47F3"/>
    <w:pPr>
      <w:ind w:left="720"/>
      <w:contextualSpacing/>
    </w:pPr>
    <w:rPr>
      <w:rFonts w:eastAsia="Times New Roman"/>
      <w:lang w:eastAsia="en-US"/>
    </w:rPr>
  </w:style>
  <w:style w:type="paragraph" w:styleId="Revision">
    <w:name w:val="Revision"/>
    <w:hidden/>
    <w:uiPriority w:val="99"/>
    <w:semiHidden/>
    <w:rsid w:val="004B0EB3"/>
    <w:rPr>
      <w:sz w:val="24"/>
      <w:szCs w:val="24"/>
      <w:lang w:eastAsia="ja-JP"/>
    </w:rPr>
  </w:style>
  <w:style w:type="character" w:customStyle="1" w:styleId="HeaderChar">
    <w:name w:val="Header Char"/>
    <w:basedOn w:val="DefaultParagraphFont"/>
    <w:link w:val="Header"/>
    <w:uiPriority w:val="99"/>
    <w:rsid w:val="00FC6141"/>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445141">
      <w:bodyDiv w:val="1"/>
      <w:marLeft w:val="0"/>
      <w:marRight w:val="0"/>
      <w:marTop w:val="0"/>
      <w:marBottom w:val="0"/>
      <w:divBdr>
        <w:top w:val="none" w:sz="0" w:space="0" w:color="auto"/>
        <w:left w:val="none" w:sz="0" w:space="0" w:color="auto"/>
        <w:bottom w:val="none" w:sz="0" w:space="0" w:color="auto"/>
        <w:right w:val="none" w:sz="0" w:space="0" w:color="auto"/>
      </w:divBdr>
      <w:divsChild>
        <w:div w:id="518390758">
          <w:marLeft w:val="0"/>
          <w:marRight w:val="0"/>
          <w:marTop w:val="0"/>
          <w:marBottom w:val="0"/>
          <w:divBdr>
            <w:top w:val="none" w:sz="0" w:space="0" w:color="auto"/>
            <w:left w:val="none" w:sz="0" w:space="0" w:color="auto"/>
            <w:bottom w:val="none" w:sz="0" w:space="0" w:color="auto"/>
            <w:right w:val="none" w:sz="0" w:space="0" w:color="auto"/>
          </w:divBdr>
          <w:divsChild>
            <w:div w:id="175677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353693">
      <w:bodyDiv w:val="1"/>
      <w:marLeft w:val="0"/>
      <w:marRight w:val="0"/>
      <w:marTop w:val="0"/>
      <w:marBottom w:val="0"/>
      <w:divBdr>
        <w:top w:val="none" w:sz="0" w:space="0" w:color="auto"/>
        <w:left w:val="none" w:sz="0" w:space="0" w:color="auto"/>
        <w:bottom w:val="none" w:sz="0" w:space="0" w:color="auto"/>
        <w:right w:val="none" w:sz="0" w:space="0" w:color="auto"/>
      </w:divBdr>
    </w:div>
    <w:div w:id="441456734">
      <w:bodyDiv w:val="1"/>
      <w:marLeft w:val="0"/>
      <w:marRight w:val="0"/>
      <w:marTop w:val="0"/>
      <w:marBottom w:val="0"/>
      <w:divBdr>
        <w:top w:val="single" w:sz="2" w:space="0" w:color="DEDEDE"/>
        <w:left w:val="single" w:sz="4" w:space="0" w:color="DEDEDE"/>
        <w:bottom w:val="single" w:sz="2" w:space="0" w:color="DEDEDE"/>
        <w:right w:val="single" w:sz="4" w:space="0" w:color="DEDEDE"/>
      </w:divBdr>
      <w:divsChild>
        <w:div w:id="758526783">
          <w:marLeft w:val="0"/>
          <w:marRight w:val="0"/>
          <w:marTop w:val="0"/>
          <w:marBottom w:val="0"/>
          <w:divBdr>
            <w:top w:val="none" w:sz="0" w:space="0" w:color="auto"/>
            <w:left w:val="none" w:sz="0" w:space="0" w:color="auto"/>
            <w:bottom w:val="none" w:sz="0" w:space="0" w:color="auto"/>
            <w:right w:val="none" w:sz="0" w:space="0" w:color="auto"/>
          </w:divBdr>
        </w:div>
      </w:divsChild>
    </w:div>
    <w:div w:id="663246205">
      <w:bodyDiv w:val="1"/>
      <w:marLeft w:val="0"/>
      <w:marRight w:val="0"/>
      <w:marTop w:val="0"/>
      <w:marBottom w:val="0"/>
      <w:divBdr>
        <w:top w:val="none" w:sz="0" w:space="0" w:color="auto"/>
        <w:left w:val="none" w:sz="0" w:space="0" w:color="auto"/>
        <w:bottom w:val="none" w:sz="0" w:space="0" w:color="auto"/>
        <w:right w:val="none" w:sz="0" w:space="0" w:color="auto"/>
      </w:divBdr>
    </w:div>
    <w:div w:id="1016813720">
      <w:bodyDiv w:val="1"/>
      <w:marLeft w:val="0"/>
      <w:marRight w:val="0"/>
      <w:marTop w:val="0"/>
      <w:marBottom w:val="0"/>
      <w:divBdr>
        <w:top w:val="none" w:sz="0" w:space="0" w:color="auto"/>
        <w:left w:val="none" w:sz="0" w:space="0" w:color="auto"/>
        <w:bottom w:val="none" w:sz="0" w:space="0" w:color="auto"/>
        <w:right w:val="none" w:sz="0" w:space="0" w:color="auto"/>
      </w:divBdr>
    </w:div>
    <w:div w:id="1140343006">
      <w:bodyDiv w:val="1"/>
      <w:marLeft w:val="0"/>
      <w:marRight w:val="0"/>
      <w:marTop w:val="0"/>
      <w:marBottom w:val="0"/>
      <w:divBdr>
        <w:top w:val="none" w:sz="0" w:space="0" w:color="auto"/>
        <w:left w:val="none" w:sz="0" w:space="0" w:color="auto"/>
        <w:bottom w:val="none" w:sz="0" w:space="0" w:color="auto"/>
        <w:right w:val="none" w:sz="0" w:space="0" w:color="auto"/>
      </w:divBdr>
      <w:divsChild>
        <w:div w:id="972446691">
          <w:marLeft w:val="0"/>
          <w:marRight w:val="0"/>
          <w:marTop w:val="0"/>
          <w:marBottom w:val="0"/>
          <w:divBdr>
            <w:top w:val="none" w:sz="0" w:space="0" w:color="auto"/>
            <w:left w:val="none" w:sz="0" w:space="0" w:color="auto"/>
            <w:bottom w:val="none" w:sz="0" w:space="0" w:color="auto"/>
            <w:right w:val="none" w:sz="0" w:space="0" w:color="auto"/>
          </w:divBdr>
          <w:divsChild>
            <w:div w:id="116674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290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493FD8593A80341801924389BFE2A65" ma:contentTypeVersion="0" ma:contentTypeDescription="Create a new document." ma:contentTypeScope="" ma:versionID="197ade58f7717921cf3d092c507c68a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6796E9-FA34-4F0D-B86F-73741494BDFD}">
  <ds:schemaRefs>
    <ds:schemaRef ds:uri="http://purl.org/dc/dcmitype/"/>
    <ds:schemaRef ds:uri="http://purl.org/dc/elements/1.1/"/>
    <ds:schemaRef ds:uri="http://schemas.microsoft.com/office/2006/documentManagement/types"/>
    <ds:schemaRef ds:uri="http://schemas.microsoft.com/office/infopath/2007/PartnerControls"/>
    <ds:schemaRef ds:uri="http://www.w3.org/XML/1998/namespace"/>
    <ds:schemaRef ds:uri="http://schemas.openxmlformats.org/package/2006/metadata/core-propertie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CB863F8C-0DC5-4350-A60B-41B802EF6FDB}">
  <ds:schemaRefs>
    <ds:schemaRef ds:uri="http://schemas.microsoft.com/sharepoint/v3/contenttype/forms"/>
  </ds:schemaRefs>
</ds:datastoreItem>
</file>

<file path=customXml/itemProps3.xml><?xml version="1.0" encoding="utf-8"?>
<ds:datastoreItem xmlns:ds="http://schemas.openxmlformats.org/officeDocument/2006/customXml" ds:itemID="{4996CB63-5471-40AC-B910-BE4DB94092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7D345B4-752F-422F-B05D-641933844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931</Words>
  <Characters>5310</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 </vt:lpstr>
    </vt:vector>
  </TitlesOfParts>
  <Company>AIG</Company>
  <LinksUpToDate>false</LinksUpToDate>
  <CharactersWithSpaces>6229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American International Group</dc:creator>
  <cp:lastModifiedBy>American International Group</cp:lastModifiedBy>
  <cp:revision>2</cp:revision>
  <cp:lastPrinted>2013-04-09T22:07:00Z</cp:lastPrinted>
  <dcterms:created xsi:type="dcterms:W3CDTF">2015-12-02T20:04:00Z</dcterms:created>
  <dcterms:modified xsi:type="dcterms:W3CDTF">2015-12-02T20:04:00Z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0x010100E493FD8593A80341801924389BFE2A65</vt:lpwstr>
  </property>
</Properties>
</file>