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20" w:type="dxa"/>
        <w:tblInd w:w="-432" w:type="dxa"/>
        <w:tblLayout w:type="fixed"/>
        <w:tblLook w:val="01E0" w:firstRow="1" w:lastRow="1" w:firstColumn="1" w:lastColumn="1" w:noHBand="0" w:noVBand="0"/>
      </w:tblPr>
      <w:tblGrid>
        <w:gridCol w:w="1800"/>
        <w:gridCol w:w="4140"/>
        <w:gridCol w:w="4680"/>
      </w:tblGrid>
      <w:tr w:rsidR="00E9632D" w:rsidRPr="00894051" w14:paraId="7FAE4D35" w14:textId="77777777" w:rsidTr="00894051">
        <w:tc>
          <w:tcPr>
            <w:tcW w:w="5940" w:type="dxa"/>
            <w:gridSpan w:val="2"/>
          </w:tcPr>
          <w:p w14:paraId="7FAE4D30" w14:textId="121BE4D3" w:rsidR="00E9632D" w:rsidRPr="00894051" w:rsidRDefault="00A45052" w:rsidP="00B96178">
            <w:pPr>
              <w:rPr>
                <w:rFonts w:ascii="Arial" w:hAnsi="Arial" w:cs="Arial"/>
                <w:b/>
                <w:sz w:val="16"/>
                <w:szCs w:val="16"/>
              </w:rPr>
            </w:pPr>
            <w:bookmarkStart w:id="0" w:name="_GoBack"/>
            <w:bookmarkEnd w:id="0"/>
            <w:r w:rsidRPr="00894051">
              <w:rPr>
                <w:rFonts w:ascii="Arial" w:hAnsi="Arial" w:cs="Arial"/>
                <w:b/>
                <w:sz w:val="16"/>
                <w:szCs w:val="16"/>
              </w:rPr>
              <w:t>Category</w:t>
            </w:r>
            <w:r w:rsidR="00E9632D" w:rsidRPr="00894051">
              <w:rPr>
                <w:rFonts w:ascii="Arial" w:hAnsi="Arial" w:cs="Arial"/>
                <w:b/>
                <w:sz w:val="16"/>
                <w:szCs w:val="16"/>
              </w:rPr>
              <w:t xml:space="preserve">: </w:t>
            </w:r>
          </w:p>
          <w:p w14:paraId="7FAE4D31" w14:textId="77777777" w:rsidR="00A45052" w:rsidRPr="00894051" w:rsidRDefault="00B677DA" w:rsidP="00B96178">
            <w:pPr>
              <w:rPr>
                <w:rFonts w:ascii="Arial" w:hAnsi="Arial" w:cs="Arial"/>
                <w:b/>
                <w:color w:val="0000FF"/>
                <w:sz w:val="20"/>
                <w:szCs w:val="20"/>
              </w:rPr>
            </w:pPr>
            <w:r w:rsidRPr="009152D6">
              <w:rPr>
                <w:rFonts w:ascii="Arial" w:hAnsi="Arial" w:cs="Arial"/>
                <w:b/>
                <w:bCs/>
                <w:color w:val="00B0F0"/>
                <w:sz w:val="20"/>
                <w:szCs w:val="20"/>
              </w:rPr>
              <w:t>Standard</w:t>
            </w:r>
          </w:p>
        </w:tc>
        <w:tc>
          <w:tcPr>
            <w:tcW w:w="4680" w:type="dxa"/>
          </w:tcPr>
          <w:p w14:paraId="7FAE4D32" w14:textId="77777777" w:rsidR="00E9632D" w:rsidRPr="00894051" w:rsidRDefault="00E9632D" w:rsidP="00894051">
            <w:pPr>
              <w:jc w:val="both"/>
              <w:rPr>
                <w:rFonts w:ascii="Arial" w:hAnsi="Arial" w:cs="Arial"/>
                <w:i/>
                <w:iCs/>
                <w:sz w:val="16"/>
                <w:szCs w:val="16"/>
              </w:rPr>
            </w:pPr>
            <w:r w:rsidRPr="00894051">
              <w:rPr>
                <w:rFonts w:ascii="Arial" w:hAnsi="Arial" w:cs="Arial"/>
                <w:b/>
                <w:bCs/>
                <w:sz w:val="16"/>
                <w:szCs w:val="16"/>
              </w:rPr>
              <w:t>Functional Area</w:t>
            </w:r>
            <w:r w:rsidRPr="00894051">
              <w:rPr>
                <w:rFonts w:ascii="Arial" w:hAnsi="Arial" w:cs="Arial"/>
                <w:i/>
                <w:iCs/>
                <w:sz w:val="16"/>
                <w:szCs w:val="16"/>
              </w:rPr>
              <w:t>:</w:t>
            </w:r>
          </w:p>
          <w:p w14:paraId="7FAE4D33" w14:textId="77777777" w:rsidR="00E9632D" w:rsidRPr="009152D6" w:rsidRDefault="00E9632D" w:rsidP="00894051">
            <w:pPr>
              <w:jc w:val="both"/>
              <w:rPr>
                <w:b/>
                <w:color w:val="00B0F0"/>
                <w:sz w:val="20"/>
                <w:szCs w:val="20"/>
              </w:rPr>
            </w:pPr>
            <w:r w:rsidRPr="009152D6">
              <w:rPr>
                <w:rFonts w:ascii="Arial" w:hAnsi="Arial" w:cs="Arial"/>
                <w:b/>
                <w:iCs/>
                <w:color w:val="00B0F0"/>
                <w:sz w:val="20"/>
                <w:szCs w:val="20"/>
              </w:rPr>
              <w:t xml:space="preserve">Global </w:t>
            </w:r>
            <w:r w:rsidR="00A45052" w:rsidRPr="009152D6">
              <w:rPr>
                <w:rFonts w:ascii="Arial" w:hAnsi="Arial" w:cs="Arial"/>
                <w:b/>
                <w:iCs/>
                <w:color w:val="00B0F0"/>
                <w:sz w:val="20"/>
                <w:szCs w:val="20"/>
              </w:rPr>
              <w:t xml:space="preserve">Commercial </w:t>
            </w:r>
            <w:r w:rsidRPr="009152D6">
              <w:rPr>
                <w:rFonts w:ascii="Arial" w:hAnsi="Arial" w:cs="Arial"/>
                <w:b/>
                <w:iCs/>
                <w:color w:val="00B0F0"/>
                <w:sz w:val="20"/>
                <w:szCs w:val="20"/>
              </w:rPr>
              <w:t>Underwriting</w:t>
            </w:r>
          </w:p>
          <w:p w14:paraId="7FAE4D34" w14:textId="77777777" w:rsidR="00E9632D" w:rsidRPr="00894051" w:rsidRDefault="00E9632D" w:rsidP="00894051">
            <w:pPr>
              <w:jc w:val="both"/>
              <w:rPr>
                <w:rFonts w:ascii="Arial" w:hAnsi="Arial" w:cs="Arial"/>
                <w:i/>
                <w:iCs/>
                <w:sz w:val="16"/>
                <w:szCs w:val="16"/>
              </w:rPr>
            </w:pPr>
          </w:p>
        </w:tc>
      </w:tr>
      <w:tr w:rsidR="00E9632D" w:rsidRPr="00894051" w14:paraId="7FAE4D3B" w14:textId="77777777" w:rsidTr="00894051">
        <w:tc>
          <w:tcPr>
            <w:tcW w:w="5940" w:type="dxa"/>
            <w:gridSpan w:val="2"/>
          </w:tcPr>
          <w:p w14:paraId="7FAE4D36" w14:textId="77777777" w:rsidR="00E9632D" w:rsidRPr="00894051" w:rsidRDefault="00E9632D" w:rsidP="00894051">
            <w:pPr>
              <w:jc w:val="both"/>
              <w:rPr>
                <w:rFonts w:ascii="Arial" w:hAnsi="Arial" w:cs="Arial"/>
                <w:i/>
                <w:iCs/>
                <w:sz w:val="16"/>
                <w:szCs w:val="16"/>
              </w:rPr>
            </w:pPr>
            <w:r w:rsidRPr="00894051">
              <w:rPr>
                <w:rFonts w:ascii="Arial" w:hAnsi="Arial" w:cs="Arial"/>
                <w:b/>
                <w:bCs/>
                <w:sz w:val="16"/>
                <w:szCs w:val="16"/>
              </w:rPr>
              <w:t>Effective Date</w:t>
            </w:r>
            <w:r w:rsidRPr="00894051">
              <w:rPr>
                <w:rFonts w:ascii="Arial" w:hAnsi="Arial" w:cs="Arial"/>
                <w:i/>
                <w:iCs/>
                <w:sz w:val="16"/>
                <w:szCs w:val="16"/>
              </w:rPr>
              <w:t xml:space="preserve">: </w:t>
            </w:r>
          </w:p>
          <w:p w14:paraId="7FAE4D37" w14:textId="77777777" w:rsidR="00E9632D" w:rsidRPr="00894051" w:rsidRDefault="00E9632D" w:rsidP="00894051">
            <w:pPr>
              <w:jc w:val="both"/>
              <w:rPr>
                <w:rFonts w:ascii="Arial" w:hAnsi="Arial" w:cs="Arial"/>
                <w:b/>
                <w:bCs/>
                <w:color w:val="0000FF"/>
                <w:sz w:val="16"/>
                <w:szCs w:val="16"/>
              </w:rPr>
            </w:pPr>
            <w:r w:rsidRPr="00894051">
              <w:rPr>
                <w:rFonts w:ascii="Arial" w:hAnsi="Arial" w:cs="Arial"/>
                <w:i/>
                <w:iCs/>
                <w:sz w:val="16"/>
                <w:szCs w:val="16"/>
              </w:rPr>
              <w:t xml:space="preserve"> </w:t>
            </w:r>
            <w:r w:rsidR="005B55E4" w:rsidRPr="009152D6">
              <w:rPr>
                <w:rFonts w:ascii="Arial" w:hAnsi="Arial" w:cs="Arial"/>
                <w:b/>
                <w:i/>
                <w:iCs/>
                <w:color w:val="00B0F0"/>
                <w:sz w:val="20"/>
                <w:szCs w:val="20"/>
              </w:rPr>
              <w:t>Decemb</w:t>
            </w:r>
            <w:r w:rsidR="000C01B4" w:rsidRPr="009152D6">
              <w:rPr>
                <w:rFonts w:ascii="Arial" w:hAnsi="Arial" w:cs="Arial"/>
                <w:b/>
                <w:i/>
                <w:iCs/>
                <w:color w:val="00B0F0"/>
                <w:sz w:val="20"/>
                <w:szCs w:val="20"/>
              </w:rPr>
              <w:t xml:space="preserve">er </w:t>
            </w:r>
            <w:r w:rsidR="00424CF3" w:rsidRPr="009152D6">
              <w:rPr>
                <w:rFonts w:ascii="Arial" w:hAnsi="Arial" w:cs="Arial"/>
                <w:b/>
                <w:i/>
                <w:iCs/>
                <w:color w:val="00B0F0"/>
                <w:sz w:val="20"/>
                <w:szCs w:val="20"/>
              </w:rPr>
              <w:t>1,</w:t>
            </w:r>
            <w:r w:rsidR="003123BD" w:rsidRPr="009152D6">
              <w:rPr>
                <w:rFonts w:ascii="Arial" w:hAnsi="Arial" w:cs="Arial"/>
                <w:b/>
                <w:i/>
                <w:iCs/>
                <w:color w:val="00B0F0"/>
                <w:sz w:val="20"/>
                <w:szCs w:val="20"/>
              </w:rPr>
              <w:t xml:space="preserve"> 2013</w:t>
            </w:r>
            <w:r w:rsidRPr="009152D6">
              <w:rPr>
                <w:rFonts w:ascii="Arial" w:hAnsi="Arial" w:cs="Arial"/>
                <w:b/>
                <w:i/>
                <w:iCs/>
                <w:color w:val="00B0F0"/>
                <w:sz w:val="20"/>
                <w:szCs w:val="20"/>
              </w:rPr>
              <w:t xml:space="preserve"> </w:t>
            </w:r>
          </w:p>
        </w:tc>
        <w:tc>
          <w:tcPr>
            <w:tcW w:w="4680" w:type="dxa"/>
          </w:tcPr>
          <w:p w14:paraId="7FAE4D38" w14:textId="77777777" w:rsidR="00E9632D" w:rsidRPr="00894051" w:rsidRDefault="00E9632D" w:rsidP="00B96178">
            <w:pPr>
              <w:rPr>
                <w:rFonts w:ascii="Arial" w:hAnsi="Arial" w:cs="Arial"/>
                <w:i/>
                <w:iCs/>
                <w:sz w:val="16"/>
                <w:szCs w:val="16"/>
              </w:rPr>
            </w:pPr>
            <w:r w:rsidRPr="00894051">
              <w:rPr>
                <w:rFonts w:ascii="Arial" w:hAnsi="Arial" w:cs="Arial"/>
                <w:b/>
                <w:bCs/>
                <w:sz w:val="16"/>
                <w:szCs w:val="16"/>
              </w:rPr>
              <w:t>Date Issued</w:t>
            </w:r>
            <w:r w:rsidRPr="00894051">
              <w:rPr>
                <w:rFonts w:ascii="Arial" w:hAnsi="Arial" w:cs="Arial"/>
                <w:i/>
                <w:iCs/>
                <w:sz w:val="16"/>
                <w:szCs w:val="16"/>
              </w:rPr>
              <w:t xml:space="preserve">: </w:t>
            </w:r>
          </w:p>
          <w:p w14:paraId="7FAE4D39" w14:textId="19EA8EEF" w:rsidR="00E9632D" w:rsidRPr="009152D6" w:rsidRDefault="00E9632D" w:rsidP="00B96178">
            <w:pPr>
              <w:rPr>
                <w:rFonts w:ascii="Arial" w:hAnsi="Arial" w:cs="Arial"/>
                <w:b/>
                <w:i/>
                <w:iCs/>
                <w:color w:val="00B0F0"/>
                <w:sz w:val="20"/>
                <w:szCs w:val="20"/>
              </w:rPr>
            </w:pPr>
            <w:r w:rsidRPr="00894051">
              <w:rPr>
                <w:rFonts w:ascii="Arial" w:hAnsi="Arial" w:cs="Arial"/>
                <w:i/>
                <w:iCs/>
                <w:sz w:val="16"/>
                <w:szCs w:val="16"/>
              </w:rPr>
              <w:t xml:space="preserve"> </w:t>
            </w:r>
            <w:r w:rsidR="005B55E4" w:rsidRPr="009152D6">
              <w:rPr>
                <w:rFonts w:ascii="Arial" w:hAnsi="Arial" w:cs="Arial"/>
                <w:b/>
                <w:i/>
                <w:iCs/>
                <w:color w:val="00B0F0"/>
                <w:sz w:val="20"/>
                <w:szCs w:val="20"/>
              </w:rPr>
              <w:t>December 1</w:t>
            </w:r>
            <w:r w:rsidR="003123BD" w:rsidRPr="009152D6">
              <w:rPr>
                <w:rFonts w:ascii="Arial" w:hAnsi="Arial" w:cs="Arial"/>
                <w:b/>
                <w:i/>
                <w:iCs/>
                <w:color w:val="00B0F0"/>
                <w:sz w:val="20"/>
                <w:szCs w:val="20"/>
              </w:rPr>
              <w:t>, 2013</w:t>
            </w:r>
            <w:r w:rsidR="00452E7A" w:rsidRPr="009152D6">
              <w:rPr>
                <w:rFonts w:ascii="Arial" w:hAnsi="Arial" w:cs="Arial"/>
                <w:b/>
                <w:i/>
                <w:iCs/>
                <w:color w:val="00B0F0"/>
                <w:sz w:val="20"/>
                <w:szCs w:val="20"/>
              </w:rPr>
              <w:t xml:space="preserve"> – Revised </w:t>
            </w:r>
            <w:r w:rsidR="00D43E7E" w:rsidRPr="009152D6">
              <w:rPr>
                <w:rFonts w:ascii="Arial" w:hAnsi="Arial" w:cs="Arial"/>
                <w:b/>
                <w:i/>
                <w:iCs/>
                <w:color w:val="00B0F0"/>
                <w:sz w:val="20"/>
                <w:szCs w:val="20"/>
              </w:rPr>
              <w:t xml:space="preserve">August 18, </w:t>
            </w:r>
            <w:r w:rsidR="00452E7A" w:rsidRPr="009152D6">
              <w:rPr>
                <w:rFonts w:ascii="Arial" w:hAnsi="Arial" w:cs="Arial"/>
                <w:b/>
                <w:i/>
                <w:iCs/>
                <w:color w:val="00B0F0"/>
                <w:sz w:val="20"/>
                <w:szCs w:val="20"/>
              </w:rPr>
              <w:t>2015</w:t>
            </w:r>
          </w:p>
          <w:p w14:paraId="7FAE4D3A" w14:textId="77777777" w:rsidR="00A45052" w:rsidRPr="00894051" w:rsidRDefault="00A45052" w:rsidP="00B96178">
            <w:pPr>
              <w:rPr>
                <w:rFonts w:ascii="Arial" w:hAnsi="Arial" w:cs="Arial"/>
                <w:b/>
                <w:i/>
                <w:iCs/>
                <w:color w:val="0000FF"/>
                <w:sz w:val="20"/>
                <w:szCs w:val="20"/>
              </w:rPr>
            </w:pPr>
          </w:p>
        </w:tc>
      </w:tr>
      <w:tr w:rsidR="0012774B" w:rsidRPr="00894051" w14:paraId="7FAE4D41" w14:textId="77777777" w:rsidTr="00894051">
        <w:trPr>
          <w:trHeight w:val="522"/>
        </w:trPr>
        <w:tc>
          <w:tcPr>
            <w:tcW w:w="5940" w:type="dxa"/>
            <w:gridSpan w:val="2"/>
          </w:tcPr>
          <w:p w14:paraId="7FAE4D3C" w14:textId="77777777" w:rsidR="0012774B" w:rsidRPr="00894051" w:rsidRDefault="0012774B" w:rsidP="00CE0239">
            <w:pPr>
              <w:rPr>
                <w:rFonts w:ascii="Arial" w:hAnsi="Arial" w:cs="Arial"/>
                <w:i/>
                <w:iCs/>
                <w:color w:val="FF0000"/>
                <w:sz w:val="16"/>
                <w:szCs w:val="20"/>
              </w:rPr>
            </w:pPr>
            <w:r w:rsidRPr="00894051">
              <w:rPr>
                <w:rFonts w:ascii="Arial" w:hAnsi="Arial" w:cs="Arial"/>
                <w:b/>
                <w:bCs/>
                <w:sz w:val="16"/>
                <w:szCs w:val="16"/>
              </w:rPr>
              <w:t>Owner:</w:t>
            </w:r>
            <w:r w:rsidRPr="00894051">
              <w:rPr>
                <w:rFonts w:ascii="Arial" w:hAnsi="Arial" w:cs="Arial"/>
                <w:i/>
                <w:iCs/>
                <w:color w:val="FF0000"/>
                <w:sz w:val="16"/>
                <w:szCs w:val="20"/>
              </w:rPr>
              <w:t xml:space="preserve"> </w:t>
            </w:r>
          </w:p>
          <w:p w14:paraId="7FAE4D3D" w14:textId="77777777" w:rsidR="0012774B" w:rsidRPr="009152D6" w:rsidRDefault="0012774B" w:rsidP="00CE0239">
            <w:pPr>
              <w:rPr>
                <w:rFonts w:ascii="Arial" w:hAnsi="Arial" w:cs="Arial"/>
                <w:b/>
                <w:bCs/>
                <w:color w:val="00B0F0"/>
                <w:sz w:val="20"/>
                <w:szCs w:val="20"/>
              </w:rPr>
            </w:pPr>
            <w:r w:rsidRPr="009152D6">
              <w:rPr>
                <w:rFonts w:ascii="Arial" w:hAnsi="Arial" w:cs="Arial"/>
                <w:b/>
                <w:bCs/>
                <w:color w:val="00B0F0"/>
                <w:sz w:val="20"/>
                <w:szCs w:val="20"/>
              </w:rPr>
              <w:t xml:space="preserve">Global </w:t>
            </w:r>
            <w:r w:rsidR="00A45052" w:rsidRPr="009152D6">
              <w:rPr>
                <w:rFonts w:ascii="Arial" w:hAnsi="Arial" w:cs="Arial"/>
                <w:b/>
                <w:bCs/>
                <w:color w:val="00B0F0"/>
                <w:sz w:val="20"/>
                <w:szCs w:val="20"/>
              </w:rPr>
              <w:t xml:space="preserve">Commercial </w:t>
            </w:r>
            <w:r w:rsidRPr="009152D6">
              <w:rPr>
                <w:rFonts w:ascii="Arial" w:hAnsi="Arial" w:cs="Arial"/>
                <w:b/>
                <w:bCs/>
                <w:color w:val="00B0F0"/>
                <w:sz w:val="20"/>
                <w:szCs w:val="20"/>
              </w:rPr>
              <w:t>Underwriting Committee</w:t>
            </w:r>
          </w:p>
          <w:p w14:paraId="7FAE4D3E" w14:textId="77777777" w:rsidR="0012774B" w:rsidRPr="00894051" w:rsidRDefault="0012774B" w:rsidP="00894051">
            <w:pPr>
              <w:jc w:val="both"/>
              <w:rPr>
                <w:rFonts w:ascii="Arial" w:hAnsi="Arial" w:cs="Arial"/>
                <w:i/>
                <w:iCs/>
                <w:sz w:val="16"/>
                <w:szCs w:val="16"/>
              </w:rPr>
            </w:pPr>
            <w:r w:rsidRPr="00894051">
              <w:rPr>
                <w:rFonts w:ascii="Arial" w:hAnsi="Arial" w:cs="Arial"/>
                <w:i/>
                <w:iCs/>
                <w:sz w:val="16"/>
                <w:szCs w:val="16"/>
              </w:rPr>
              <w:br/>
              <w:t xml:space="preserve"> </w:t>
            </w:r>
          </w:p>
        </w:tc>
        <w:tc>
          <w:tcPr>
            <w:tcW w:w="4680" w:type="dxa"/>
          </w:tcPr>
          <w:p w14:paraId="7FAE4D3F" w14:textId="77777777" w:rsidR="0012774B" w:rsidRPr="00894051" w:rsidRDefault="0012774B" w:rsidP="00B96178">
            <w:pPr>
              <w:rPr>
                <w:rFonts w:ascii="Arial" w:hAnsi="Arial" w:cs="Arial"/>
                <w:sz w:val="16"/>
                <w:szCs w:val="16"/>
              </w:rPr>
            </w:pPr>
            <w:r w:rsidRPr="00894051">
              <w:rPr>
                <w:rFonts w:ascii="Arial" w:hAnsi="Arial" w:cs="Arial"/>
                <w:b/>
                <w:bCs/>
                <w:sz w:val="16"/>
                <w:szCs w:val="16"/>
              </w:rPr>
              <w:t>Contact for Questions</w:t>
            </w:r>
            <w:r w:rsidRPr="00894051">
              <w:rPr>
                <w:rFonts w:ascii="Arial" w:hAnsi="Arial" w:cs="Arial"/>
                <w:sz w:val="16"/>
                <w:szCs w:val="16"/>
              </w:rPr>
              <w:t>:</w:t>
            </w:r>
            <w:r w:rsidRPr="00894051">
              <w:rPr>
                <w:rFonts w:ascii="Arial" w:hAnsi="Arial" w:cs="Arial"/>
                <w:i/>
                <w:iCs/>
                <w:color w:val="FF0000"/>
                <w:sz w:val="16"/>
                <w:szCs w:val="16"/>
              </w:rPr>
              <w:t xml:space="preserve"> </w:t>
            </w:r>
          </w:p>
          <w:p w14:paraId="7FAE4D40" w14:textId="77777777" w:rsidR="0012774B" w:rsidRPr="00894051" w:rsidRDefault="004D65CB" w:rsidP="00B96178">
            <w:pPr>
              <w:rPr>
                <w:rFonts w:ascii="Arial" w:hAnsi="Arial" w:cs="Arial"/>
                <w:b/>
                <w:bCs/>
                <w:color w:val="0000FF"/>
                <w:sz w:val="20"/>
                <w:szCs w:val="20"/>
              </w:rPr>
            </w:pPr>
            <w:r w:rsidRPr="009152D6">
              <w:rPr>
                <w:rFonts w:ascii="Arial" w:hAnsi="Arial" w:cs="Arial"/>
                <w:b/>
                <w:bCs/>
                <w:color w:val="00B0F0"/>
                <w:sz w:val="20"/>
                <w:szCs w:val="20"/>
              </w:rPr>
              <w:t xml:space="preserve">Global Commercial </w:t>
            </w:r>
            <w:r w:rsidR="0012774B" w:rsidRPr="009152D6">
              <w:rPr>
                <w:rFonts w:ascii="Arial" w:hAnsi="Arial" w:cs="Arial"/>
                <w:b/>
                <w:bCs/>
                <w:color w:val="00B0F0"/>
                <w:sz w:val="20"/>
                <w:szCs w:val="20"/>
              </w:rPr>
              <w:t>Head of Technical Underwriting</w:t>
            </w:r>
          </w:p>
        </w:tc>
      </w:tr>
      <w:tr w:rsidR="0012774B" w:rsidRPr="00894051" w14:paraId="7FAE4D43" w14:textId="77777777" w:rsidTr="00894051">
        <w:trPr>
          <w:trHeight w:val="522"/>
        </w:trPr>
        <w:tc>
          <w:tcPr>
            <w:tcW w:w="10620" w:type="dxa"/>
            <w:gridSpan w:val="3"/>
          </w:tcPr>
          <w:p w14:paraId="7FAE4D42" w14:textId="77777777" w:rsidR="0012774B" w:rsidRPr="00894051" w:rsidRDefault="0012774B" w:rsidP="00B96178">
            <w:pPr>
              <w:rPr>
                <w:rFonts w:ascii="Arial" w:hAnsi="Arial" w:cs="Arial"/>
                <w:b/>
                <w:bCs/>
                <w:sz w:val="16"/>
                <w:szCs w:val="16"/>
              </w:rPr>
            </w:pPr>
            <w:r w:rsidRPr="00894051">
              <w:rPr>
                <w:rFonts w:ascii="Arial" w:hAnsi="Arial" w:cs="Arial"/>
                <w:b/>
                <w:bCs/>
                <w:sz w:val="16"/>
                <w:szCs w:val="16"/>
              </w:rPr>
              <w:t>Approver</w:t>
            </w:r>
            <w:r w:rsidRPr="00894051">
              <w:rPr>
                <w:rFonts w:ascii="Arial" w:hAnsi="Arial" w:cs="Arial"/>
                <w:sz w:val="16"/>
                <w:szCs w:val="16"/>
              </w:rPr>
              <w:t>:</w:t>
            </w:r>
            <w:r w:rsidRPr="009152D6">
              <w:rPr>
                <w:rFonts w:ascii="Arial" w:hAnsi="Arial" w:cs="Arial"/>
                <w:color w:val="00B0F0"/>
                <w:sz w:val="16"/>
                <w:szCs w:val="16"/>
              </w:rPr>
              <w:br/>
            </w:r>
            <w:r w:rsidR="00A45052" w:rsidRPr="009152D6">
              <w:rPr>
                <w:rFonts w:ascii="Arial" w:hAnsi="Arial" w:cs="Arial"/>
                <w:b/>
                <w:bCs/>
                <w:color w:val="00B0F0"/>
                <w:sz w:val="20"/>
                <w:szCs w:val="20"/>
              </w:rPr>
              <w:t>Global</w:t>
            </w:r>
            <w:r w:rsidRPr="009152D6">
              <w:rPr>
                <w:rFonts w:ascii="Arial" w:hAnsi="Arial" w:cs="Arial"/>
                <w:b/>
                <w:bCs/>
                <w:color w:val="00B0F0"/>
                <w:sz w:val="20"/>
                <w:szCs w:val="20"/>
              </w:rPr>
              <w:t xml:space="preserve"> Commercial Chief Underwriting Officer</w:t>
            </w:r>
          </w:p>
        </w:tc>
      </w:tr>
      <w:tr w:rsidR="009549C8" w:rsidRPr="00894051" w14:paraId="7FAE4D48" w14:textId="77777777" w:rsidTr="00894051">
        <w:tc>
          <w:tcPr>
            <w:tcW w:w="1800" w:type="dxa"/>
          </w:tcPr>
          <w:p w14:paraId="7FAE4D44" w14:textId="77777777" w:rsidR="009549C8" w:rsidRPr="00894051" w:rsidRDefault="009549C8" w:rsidP="00894051">
            <w:pPr>
              <w:spacing w:before="60" w:after="60"/>
              <w:jc w:val="both"/>
              <w:rPr>
                <w:rFonts w:ascii="Arial" w:hAnsi="Arial" w:cs="Arial"/>
                <w:b/>
                <w:sz w:val="20"/>
                <w:szCs w:val="20"/>
              </w:rPr>
            </w:pPr>
            <w:r w:rsidRPr="00894051">
              <w:rPr>
                <w:rFonts w:ascii="Arial" w:hAnsi="Arial" w:cs="Arial"/>
                <w:b/>
                <w:sz w:val="20"/>
                <w:szCs w:val="20"/>
              </w:rPr>
              <w:t>Purpose</w:t>
            </w:r>
          </w:p>
        </w:tc>
        <w:tc>
          <w:tcPr>
            <w:tcW w:w="8820" w:type="dxa"/>
            <w:gridSpan w:val="2"/>
          </w:tcPr>
          <w:p w14:paraId="7FAE4D45" w14:textId="77777777" w:rsidR="009549C8" w:rsidRPr="00424652" w:rsidRDefault="009549C8" w:rsidP="00427A89">
            <w:pPr>
              <w:rPr>
                <w:rFonts w:ascii="Arial" w:hAnsi="Arial" w:cs="Arial"/>
                <w:i/>
                <w:iCs/>
                <w:color w:val="FF0000"/>
                <w:sz w:val="16"/>
                <w:szCs w:val="16"/>
              </w:rPr>
            </w:pPr>
          </w:p>
          <w:p w14:paraId="7FAE4D46" w14:textId="41F888C7" w:rsidR="009549C8" w:rsidRPr="00424652" w:rsidRDefault="00FC092D" w:rsidP="00954BA0">
            <w:pPr>
              <w:rPr>
                <w:rFonts w:ascii="Arial" w:hAnsi="Arial" w:cs="Arial"/>
                <w:color w:val="000000"/>
                <w:sz w:val="20"/>
                <w:szCs w:val="20"/>
              </w:rPr>
            </w:pPr>
            <w:r w:rsidRPr="00424652">
              <w:rPr>
                <w:rFonts w:ascii="Arial" w:hAnsi="Arial" w:cs="Arial"/>
                <w:color w:val="000000"/>
                <w:sz w:val="20"/>
                <w:szCs w:val="20"/>
              </w:rPr>
              <w:t xml:space="preserve">To ensure that within AIG Commercial, a disciplined, consistent process of governance is applied to the development </w:t>
            </w:r>
            <w:r w:rsidR="003D1A96">
              <w:rPr>
                <w:rFonts w:ascii="Arial" w:hAnsi="Arial" w:cs="Arial"/>
                <w:color w:val="000000"/>
                <w:sz w:val="20"/>
                <w:szCs w:val="20"/>
              </w:rPr>
              <w:t>and launch of</w:t>
            </w:r>
            <w:r w:rsidRPr="00424652">
              <w:rPr>
                <w:rFonts w:ascii="Arial" w:hAnsi="Arial" w:cs="Arial"/>
                <w:color w:val="000000"/>
                <w:sz w:val="20"/>
                <w:szCs w:val="20"/>
              </w:rPr>
              <w:t xml:space="preserve"> Products, addressing customer needs in alignment with </w:t>
            </w:r>
            <w:r w:rsidR="000E4835" w:rsidRPr="00424652">
              <w:rPr>
                <w:rFonts w:ascii="Arial" w:hAnsi="Arial" w:cs="Arial"/>
                <w:color w:val="000000"/>
                <w:sz w:val="20"/>
                <w:szCs w:val="20"/>
              </w:rPr>
              <w:t xml:space="preserve">underwriting and risk appetite guidelines, </w:t>
            </w:r>
            <w:r w:rsidRPr="00424652">
              <w:rPr>
                <w:rFonts w:ascii="Arial" w:hAnsi="Arial" w:cs="Arial"/>
                <w:color w:val="000000"/>
                <w:sz w:val="20"/>
                <w:szCs w:val="20"/>
              </w:rPr>
              <w:t xml:space="preserve">regulatory requirements, leading industry practices and other business entity guidelines.  </w:t>
            </w:r>
          </w:p>
          <w:p w14:paraId="7FAE4D47" w14:textId="77777777" w:rsidR="009549C8" w:rsidRPr="00424652" w:rsidRDefault="009549C8" w:rsidP="00F206D1">
            <w:pPr>
              <w:rPr>
                <w:rFonts w:ascii="Arial" w:hAnsi="Arial" w:cs="Arial"/>
                <w:color w:val="000000"/>
                <w:sz w:val="20"/>
                <w:szCs w:val="20"/>
              </w:rPr>
            </w:pPr>
          </w:p>
        </w:tc>
      </w:tr>
      <w:tr w:rsidR="009549C8" w:rsidRPr="00894051" w14:paraId="7FAE4D4D" w14:textId="77777777" w:rsidTr="00894051">
        <w:tc>
          <w:tcPr>
            <w:tcW w:w="1800" w:type="dxa"/>
          </w:tcPr>
          <w:p w14:paraId="7FAE4D49" w14:textId="77777777" w:rsidR="009549C8" w:rsidRPr="00894051" w:rsidRDefault="009549C8" w:rsidP="00894051">
            <w:pPr>
              <w:spacing w:before="60" w:after="60"/>
              <w:rPr>
                <w:rFonts w:ascii="Arial" w:hAnsi="Arial" w:cs="Arial"/>
                <w:b/>
                <w:sz w:val="20"/>
                <w:szCs w:val="20"/>
              </w:rPr>
            </w:pPr>
            <w:r w:rsidRPr="00894051">
              <w:rPr>
                <w:rFonts w:ascii="Arial" w:hAnsi="Arial" w:cs="Arial"/>
                <w:b/>
                <w:sz w:val="20"/>
                <w:szCs w:val="20"/>
              </w:rPr>
              <w:t>Scope</w:t>
            </w:r>
          </w:p>
        </w:tc>
        <w:tc>
          <w:tcPr>
            <w:tcW w:w="8820" w:type="dxa"/>
            <w:gridSpan w:val="2"/>
          </w:tcPr>
          <w:p w14:paraId="7FAE4D4A" w14:textId="77777777" w:rsidR="009549C8" w:rsidRPr="00424652" w:rsidRDefault="009549C8" w:rsidP="00894051">
            <w:pPr>
              <w:tabs>
                <w:tab w:val="num" w:pos="612"/>
              </w:tabs>
              <w:rPr>
                <w:rFonts w:ascii="Arial" w:hAnsi="Arial" w:cs="Arial"/>
                <w:sz w:val="20"/>
                <w:szCs w:val="20"/>
              </w:rPr>
            </w:pPr>
          </w:p>
          <w:p w14:paraId="7FAE4D4B" w14:textId="452DAEDE" w:rsidR="009549C8" w:rsidRPr="00424652" w:rsidRDefault="009549C8" w:rsidP="00894051">
            <w:pPr>
              <w:tabs>
                <w:tab w:val="num" w:pos="612"/>
              </w:tabs>
              <w:rPr>
                <w:rFonts w:ascii="Arial" w:hAnsi="Arial" w:cs="Arial"/>
                <w:i/>
                <w:iCs/>
                <w:sz w:val="16"/>
                <w:szCs w:val="16"/>
              </w:rPr>
            </w:pPr>
            <w:r w:rsidRPr="00424652">
              <w:rPr>
                <w:rFonts w:ascii="Arial" w:hAnsi="Arial" w:cs="Arial"/>
                <w:sz w:val="20"/>
                <w:szCs w:val="20"/>
              </w:rPr>
              <w:t xml:space="preserve">The </w:t>
            </w:r>
            <w:r w:rsidR="00B677DA" w:rsidRPr="00424652">
              <w:rPr>
                <w:rFonts w:ascii="Arial" w:hAnsi="Arial" w:cs="Arial"/>
                <w:sz w:val="20"/>
                <w:szCs w:val="20"/>
              </w:rPr>
              <w:t>requirement</w:t>
            </w:r>
            <w:r w:rsidR="00A45052" w:rsidRPr="00424652">
              <w:rPr>
                <w:rFonts w:ascii="Arial" w:hAnsi="Arial" w:cs="Arial"/>
                <w:sz w:val="20"/>
                <w:szCs w:val="20"/>
              </w:rPr>
              <w:t xml:space="preserve">s set out in this </w:t>
            </w:r>
            <w:r w:rsidR="004D65CB" w:rsidRPr="00424652">
              <w:rPr>
                <w:rFonts w:ascii="Arial" w:hAnsi="Arial" w:cs="Arial"/>
                <w:sz w:val="20"/>
                <w:szCs w:val="20"/>
              </w:rPr>
              <w:t>S</w:t>
            </w:r>
            <w:r w:rsidR="00B677DA" w:rsidRPr="00424652">
              <w:rPr>
                <w:rFonts w:ascii="Arial" w:hAnsi="Arial" w:cs="Arial"/>
                <w:sz w:val="20"/>
                <w:szCs w:val="20"/>
              </w:rPr>
              <w:t>tandard</w:t>
            </w:r>
            <w:r w:rsidRPr="00424652">
              <w:rPr>
                <w:rFonts w:ascii="Arial" w:hAnsi="Arial" w:cs="Arial"/>
                <w:sz w:val="20"/>
                <w:szCs w:val="20"/>
              </w:rPr>
              <w:t xml:space="preserve"> apply to employees of </w:t>
            </w:r>
            <w:r w:rsidR="004D65CB" w:rsidRPr="00424652">
              <w:rPr>
                <w:rFonts w:ascii="Arial" w:hAnsi="Arial" w:cs="Arial"/>
                <w:sz w:val="20"/>
                <w:szCs w:val="20"/>
              </w:rPr>
              <w:t xml:space="preserve">AIG </w:t>
            </w:r>
            <w:r w:rsidRPr="00424652">
              <w:rPr>
                <w:rFonts w:ascii="Arial" w:hAnsi="Arial" w:cs="Arial"/>
                <w:sz w:val="20"/>
                <w:szCs w:val="20"/>
              </w:rPr>
              <w:t xml:space="preserve">Commercial </w:t>
            </w:r>
            <w:r w:rsidR="004D65CB" w:rsidRPr="00424652">
              <w:rPr>
                <w:rFonts w:ascii="Arial" w:hAnsi="Arial" w:cs="Arial"/>
                <w:sz w:val="20"/>
                <w:szCs w:val="20"/>
              </w:rPr>
              <w:t>with responsibility for</w:t>
            </w:r>
            <w:r w:rsidRPr="00424652">
              <w:rPr>
                <w:rFonts w:ascii="Arial" w:hAnsi="Arial" w:cs="Arial"/>
                <w:sz w:val="20"/>
                <w:szCs w:val="20"/>
              </w:rPr>
              <w:t xml:space="preserve"> underwriting or</w:t>
            </w:r>
            <w:r w:rsidR="004D65CB" w:rsidRPr="00424652">
              <w:rPr>
                <w:rFonts w:ascii="Arial" w:hAnsi="Arial" w:cs="Arial"/>
                <w:sz w:val="20"/>
                <w:szCs w:val="20"/>
              </w:rPr>
              <w:t xml:space="preserve"> managing</w:t>
            </w:r>
            <w:r w:rsidRPr="00424652">
              <w:rPr>
                <w:rFonts w:ascii="Arial" w:hAnsi="Arial" w:cs="Arial"/>
                <w:sz w:val="20"/>
                <w:szCs w:val="20"/>
              </w:rPr>
              <w:t xml:space="preserve"> insurance risk</w:t>
            </w:r>
            <w:r w:rsidR="004D65CB" w:rsidRPr="00424652">
              <w:rPr>
                <w:rFonts w:ascii="Arial" w:hAnsi="Arial" w:cs="Arial"/>
                <w:sz w:val="20"/>
                <w:szCs w:val="20"/>
              </w:rPr>
              <w:t>s,</w:t>
            </w:r>
            <w:r w:rsidRPr="00424652">
              <w:rPr>
                <w:rFonts w:ascii="Arial" w:hAnsi="Arial" w:cs="Arial"/>
                <w:sz w:val="20"/>
                <w:szCs w:val="20"/>
              </w:rPr>
              <w:t xml:space="preserve"> policies and portfolios.</w:t>
            </w:r>
          </w:p>
          <w:p w14:paraId="7FAE4D4C" w14:textId="77777777" w:rsidR="009549C8" w:rsidRPr="00424652" w:rsidRDefault="009549C8" w:rsidP="00894051">
            <w:pPr>
              <w:autoSpaceDE w:val="0"/>
              <w:autoSpaceDN w:val="0"/>
              <w:adjustRightInd w:val="0"/>
              <w:jc w:val="both"/>
              <w:rPr>
                <w:rFonts w:ascii="Arial" w:hAnsi="Arial" w:cs="Arial"/>
                <w:i/>
                <w:iCs/>
                <w:sz w:val="16"/>
                <w:szCs w:val="16"/>
              </w:rPr>
            </w:pPr>
          </w:p>
        </w:tc>
      </w:tr>
      <w:tr w:rsidR="009549C8" w:rsidRPr="00894051" w14:paraId="7FAE4D50" w14:textId="77777777" w:rsidTr="00894051">
        <w:trPr>
          <w:trHeight w:val="1008"/>
        </w:trPr>
        <w:tc>
          <w:tcPr>
            <w:tcW w:w="1800" w:type="dxa"/>
          </w:tcPr>
          <w:p w14:paraId="7FAE4D4E" w14:textId="77777777" w:rsidR="009549C8" w:rsidRPr="00894051" w:rsidRDefault="009549C8" w:rsidP="00894051">
            <w:pPr>
              <w:spacing w:before="60" w:after="60"/>
              <w:rPr>
                <w:rFonts w:ascii="Arial" w:hAnsi="Arial" w:cs="Arial"/>
                <w:b/>
                <w:sz w:val="20"/>
                <w:szCs w:val="20"/>
              </w:rPr>
            </w:pPr>
            <w:r w:rsidRPr="00894051">
              <w:rPr>
                <w:rFonts w:ascii="Arial" w:hAnsi="Arial" w:cs="Arial"/>
                <w:b/>
                <w:sz w:val="20"/>
                <w:szCs w:val="20"/>
              </w:rPr>
              <w:t>Operational Requirements</w:t>
            </w:r>
          </w:p>
        </w:tc>
        <w:tc>
          <w:tcPr>
            <w:tcW w:w="8820" w:type="dxa"/>
            <w:gridSpan w:val="2"/>
          </w:tcPr>
          <w:p w14:paraId="7FAE4D4F" w14:textId="77777777" w:rsidR="009549C8" w:rsidRPr="00424652" w:rsidRDefault="009549C8" w:rsidP="00057E48">
            <w:pPr>
              <w:rPr>
                <w:rFonts w:ascii="Arial" w:hAnsi="Arial" w:cs="Arial"/>
                <w:i/>
                <w:iCs/>
                <w:sz w:val="16"/>
                <w:szCs w:val="16"/>
              </w:rPr>
            </w:pPr>
          </w:p>
        </w:tc>
      </w:tr>
      <w:tr w:rsidR="00393C3A" w:rsidRPr="00894051" w14:paraId="7FAE4D5D" w14:textId="77777777" w:rsidTr="00894051">
        <w:trPr>
          <w:trHeight w:val="387"/>
        </w:trPr>
        <w:tc>
          <w:tcPr>
            <w:tcW w:w="1800" w:type="dxa"/>
          </w:tcPr>
          <w:p w14:paraId="7FAE4D51" w14:textId="77777777" w:rsidR="00393C3A" w:rsidRPr="00894051" w:rsidRDefault="00393C3A" w:rsidP="00894051">
            <w:pPr>
              <w:spacing w:before="60" w:after="60"/>
              <w:rPr>
                <w:rFonts w:ascii="Arial" w:hAnsi="Arial" w:cs="Arial"/>
                <w:bCs/>
                <w:i/>
                <w:iCs/>
                <w:color w:val="0000FF"/>
                <w:sz w:val="20"/>
                <w:szCs w:val="20"/>
                <w:highlight w:val="lightGray"/>
              </w:rPr>
            </w:pPr>
            <w:r w:rsidRPr="009152D6">
              <w:rPr>
                <w:rFonts w:ascii="Arial" w:hAnsi="Arial" w:cs="Arial"/>
                <w:i/>
                <w:color w:val="00B0F0"/>
                <w:sz w:val="20"/>
                <w:szCs w:val="20"/>
              </w:rPr>
              <w:t>Definitions</w:t>
            </w:r>
          </w:p>
        </w:tc>
        <w:tc>
          <w:tcPr>
            <w:tcW w:w="8820" w:type="dxa"/>
            <w:gridSpan w:val="2"/>
          </w:tcPr>
          <w:p w14:paraId="7FAE4D52" w14:textId="77777777" w:rsidR="009856D2" w:rsidRPr="00424652" w:rsidRDefault="009856D2" w:rsidP="00393C3A">
            <w:pPr>
              <w:rPr>
                <w:rFonts w:ascii="Arial" w:hAnsi="Arial" w:cs="Arial"/>
                <w:b/>
                <w:iCs/>
                <w:sz w:val="20"/>
                <w:szCs w:val="20"/>
              </w:rPr>
            </w:pPr>
          </w:p>
          <w:p w14:paraId="7FAE4D53" w14:textId="76A41E65" w:rsidR="009856D2" w:rsidRPr="00424652" w:rsidRDefault="009856D2" w:rsidP="00393C3A">
            <w:pPr>
              <w:rPr>
                <w:rFonts w:ascii="Arial" w:hAnsi="Arial" w:cs="Arial"/>
                <w:iCs/>
                <w:sz w:val="20"/>
                <w:szCs w:val="20"/>
              </w:rPr>
            </w:pPr>
            <w:r w:rsidRPr="00424652">
              <w:rPr>
                <w:rFonts w:ascii="Arial" w:hAnsi="Arial" w:cs="Arial"/>
                <w:b/>
                <w:iCs/>
                <w:sz w:val="20"/>
                <w:szCs w:val="20"/>
              </w:rPr>
              <w:t xml:space="preserve">Product: </w:t>
            </w:r>
            <w:r w:rsidRPr="00424652">
              <w:rPr>
                <w:rFonts w:ascii="Arial" w:hAnsi="Arial" w:cs="Arial"/>
                <w:iCs/>
                <w:sz w:val="20"/>
                <w:szCs w:val="20"/>
              </w:rPr>
              <w:t xml:space="preserve"> Insurance coverages, services, and benefits </w:t>
            </w:r>
            <w:r w:rsidR="005D3116">
              <w:rPr>
                <w:rFonts w:ascii="Arial" w:hAnsi="Arial" w:cs="Arial"/>
                <w:iCs/>
                <w:sz w:val="20"/>
                <w:szCs w:val="20"/>
              </w:rPr>
              <w:t xml:space="preserve">offered by AIG Commercial, </w:t>
            </w:r>
            <w:r w:rsidRPr="00424652">
              <w:rPr>
                <w:rFonts w:ascii="Arial" w:hAnsi="Arial" w:cs="Arial"/>
                <w:iCs/>
                <w:sz w:val="20"/>
                <w:szCs w:val="20"/>
              </w:rPr>
              <w:t>designed to meet specific customer needs.</w:t>
            </w:r>
          </w:p>
          <w:p w14:paraId="7FAE4D54" w14:textId="77777777" w:rsidR="009856D2" w:rsidRPr="00424652" w:rsidRDefault="009856D2" w:rsidP="00393C3A">
            <w:pPr>
              <w:rPr>
                <w:rFonts w:ascii="Arial" w:hAnsi="Arial" w:cs="Arial"/>
                <w:iCs/>
                <w:sz w:val="20"/>
                <w:szCs w:val="20"/>
              </w:rPr>
            </w:pPr>
          </w:p>
          <w:p w14:paraId="7FAE4D55" w14:textId="77777777" w:rsidR="009856D2" w:rsidRDefault="009856D2" w:rsidP="00393C3A">
            <w:pPr>
              <w:rPr>
                <w:rFonts w:ascii="Arial" w:hAnsi="Arial" w:cs="Arial"/>
                <w:iCs/>
                <w:sz w:val="20"/>
                <w:szCs w:val="20"/>
              </w:rPr>
            </w:pPr>
            <w:r w:rsidRPr="00424652">
              <w:rPr>
                <w:rFonts w:ascii="Arial" w:hAnsi="Arial" w:cs="Arial"/>
                <w:b/>
                <w:iCs/>
                <w:sz w:val="20"/>
                <w:szCs w:val="20"/>
              </w:rPr>
              <w:t>Product Development</w:t>
            </w:r>
            <w:r w:rsidRPr="00424652">
              <w:rPr>
                <w:rFonts w:ascii="Arial" w:hAnsi="Arial" w:cs="Arial"/>
                <w:iCs/>
                <w:sz w:val="20"/>
                <w:szCs w:val="20"/>
              </w:rPr>
              <w:t>: The complete process of bringing a new or revised Product to market.</w:t>
            </w:r>
          </w:p>
          <w:p w14:paraId="39BDD0E3" w14:textId="77777777" w:rsidR="00F1349D" w:rsidRDefault="00F1349D" w:rsidP="00393C3A">
            <w:pPr>
              <w:rPr>
                <w:rFonts w:ascii="Arial" w:hAnsi="Arial" w:cs="Arial"/>
                <w:iCs/>
                <w:sz w:val="20"/>
                <w:szCs w:val="20"/>
              </w:rPr>
            </w:pPr>
          </w:p>
          <w:p w14:paraId="18C76073" w14:textId="28489D85" w:rsidR="00B1602E" w:rsidRPr="0060768F" w:rsidRDefault="00B1602E" w:rsidP="00393C3A">
            <w:pPr>
              <w:rPr>
                <w:rFonts w:ascii="Arial" w:hAnsi="Arial" w:cs="Arial"/>
                <w:iCs/>
                <w:sz w:val="20"/>
                <w:szCs w:val="20"/>
              </w:rPr>
            </w:pPr>
            <w:r>
              <w:rPr>
                <w:rFonts w:ascii="Arial" w:hAnsi="Arial" w:cs="Arial"/>
                <w:b/>
                <w:iCs/>
                <w:sz w:val="20"/>
                <w:szCs w:val="20"/>
              </w:rPr>
              <w:t xml:space="preserve">Regulatory/Market Products:  </w:t>
            </w:r>
            <w:r>
              <w:rPr>
                <w:rFonts w:ascii="Arial" w:hAnsi="Arial" w:cs="Arial"/>
                <w:iCs/>
                <w:sz w:val="20"/>
                <w:szCs w:val="20"/>
              </w:rPr>
              <w:t>Existing Products, revised to meet local laws, regulatory requirements, or marketplace demand, that do not otherwise fall into the Product Development Tiers.</w:t>
            </w:r>
          </w:p>
          <w:p w14:paraId="33CBCCC8" w14:textId="77777777" w:rsidR="00B1602E" w:rsidRDefault="00B1602E" w:rsidP="00393C3A">
            <w:pPr>
              <w:rPr>
                <w:rFonts w:ascii="Arial" w:hAnsi="Arial" w:cs="Arial"/>
                <w:b/>
                <w:iCs/>
                <w:sz w:val="20"/>
                <w:szCs w:val="20"/>
              </w:rPr>
            </w:pPr>
          </w:p>
          <w:p w14:paraId="4203792B" w14:textId="0B9FE73C" w:rsidR="00F1349D" w:rsidRDefault="00F1349D" w:rsidP="00393C3A">
            <w:pPr>
              <w:rPr>
                <w:rFonts w:ascii="Arial" w:hAnsi="Arial" w:cs="Arial"/>
                <w:iCs/>
                <w:sz w:val="20"/>
                <w:szCs w:val="20"/>
              </w:rPr>
            </w:pPr>
            <w:r>
              <w:rPr>
                <w:rFonts w:ascii="Arial" w:hAnsi="Arial" w:cs="Arial"/>
                <w:b/>
                <w:iCs/>
                <w:sz w:val="20"/>
                <w:szCs w:val="20"/>
              </w:rPr>
              <w:t>Tier 1 – Minor Product Enhancements (Incremental):</w:t>
            </w:r>
            <w:r>
              <w:rPr>
                <w:rFonts w:ascii="Arial" w:hAnsi="Arial" w:cs="Arial"/>
                <w:iCs/>
                <w:sz w:val="20"/>
                <w:szCs w:val="20"/>
              </w:rPr>
              <w:t xml:space="preserve"> (</w:t>
            </w:r>
            <w:proofErr w:type="spellStart"/>
            <w:r>
              <w:rPr>
                <w:rFonts w:ascii="Arial" w:hAnsi="Arial" w:cs="Arial"/>
                <w:iCs/>
                <w:sz w:val="20"/>
                <w:szCs w:val="20"/>
              </w:rPr>
              <w:t>i</w:t>
            </w:r>
            <w:proofErr w:type="spellEnd"/>
            <w:r>
              <w:rPr>
                <w:rFonts w:ascii="Arial" w:hAnsi="Arial" w:cs="Arial"/>
                <w:iCs/>
                <w:sz w:val="20"/>
                <w:szCs w:val="20"/>
              </w:rPr>
              <w:t>) Products new to an AIG Country</w:t>
            </w:r>
            <w:r w:rsidR="00863459">
              <w:rPr>
                <w:rFonts w:ascii="Arial" w:hAnsi="Arial" w:cs="Arial"/>
                <w:iCs/>
                <w:sz w:val="20"/>
                <w:szCs w:val="20"/>
              </w:rPr>
              <w:t>/Zone</w:t>
            </w:r>
            <w:r>
              <w:rPr>
                <w:rFonts w:ascii="Arial" w:hAnsi="Arial" w:cs="Arial"/>
                <w:iCs/>
                <w:sz w:val="20"/>
                <w:szCs w:val="20"/>
              </w:rPr>
              <w:t xml:space="preserve"> or (ii) Existing Product revisions that increase exposure to loss or expense, and the assessment of that risk </w:t>
            </w:r>
            <w:proofErr w:type="gramStart"/>
            <w:r>
              <w:rPr>
                <w:rFonts w:ascii="Arial" w:hAnsi="Arial" w:cs="Arial"/>
                <w:iCs/>
                <w:sz w:val="20"/>
                <w:szCs w:val="20"/>
              </w:rPr>
              <w:t>is</w:t>
            </w:r>
            <w:proofErr w:type="gramEnd"/>
            <w:r>
              <w:rPr>
                <w:rFonts w:ascii="Arial" w:hAnsi="Arial" w:cs="Arial"/>
                <w:iCs/>
                <w:sz w:val="20"/>
                <w:szCs w:val="20"/>
              </w:rPr>
              <w:t xml:space="preserve"> within </w:t>
            </w:r>
            <w:r w:rsidR="008409A6">
              <w:rPr>
                <w:rFonts w:ascii="Arial" w:hAnsi="Arial" w:cs="Arial"/>
                <w:iCs/>
                <w:sz w:val="20"/>
                <w:szCs w:val="20"/>
              </w:rPr>
              <w:t>the</w:t>
            </w:r>
            <w:r w:rsidR="00DE4B06">
              <w:rPr>
                <w:rFonts w:ascii="Arial" w:hAnsi="Arial" w:cs="Arial"/>
                <w:iCs/>
                <w:sz w:val="20"/>
                <w:szCs w:val="20"/>
              </w:rPr>
              <w:t xml:space="preserve"> </w:t>
            </w:r>
            <w:r w:rsidR="008409A6">
              <w:rPr>
                <w:rFonts w:ascii="Arial" w:hAnsi="Arial" w:cs="Arial"/>
                <w:iCs/>
                <w:sz w:val="20"/>
                <w:szCs w:val="20"/>
              </w:rPr>
              <w:t>existing</w:t>
            </w:r>
            <w:r>
              <w:rPr>
                <w:rFonts w:ascii="Arial" w:hAnsi="Arial" w:cs="Arial"/>
                <w:iCs/>
                <w:sz w:val="20"/>
                <w:szCs w:val="20"/>
              </w:rPr>
              <w:t xml:space="preserve"> </w:t>
            </w:r>
            <w:r w:rsidR="00B1602E">
              <w:rPr>
                <w:rFonts w:ascii="Arial" w:hAnsi="Arial" w:cs="Arial"/>
                <w:iCs/>
                <w:sz w:val="20"/>
                <w:szCs w:val="20"/>
              </w:rPr>
              <w:t>Underwriting Framework</w:t>
            </w:r>
            <w:r w:rsidR="008409A6">
              <w:rPr>
                <w:rFonts w:ascii="Arial" w:hAnsi="Arial" w:cs="Arial"/>
                <w:iCs/>
                <w:sz w:val="20"/>
                <w:szCs w:val="20"/>
              </w:rPr>
              <w:t xml:space="preserve"> of the Product</w:t>
            </w:r>
            <w:r w:rsidR="00B1602E">
              <w:rPr>
                <w:rFonts w:ascii="Arial" w:hAnsi="Arial" w:cs="Arial"/>
                <w:iCs/>
                <w:sz w:val="20"/>
                <w:szCs w:val="20"/>
              </w:rPr>
              <w:t>.</w:t>
            </w:r>
          </w:p>
          <w:p w14:paraId="2DF03785" w14:textId="77777777" w:rsidR="00B1602E" w:rsidRDefault="00B1602E" w:rsidP="00393C3A">
            <w:pPr>
              <w:rPr>
                <w:rFonts w:ascii="Arial" w:hAnsi="Arial" w:cs="Arial"/>
                <w:iCs/>
                <w:sz w:val="20"/>
                <w:szCs w:val="20"/>
              </w:rPr>
            </w:pPr>
          </w:p>
          <w:p w14:paraId="738EAA93" w14:textId="77B7716F" w:rsidR="00B1602E" w:rsidRPr="00B1602E" w:rsidRDefault="00B1602E" w:rsidP="00393C3A">
            <w:pPr>
              <w:rPr>
                <w:rFonts w:ascii="Arial" w:hAnsi="Arial" w:cs="Arial"/>
                <w:iCs/>
                <w:sz w:val="20"/>
                <w:szCs w:val="20"/>
              </w:rPr>
            </w:pPr>
            <w:r>
              <w:rPr>
                <w:rFonts w:ascii="Arial" w:hAnsi="Arial" w:cs="Arial"/>
                <w:b/>
                <w:iCs/>
                <w:sz w:val="20"/>
                <w:szCs w:val="20"/>
              </w:rPr>
              <w:t>Tier 2 – Major Product Enhancements (Incremental):</w:t>
            </w:r>
            <w:r>
              <w:rPr>
                <w:rFonts w:ascii="Arial" w:hAnsi="Arial" w:cs="Arial"/>
                <w:iCs/>
                <w:sz w:val="20"/>
                <w:szCs w:val="20"/>
              </w:rPr>
              <w:t xml:space="preserve"> (</w:t>
            </w:r>
            <w:proofErr w:type="spellStart"/>
            <w:r>
              <w:rPr>
                <w:rFonts w:ascii="Arial" w:hAnsi="Arial" w:cs="Arial"/>
                <w:iCs/>
                <w:sz w:val="20"/>
                <w:szCs w:val="20"/>
              </w:rPr>
              <w:t>i</w:t>
            </w:r>
            <w:proofErr w:type="spellEnd"/>
            <w:r>
              <w:rPr>
                <w:rFonts w:ascii="Arial" w:hAnsi="Arial" w:cs="Arial"/>
                <w:iCs/>
                <w:sz w:val="20"/>
                <w:szCs w:val="20"/>
              </w:rPr>
              <w:t>) Product</w:t>
            </w:r>
            <w:r w:rsidR="00DE4B06">
              <w:rPr>
                <w:rFonts w:ascii="Arial" w:hAnsi="Arial" w:cs="Arial"/>
                <w:iCs/>
                <w:sz w:val="20"/>
                <w:szCs w:val="20"/>
              </w:rPr>
              <w:t>s</w:t>
            </w:r>
            <w:r>
              <w:rPr>
                <w:rFonts w:ascii="Arial" w:hAnsi="Arial" w:cs="Arial"/>
                <w:iCs/>
                <w:sz w:val="20"/>
                <w:szCs w:val="20"/>
              </w:rPr>
              <w:t xml:space="preserve"> new to an AIG Region, or (ii) Existing Product revisions that substantially increase exposure to loss and expense, and the assessment of that risk is within </w:t>
            </w:r>
            <w:r w:rsidR="008409A6">
              <w:rPr>
                <w:rFonts w:ascii="Arial" w:hAnsi="Arial" w:cs="Arial"/>
                <w:iCs/>
                <w:sz w:val="20"/>
                <w:szCs w:val="20"/>
              </w:rPr>
              <w:t xml:space="preserve">the </w:t>
            </w:r>
            <w:r>
              <w:rPr>
                <w:rFonts w:ascii="Arial" w:hAnsi="Arial" w:cs="Arial"/>
                <w:iCs/>
                <w:sz w:val="20"/>
                <w:szCs w:val="20"/>
              </w:rPr>
              <w:t>existing Underwriting Framework</w:t>
            </w:r>
            <w:r w:rsidR="008409A6">
              <w:rPr>
                <w:rFonts w:ascii="Arial" w:hAnsi="Arial" w:cs="Arial"/>
                <w:iCs/>
                <w:sz w:val="20"/>
                <w:szCs w:val="20"/>
              </w:rPr>
              <w:t xml:space="preserve"> of the Product</w:t>
            </w:r>
            <w:r>
              <w:rPr>
                <w:rFonts w:ascii="Arial" w:hAnsi="Arial" w:cs="Arial"/>
                <w:iCs/>
                <w:sz w:val="20"/>
                <w:szCs w:val="20"/>
              </w:rPr>
              <w:t>.</w:t>
            </w:r>
          </w:p>
          <w:p w14:paraId="7FAE4D56" w14:textId="77777777" w:rsidR="009856D2" w:rsidRPr="00424652" w:rsidRDefault="009856D2" w:rsidP="00393C3A">
            <w:pPr>
              <w:rPr>
                <w:rFonts w:ascii="Arial" w:hAnsi="Arial" w:cs="Arial"/>
                <w:b/>
                <w:iCs/>
                <w:sz w:val="20"/>
                <w:szCs w:val="20"/>
              </w:rPr>
            </w:pPr>
          </w:p>
          <w:p w14:paraId="7FAE4D57" w14:textId="2907887C" w:rsidR="00393C3A" w:rsidRDefault="00F1349D" w:rsidP="009856D2">
            <w:pPr>
              <w:rPr>
                <w:rFonts w:ascii="Arial" w:hAnsi="Arial" w:cs="Arial"/>
                <w:iCs/>
                <w:sz w:val="20"/>
                <w:szCs w:val="20"/>
              </w:rPr>
            </w:pPr>
            <w:r>
              <w:rPr>
                <w:rFonts w:ascii="Arial" w:hAnsi="Arial" w:cs="Arial"/>
                <w:b/>
                <w:iCs/>
                <w:sz w:val="20"/>
                <w:szCs w:val="20"/>
              </w:rPr>
              <w:t>Tier 3 - New Products (</w:t>
            </w:r>
            <w:r w:rsidR="009856D2" w:rsidRPr="00424652">
              <w:rPr>
                <w:rFonts w:ascii="Arial" w:hAnsi="Arial" w:cs="Arial"/>
                <w:b/>
                <w:iCs/>
                <w:sz w:val="20"/>
                <w:szCs w:val="20"/>
              </w:rPr>
              <w:t>Breakthrough</w:t>
            </w:r>
            <w:r>
              <w:rPr>
                <w:rFonts w:ascii="Arial" w:hAnsi="Arial" w:cs="Arial"/>
                <w:b/>
                <w:iCs/>
                <w:sz w:val="20"/>
                <w:szCs w:val="20"/>
              </w:rPr>
              <w:t>)</w:t>
            </w:r>
            <w:r w:rsidR="00393C3A" w:rsidRPr="00424652">
              <w:rPr>
                <w:rFonts w:ascii="Arial" w:hAnsi="Arial" w:cs="Arial"/>
                <w:iCs/>
                <w:sz w:val="20"/>
                <w:szCs w:val="20"/>
              </w:rPr>
              <w:t>:</w:t>
            </w:r>
            <w:r w:rsidR="009856D2" w:rsidRPr="00424652">
              <w:rPr>
                <w:rFonts w:ascii="Arial" w:hAnsi="Arial" w:cs="Arial"/>
                <w:iCs/>
                <w:sz w:val="20"/>
                <w:szCs w:val="20"/>
              </w:rPr>
              <w:t xml:space="preserve">   (</w:t>
            </w:r>
            <w:proofErr w:type="spellStart"/>
            <w:r w:rsidR="009856D2" w:rsidRPr="00424652">
              <w:rPr>
                <w:rFonts w:ascii="Arial" w:hAnsi="Arial" w:cs="Arial"/>
                <w:iCs/>
                <w:sz w:val="20"/>
                <w:szCs w:val="20"/>
              </w:rPr>
              <w:t>i</w:t>
            </w:r>
            <w:proofErr w:type="spellEnd"/>
            <w:r w:rsidR="009856D2" w:rsidRPr="00424652">
              <w:rPr>
                <w:rFonts w:ascii="Arial" w:hAnsi="Arial" w:cs="Arial"/>
                <w:iCs/>
                <w:sz w:val="20"/>
                <w:szCs w:val="20"/>
              </w:rPr>
              <w:t>)</w:t>
            </w:r>
            <w:r w:rsidR="008409A6">
              <w:rPr>
                <w:rFonts w:ascii="Arial" w:hAnsi="Arial" w:cs="Arial"/>
                <w:iCs/>
                <w:sz w:val="20"/>
                <w:szCs w:val="20"/>
              </w:rPr>
              <w:t xml:space="preserve"> </w:t>
            </w:r>
            <w:r>
              <w:rPr>
                <w:rFonts w:ascii="Arial" w:hAnsi="Arial" w:cs="Arial"/>
                <w:iCs/>
                <w:sz w:val="20"/>
                <w:szCs w:val="20"/>
              </w:rPr>
              <w:t>Products new to AIG Commercial</w:t>
            </w:r>
            <w:r w:rsidR="00393C3A" w:rsidRPr="00424652">
              <w:rPr>
                <w:rFonts w:ascii="Arial" w:hAnsi="Arial" w:cs="Arial"/>
                <w:iCs/>
                <w:sz w:val="20"/>
                <w:szCs w:val="20"/>
              </w:rPr>
              <w:t xml:space="preserve">, or </w:t>
            </w:r>
            <w:r w:rsidR="009856D2" w:rsidRPr="00424652">
              <w:rPr>
                <w:rFonts w:ascii="Arial" w:hAnsi="Arial" w:cs="Arial"/>
                <w:iCs/>
                <w:sz w:val="20"/>
                <w:szCs w:val="20"/>
              </w:rPr>
              <w:t>(ii).</w:t>
            </w:r>
            <w:r>
              <w:rPr>
                <w:rFonts w:ascii="Arial" w:hAnsi="Arial" w:cs="Arial"/>
                <w:iCs/>
                <w:sz w:val="20"/>
                <w:szCs w:val="20"/>
              </w:rPr>
              <w:t xml:space="preserve"> Existing Product revisions that substantially increase exposure to loss or expense, and the assessment of that risk is beyond </w:t>
            </w:r>
            <w:r w:rsidR="008409A6">
              <w:rPr>
                <w:rFonts w:ascii="Arial" w:hAnsi="Arial" w:cs="Arial"/>
                <w:iCs/>
                <w:sz w:val="20"/>
                <w:szCs w:val="20"/>
              </w:rPr>
              <w:t xml:space="preserve">the </w:t>
            </w:r>
            <w:r>
              <w:rPr>
                <w:rFonts w:ascii="Arial" w:hAnsi="Arial" w:cs="Arial"/>
                <w:iCs/>
                <w:sz w:val="20"/>
                <w:szCs w:val="20"/>
              </w:rPr>
              <w:t>existing Underwriting Framework</w:t>
            </w:r>
            <w:r w:rsidR="008409A6">
              <w:rPr>
                <w:rFonts w:ascii="Arial" w:hAnsi="Arial" w:cs="Arial"/>
                <w:iCs/>
                <w:sz w:val="20"/>
                <w:szCs w:val="20"/>
              </w:rPr>
              <w:t xml:space="preserve"> of the Product</w:t>
            </w:r>
            <w:r>
              <w:rPr>
                <w:rFonts w:ascii="Arial" w:hAnsi="Arial" w:cs="Arial"/>
                <w:iCs/>
                <w:sz w:val="20"/>
                <w:szCs w:val="20"/>
              </w:rPr>
              <w:t>.</w:t>
            </w:r>
          </w:p>
          <w:p w14:paraId="04CFB92F" w14:textId="77777777" w:rsidR="00B1602E" w:rsidRDefault="00B1602E" w:rsidP="009856D2">
            <w:pPr>
              <w:rPr>
                <w:rFonts w:ascii="Arial" w:hAnsi="Arial" w:cs="Arial"/>
                <w:iCs/>
                <w:sz w:val="20"/>
                <w:szCs w:val="20"/>
              </w:rPr>
            </w:pPr>
          </w:p>
          <w:p w14:paraId="2FFFE697" w14:textId="29600D43" w:rsidR="00B1602E" w:rsidRPr="00B1602E" w:rsidRDefault="00B1602E" w:rsidP="009856D2">
            <w:pPr>
              <w:rPr>
                <w:rFonts w:ascii="Arial" w:hAnsi="Arial" w:cs="Arial"/>
                <w:iCs/>
                <w:sz w:val="20"/>
                <w:szCs w:val="20"/>
              </w:rPr>
            </w:pPr>
            <w:r>
              <w:rPr>
                <w:rFonts w:ascii="Arial" w:hAnsi="Arial" w:cs="Arial"/>
                <w:b/>
                <w:iCs/>
                <w:sz w:val="20"/>
                <w:szCs w:val="20"/>
              </w:rPr>
              <w:t xml:space="preserve">Underwriting Framework: </w:t>
            </w:r>
            <w:r>
              <w:rPr>
                <w:rFonts w:ascii="Arial" w:hAnsi="Arial" w:cs="Arial"/>
                <w:iCs/>
                <w:sz w:val="20"/>
                <w:szCs w:val="20"/>
              </w:rPr>
              <w:t xml:space="preserve"> The policy forms, limits, rules, guidelines, models, systems and working practices used to establish risk selection and pricing for a portfolio.</w:t>
            </w:r>
          </w:p>
          <w:p w14:paraId="7FAE4D58" w14:textId="77777777" w:rsidR="00393C3A" w:rsidRPr="00424652" w:rsidRDefault="00393C3A" w:rsidP="00393C3A">
            <w:pPr>
              <w:rPr>
                <w:rFonts w:ascii="Arial" w:hAnsi="Arial" w:cs="Arial"/>
                <w:iCs/>
                <w:sz w:val="20"/>
                <w:szCs w:val="20"/>
              </w:rPr>
            </w:pPr>
          </w:p>
          <w:p w14:paraId="7FAE4D5A" w14:textId="77777777" w:rsidR="00522CA2" w:rsidRDefault="00522CA2" w:rsidP="00393C3A">
            <w:pPr>
              <w:rPr>
                <w:rFonts w:ascii="Arial" w:hAnsi="Arial" w:cs="Arial"/>
                <w:iCs/>
                <w:sz w:val="20"/>
                <w:szCs w:val="20"/>
              </w:rPr>
            </w:pPr>
          </w:p>
          <w:p w14:paraId="7FAE4D5C" w14:textId="77777777" w:rsidR="009856D2" w:rsidRPr="00424652" w:rsidRDefault="009856D2" w:rsidP="0060768F">
            <w:pPr>
              <w:rPr>
                <w:rFonts w:ascii="Arial" w:hAnsi="Arial" w:cs="Arial"/>
                <w:iCs/>
                <w:sz w:val="20"/>
                <w:szCs w:val="20"/>
              </w:rPr>
            </w:pPr>
          </w:p>
        </w:tc>
      </w:tr>
      <w:tr w:rsidR="00393C3A" w:rsidRPr="00894051" w14:paraId="7FAE4D68" w14:textId="77777777" w:rsidTr="00894051">
        <w:trPr>
          <w:trHeight w:val="387"/>
        </w:trPr>
        <w:tc>
          <w:tcPr>
            <w:tcW w:w="1800" w:type="dxa"/>
          </w:tcPr>
          <w:p w14:paraId="7FAE4D5E" w14:textId="77777777" w:rsidR="00393C3A" w:rsidRPr="009152D6" w:rsidRDefault="00860B59" w:rsidP="004912A9">
            <w:pPr>
              <w:rPr>
                <w:rFonts w:ascii="Arial" w:hAnsi="Arial" w:cs="Arial"/>
                <w:i/>
                <w:color w:val="00B0F0"/>
                <w:sz w:val="20"/>
                <w:szCs w:val="20"/>
              </w:rPr>
            </w:pPr>
            <w:r w:rsidRPr="009152D6">
              <w:rPr>
                <w:rFonts w:ascii="Arial" w:hAnsi="Arial" w:cs="Arial"/>
                <w:i/>
                <w:color w:val="00B0F0"/>
                <w:sz w:val="20"/>
                <w:szCs w:val="20"/>
              </w:rPr>
              <w:lastRenderedPageBreak/>
              <w:t>Product Development approval p</w:t>
            </w:r>
            <w:r w:rsidR="000C1400" w:rsidRPr="009152D6">
              <w:rPr>
                <w:rFonts w:ascii="Arial" w:hAnsi="Arial" w:cs="Arial"/>
                <w:i/>
                <w:color w:val="00B0F0"/>
                <w:sz w:val="20"/>
                <w:szCs w:val="20"/>
              </w:rPr>
              <w:t>rocess</w:t>
            </w:r>
          </w:p>
        </w:tc>
        <w:tc>
          <w:tcPr>
            <w:tcW w:w="8820" w:type="dxa"/>
            <w:gridSpan w:val="2"/>
          </w:tcPr>
          <w:p w14:paraId="7FAE4D5F" w14:textId="77777777" w:rsidR="00393C3A" w:rsidRPr="00424652" w:rsidRDefault="00393C3A" w:rsidP="00214715">
            <w:pPr>
              <w:rPr>
                <w:rFonts w:ascii="Arial" w:hAnsi="Arial" w:cs="Arial"/>
                <w:sz w:val="20"/>
                <w:szCs w:val="20"/>
              </w:rPr>
            </w:pPr>
          </w:p>
          <w:p w14:paraId="7FAE4D60" w14:textId="77777777" w:rsidR="00C012A7" w:rsidRPr="00424652" w:rsidRDefault="00860B59" w:rsidP="00394967">
            <w:pPr>
              <w:numPr>
                <w:ilvl w:val="0"/>
                <w:numId w:val="19"/>
              </w:numPr>
              <w:rPr>
                <w:rFonts w:ascii="Arial" w:hAnsi="Arial" w:cs="Arial"/>
                <w:sz w:val="20"/>
                <w:szCs w:val="20"/>
              </w:rPr>
            </w:pPr>
            <w:r w:rsidRPr="00424652">
              <w:rPr>
                <w:rFonts w:ascii="Arial" w:hAnsi="Arial" w:cs="Arial"/>
                <w:sz w:val="20"/>
                <w:szCs w:val="20"/>
              </w:rPr>
              <w:t>All Product Development for Global Commercial is subject to an approval process established by the Global Commercial Product Development Committee.</w:t>
            </w:r>
            <w:r w:rsidR="00C012A7" w:rsidRPr="00424652">
              <w:rPr>
                <w:rFonts w:ascii="Arial" w:hAnsi="Arial" w:cs="Arial"/>
                <w:sz w:val="20"/>
                <w:szCs w:val="20"/>
              </w:rPr>
              <w:t xml:space="preserve">  </w:t>
            </w:r>
          </w:p>
          <w:p w14:paraId="7FAE4D61" w14:textId="77777777" w:rsidR="00C012A7" w:rsidRPr="00424652" w:rsidRDefault="00C012A7" w:rsidP="00214715">
            <w:pPr>
              <w:rPr>
                <w:rFonts w:ascii="Arial" w:hAnsi="Arial" w:cs="Arial"/>
                <w:sz w:val="20"/>
                <w:szCs w:val="20"/>
              </w:rPr>
            </w:pPr>
          </w:p>
          <w:p w14:paraId="7FAE4D62" w14:textId="65437C19" w:rsidR="00C012A7" w:rsidRPr="00424652" w:rsidRDefault="00C012A7" w:rsidP="00394967">
            <w:pPr>
              <w:numPr>
                <w:ilvl w:val="0"/>
                <w:numId w:val="19"/>
              </w:numPr>
              <w:rPr>
                <w:rFonts w:ascii="Arial" w:hAnsi="Arial" w:cs="Arial"/>
                <w:sz w:val="20"/>
                <w:szCs w:val="20"/>
              </w:rPr>
            </w:pPr>
            <w:r w:rsidRPr="00424652">
              <w:rPr>
                <w:rFonts w:ascii="Arial" w:hAnsi="Arial" w:cs="Arial"/>
                <w:sz w:val="20"/>
                <w:szCs w:val="20"/>
              </w:rPr>
              <w:t>The process includes consideration and documentation of the following</w:t>
            </w:r>
            <w:r w:rsidR="00B05AA9">
              <w:rPr>
                <w:rFonts w:ascii="Arial" w:hAnsi="Arial" w:cs="Arial"/>
                <w:sz w:val="20"/>
                <w:szCs w:val="20"/>
              </w:rPr>
              <w:t>,</w:t>
            </w:r>
            <w:r w:rsidRPr="00424652">
              <w:rPr>
                <w:rFonts w:ascii="Arial" w:hAnsi="Arial" w:cs="Arial"/>
                <w:sz w:val="20"/>
                <w:szCs w:val="20"/>
              </w:rPr>
              <w:t xml:space="preserve"> </w:t>
            </w:r>
            <w:r w:rsidR="00B05AA9">
              <w:rPr>
                <w:rFonts w:ascii="Arial" w:hAnsi="Arial" w:cs="Arial"/>
                <w:sz w:val="20"/>
                <w:szCs w:val="20"/>
              </w:rPr>
              <w:t>where relevant</w:t>
            </w:r>
            <w:r w:rsidR="00EC1614">
              <w:rPr>
                <w:rFonts w:ascii="Arial" w:hAnsi="Arial" w:cs="Arial"/>
                <w:sz w:val="20"/>
                <w:szCs w:val="20"/>
              </w:rPr>
              <w:t xml:space="preserve">: </w:t>
            </w:r>
            <w:r w:rsidR="00B057BA">
              <w:rPr>
                <w:rFonts w:ascii="Arial" w:hAnsi="Arial" w:cs="Arial"/>
                <w:sz w:val="20"/>
                <w:szCs w:val="20"/>
              </w:rPr>
              <w:t xml:space="preserve">outline of </w:t>
            </w:r>
            <w:r w:rsidRPr="00424652">
              <w:rPr>
                <w:rFonts w:ascii="Arial" w:hAnsi="Arial" w:cs="Arial"/>
                <w:sz w:val="20"/>
                <w:szCs w:val="20"/>
              </w:rPr>
              <w:t>constraints</w:t>
            </w:r>
            <w:r w:rsidR="00B057BA">
              <w:rPr>
                <w:rFonts w:ascii="Arial" w:hAnsi="Arial" w:cs="Arial"/>
                <w:sz w:val="20"/>
                <w:szCs w:val="20"/>
              </w:rPr>
              <w:t xml:space="preserve"> </w:t>
            </w:r>
            <w:r w:rsidRPr="00424652">
              <w:rPr>
                <w:rFonts w:ascii="Arial" w:hAnsi="Arial" w:cs="Arial"/>
                <w:sz w:val="20"/>
                <w:szCs w:val="20"/>
              </w:rPr>
              <w:t xml:space="preserve">and risks, including pricing, underwriting, marketing, distribution, claims, reinsurance, </w:t>
            </w:r>
            <w:r w:rsidR="00B05AA9">
              <w:rPr>
                <w:rFonts w:ascii="Arial" w:hAnsi="Arial" w:cs="Arial"/>
                <w:sz w:val="20"/>
                <w:szCs w:val="20"/>
              </w:rPr>
              <w:t>operations</w:t>
            </w:r>
            <w:r w:rsidR="00EC1614">
              <w:rPr>
                <w:rFonts w:ascii="Arial" w:hAnsi="Arial" w:cs="Arial"/>
                <w:sz w:val="20"/>
                <w:szCs w:val="20"/>
              </w:rPr>
              <w:t>,</w:t>
            </w:r>
            <w:r w:rsidR="00B057BA">
              <w:rPr>
                <w:rFonts w:ascii="Arial" w:hAnsi="Arial" w:cs="Arial"/>
                <w:sz w:val="20"/>
                <w:szCs w:val="20"/>
              </w:rPr>
              <w:t xml:space="preserve"> systems</w:t>
            </w:r>
            <w:r w:rsidR="00EC1614">
              <w:rPr>
                <w:rFonts w:ascii="Arial" w:hAnsi="Arial" w:cs="Arial"/>
                <w:sz w:val="20"/>
                <w:szCs w:val="20"/>
              </w:rPr>
              <w:t xml:space="preserve">, </w:t>
            </w:r>
            <w:r w:rsidR="00B05AA9">
              <w:rPr>
                <w:rFonts w:ascii="Arial" w:hAnsi="Arial" w:cs="Arial"/>
                <w:sz w:val="20"/>
                <w:szCs w:val="20"/>
              </w:rPr>
              <w:t>tax and accounting</w:t>
            </w:r>
            <w:r w:rsidR="002E0531">
              <w:rPr>
                <w:rFonts w:ascii="Arial" w:hAnsi="Arial" w:cs="Arial"/>
                <w:sz w:val="20"/>
                <w:szCs w:val="20"/>
              </w:rPr>
              <w:t>.</w:t>
            </w:r>
          </w:p>
          <w:p w14:paraId="7FAE4D63" w14:textId="77777777" w:rsidR="00C012A7" w:rsidRPr="00424652" w:rsidRDefault="00C012A7" w:rsidP="00214715">
            <w:pPr>
              <w:rPr>
                <w:rFonts w:ascii="Arial" w:hAnsi="Arial" w:cs="Arial"/>
                <w:sz w:val="20"/>
                <w:szCs w:val="20"/>
              </w:rPr>
            </w:pPr>
          </w:p>
          <w:p w14:paraId="47CAE51A" w14:textId="210BD16B" w:rsidR="00863459" w:rsidRDefault="00C012A7" w:rsidP="00394967">
            <w:pPr>
              <w:numPr>
                <w:ilvl w:val="0"/>
                <w:numId w:val="19"/>
              </w:numPr>
              <w:rPr>
                <w:rFonts w:ascii="Arial" w:hAnsi="Arial" w:cs="Arial"/>
                <w:sz w:val="20"/>
                <w:szCs w:val="20"/>
              </w:rPr>
            </w:pPr>
            <w:r w:rsidRPr="00424652">
              <w:rPr>
                <w:rFonts w:ascii="Arial" w:hAnsi="Arial" w:cs="Arial"/>
                <w:sz w:val="20"/>
                <w:szCs w:val="20"/>
              </w:rPr>
              <w:t>The Legal and Compliance departments must be consulted</w:t>
            </w:r>
            <w:r w:rsidR="00863459">
              <w:rPr>
                <w:rFonts w:ascii="Arial" w:hAnsi="Arial" w:cs="Arial"/>
                <w:sz w:val="20"/>
                <w:szCs w:val="20"/>
              </w:rPr>
              <w:t>.</w:t>
            </w:r>
          </w:p>
          <w:p w14:paraId="58011EAD" w14:textId="77777777" w:rsidR="00394967" w:rsidRDefault="00394967" w:rsidP="00394967">
            <w:pPr>
              <w:pStyle w:val="ListParagraph"/>
              <w:rPr>
                <w:rFonts w:ascii="Arial" w:hAnsi="Arial" w:cs="Arial"/>
                <w:sz w:val="20"/>
                <w:szCs w:val="20"/>
              </w:rPr>
            </w:pPr>
          </w:p>
          <w:p w14:paraId="4838C4C2" w14:textId="77777777" w:rsidR="00394967" w:rsidRDefault="00394967" w:rsidP="00394967">
            <w:pPr>
              <w:pStyle w:val="ListParagraph"/>
              <w:numPr>
                <w:ilvl w:val="0"/>
                <w:numId w:val="19"/>
              </w:numPr>
              <w:rPr>
                <w:rFonts w:ascii="Arial" w:hAnsi="Arial" w:cs="Arial"/>
                <w:sz w:val="20"/>
                <w:szCs w:val="20"/>
              </w:rPr>
            </w:pPr>
            <w:r>
              <w:rPr>
                <w:rFonts w:ascii="Arial" w:hAnsi="Arial" w:cs="Arial"/>
                <w:sz w:val="20"/>
                <w:szCs w:val="20"/>
              </w:rPr>
              <w:t>Any product enhancement that potentially introduces significant reputational risk to AIG must be referred to the Commercial Product Development Committee (PDC).</w:t>
            </w:r>
          </w:p>
          <w:p w14:paraId="7258C181" w14:textId="77777777" w:rsidR="00863459" w:rsidRDefault="00863459" w:rsidP="00863459">
            <w:pPr>
              <w:pStyle w:val="ListParagraph"/>
              <w:rPr>
                <w:rFonts w:ascii="Arial" w:hAnsi="Arial" w:cs="Arial"/>
                <w:sz w:val="20"/>
                <w:szCs w:val="20"/>
              </w:rPr>
            </w:pPr>
          </w:p>
          <w:p w14:paraId="7FAE4D67" w14:textId="4DC3F9F3" w:rsidR="00860B59" w:rsidRPr="00863459" w:rsidRDefault="00832571" w:rsidP="00394967">
            <w:pPr>
              <w:numPr>
                <w:ilvl w:val="0"/>
                <w:numId w:val="19"/>
              </w:numPr>
              <w:rPr>
                <w:rFonts w:ascii="Arial" w:hAnsi="Arial" w:cs="Arial"/>
                <w:sz w:val="20"/>
                <w:szCs w:val="20"/>
              </w:rPr>
            </w:pPr>
            <w:r w:rsidRPr="00863459">
              <w:rPr>
                <w:rFonts w:ascii="Arial" w:hAnsi="Arial" w:cs="Arial"/>
                <w:sz w:val="20"/>
                <w:szCs w:val="20"/>
              </w:rPr>
              <w:t xml:space="preserve">Determination of whether or not a Product is Tier 3 – (Breakthrough), is made </w:t>
            </w:r>
            <w:r w:rsidR="00B017CD" w:rsidRPr="00863459">
              <w:rPr>
                <w:rFonts w:ascii="Arial" w:hAnsi="Arial" w:cs="Arial"/>
                <w:sz w:val="20"/>
                <w:szCs w:val="20"/>
              </w:rPr>
              <w:t>by the Product Tower</w:t>
            </w:r>
            <w:r w:rsidRPr="00863459">
              <w:rPr>
                <w:rFonts w:ascii="Arial" w:hAnsi="Arial" w:cs="Arial"/>
                <w:sz w:val="20"/>
                <w:szCs w:val="20"/>
              </w:rPr>
              <w:t xml:space="preserve"> in collaboration with the functional areas consulted.  Where there is disagreement, the question is to be escalated to the Commercial Chief Underwriting Officer</w:t>
            </w:r>
            <w:r w:rsidR="00B017CD" w:rsidRPr="00863459">
              <w:rPr>
                <w:rFonts w:ascii="Arial" w:hAnsi="Arial" w:cs="Arial"/>
                <w:sz w:val="20"/>
                <w:szCs w:val="20"/>
              </w:rPr>
              <w:t xml:space="preserve"> for disposition</w:t>
            </w:r>
            <w:r w:rsidRPr="00863459">
              <w:rPr>
                <w:rFonts w:ascii="Arial" w:hAnsi="Arial" w:cs="Arial"/>
                <w:sz w:val="20"/>
                <w:szCs w:val="20"/>
              </w:rPr>
              <w:t>.</w:t>
            </w:r>
          </w:p>
        </w:tc>
      </w:tr>
      <w:tr w:rsidR="00393C3A" w:rsidRPr="00894051" w14:paraId="7FAE4D7F" w14:textId="77777777" w:rsidTr="00894051">
        <w:trPr>
          <w:trHeight w:val="387"/>
        </w:trPr>
        <w:tc>
          <w:tcPr>
            <w:tcW w:w="1800" w:type="dxa"/>
          </w:tcPr>
          <w:p w14:paraId="7FAE4D69" w14:textId="1FD1E6C1" w:rsidR="00393C3A" w:rsidRPr="009152D6" w:rsidRDefault="00C012A7" w:rsidP="00B5006C">
            <w:pPr>
              <w:rPr>
                <w:rFonts w:ascii="Arial" w:hAnsi="Arial" w:cs="Arial"/>
                <w:i/>
                <w:color w:val="00B0F0"/>
                <w:sz w:val="20"/>
                <w:szCs w:val="20"/>
              </w:rPr>
            </w:pPr>
            <w:r w:rsidRPr="009152D6">
              <w:rPr>
                <w:rFonts w:ascii="Arial" w:hAnsi="Arial" w:cs="Arial"/>
                <w:i/>
                <w:color w:val="00B0F0"/>
                <w:sz w:val="20"/>
                <w:szCs w:val="20"/>
              </w:rPr>
              <w:t>Product Development committee</w:t>
            </w:r>
          </w:p>
        </w:tc>
        <w:tc>
          <w:tcPr>
            <w:tcW w:w="8820" w:type="dxa"/>
            <w:gridSpan w:val="2"/>
          </w:tcPr>
          <w:p w14:paraId="7FAE4D6A" w14:textId="77777777" w:rsidR="00393C3A" w:rsidRPr="00894051" w:rsidRDefault="00393C3A" w:rsidP="00165BD7">
            <w:pPr>
              <w:rPr>
                <w:rFonts w:ascii="Arial" w:hAnsi="Arial" w:cs="Arial"/>
                <w:sz w:val="20"/>
                <w:szCs w:val="20"/>
              </w:rPr>
            </w:pPr>
          </w:p>
          <w:p w14:paraId="7FAE4D6B" w14:textId="729AFADB" w:rsidR="00393C3A" w:rsidRPr="00894051" w:rsidRDefault="00C012A7" w:rsidP="00424CF3">
            <w:pPr>
              <w:rPr>
                <w:rFonts w:ascii="Arial" w:hAnsi="Arial" w:cs="Arial"/>
                <w:sz w:val="20"/>
                <w:szCs w:val="20"/>
              </w:rPr>
            </w:pPr>
            <w:r w:rsidRPr="00894051">
              <w:rPr>
                <w:rFonts w:ascii="Arial" w:hAnsi="Arial" w:cs="Arial"/>
                <w:sz w:val="20"/>
                <w:szCs w:val="20"/>
              </w:rPr>
              <w:t>The Global Commercial Product Development Committee (PDC) is governed by a written Charter</w:t>
            </w:r>
            <w:r w:rsidR="005D3116">
              <w:rPr>
                <w:rFonts w:ascii="Arial" w:hAnsi="Arial" w:cs="Arial"/>
                <w:sz w:val="20"/>
                <w:szCs w:val="20"/>
              </w:rPr>
              <w:t>, has delegated authority from the</w:t>
            </w:r>
            <w:r w:rsidR="00EC1614">
              <w:rPr>
                <w:rFonts w:ascii="Arial" w:hAnsi="Arial" w:cs="Arial"/>
                <w:sz w:val="20"/>
                <w:szCs w:val="20"/>
              </w:rPr>
              <w:t xml:space="preserve"> </w:t>
            </w:r>
            <w:r w:rsidR="00B05AA9">
              <w:rPr>
                <w:rFonts w:ascii="Arial" w:hAnsi="Arial" w:cs="Arial"/>
                <w:sz w:val="20"/>
                <w:szCs w:val="20"/>
              </w:rPr>
              <w:t>AIG Commercial Global Underwrit</w:t>
            </w:r>
            <w:r w:rsidR="00EC1614">
              <w:rPr>
                <w:rFonts w:ascii="Arial" w:hAnsi="Arial" w:cs="Arial"/>
                <w:sz w:val="20"/>
                <w:szCs w:val="20"/>
              </w:rPr>
              <w:t>i</w:t>
            </w:r>
            <w:r w:rsidR="00B05AA9">
              <w:rPr>
                <w:rFonts w:ascii="Arial" w:hAnsi="Arial" w:cs="Arial"/>
                <w:sz w:val="20"/>
                <w:szCs w:val="20"/>
              </w:rPr>
              <w:t>ng Committee (GUC)</w:t>
            </w:r>
            <w:r w:rsidR="001F3620" w:rsidRPr="00894051">
              <w:rPr>
                <w:rFonts w:ascii="Arial" w:hAnsi="Arial" w:cs="Arial"/>
                <w:sz w:val="20"/>
                <w:szCs w:val="20"/>
              </w:rPr>
              <w:t xml:space="preserve">, </w:t>
            </w:r>
            <w:r w:rsidR="005D3116">
              <w:rPr>
                <w:rFonts w:ascii="Arial" w:hAnsi="Arial" w:cs="Arial"/>
                <w:sz w:val="20"/>
                <w:szCs w:val="20"/>
              </w:rPr>
              <w:t xml:space="preserve">is </w:t>
            </w:r>
            <w:r w:rsidR="001F3620" w:rsidRPr="00894051">
              <w:rPr>
                <w:rFonts w:ascii="Arial" w:hAnsi="Arial" w:cs="Arial"/>
                <w:sz w:val="20"/>
                <w:szCs w:val="20"/>
              </w:rPr>
              <w:t>chaired by the Chief Underwriting Officer</w:t>
            </w:r>
            <w:r w:rsidR="00B05AA9">
              <w:rPr>
                <w:rFonts w:ascii="Arial" w:hAnsi="Arial" w:cs="Arial"/>
                <w:sz w:val="20"/>
                <w:szCs w:val="20"/>
              </w:rPr>
              <w:t>,</w:t>
            </w:r>
            <w:r w:rsidR="001F3620" w:rsidRPr="00894051">
              <w:rPr>
                <w:rFonts w:ascii="Arial" w:hAnsi="Arial" w:cs="Arial"/>
                <w:sz w:val="20"/>
                <w:szCs w:val="20"/>
              </w:rPr>
              <w:t xml:space="preserve"> and includes senior Global Commercial functional area leaders. </w:t>
            </w:r>
          </w:p>
          <w:p w14:paraId="7FAE4D6C" w14:textId="77777777" w:rsidR="00C012A7" w:rsidRPr="00894051" w:rsidRDefault="00C012A7" w:rsidP="00424CF3">
            <w:pPr>
              <w:rPr>
                <w:rFonts w:ascii="Arial" w:hAnsi="Arial" w:cs="Arial"/>
                <w:sz w:val="20"/>
                <w:szCs w:val="20"/>
              </w:rPr>
            </w:pPr>
          </w:p>
          <w:p w14:paraId="0C7F470F" w14:textId="09D5D036" w:rsidR="00512FD5" w:rsidRDefault="00C012A7" w:rsidP="00C012A7">
            <w:pPr>
              <w:rPr>
                <w:rFonts w:ascii="Arial" w:hAnsi="Arial" w:cs="Arial"/>
                <w:sz w:val="20"/>
                <w:szCs w:val="20"/>
              </w:rPr>
            </w:pPr>
            <w:r w:rsidRPr="00894051">
              <w:rPr>
                <w:rFonts w:ascii="Arial" w:hAnsi="Arial" w:cs="Arial"/>
                <w:sz w:val="20"/>
                <w:szCs w:val="20"/>
              </w:rPr>
              <w:t>T</w:t>
            </w:r>
            <w:r w:rsidR="00474584" w:rsidRPr="00894051">
              <w:rPr>
                <w:rFonts w:ascii="Arial" w:hAnsi="Arial" w:cs="Arial"/>
                <w:sz w:val="20"/>
                <w:szCs w:val="20"/>
              </w:rPr>
              <w:t>he PDC</w:t>
            </w:r>
            <w:r w:rsidRPr="00894051">
              <w:rPr>
                <w:rFonts w:ascii="Arial" w:hAnsi="Arial" w:cs="Arial"/>
                <w:sz w:val="20"/>
                <w:szCs w:val="20"/>
              </w:rPr>
              <w:t xml:space="preserve"> is responsible for</w:t>
            </w:r>
            <w:r w:rsidR="00512FD5">
              <w:rPr>
                <w:rFonts w:ascii="Arial" w:hAnsi="Arial" w:cs="Arial"/>
                <w:sz w:val="20"/>
                <w:szCs w:val="20"/>
              </w:rPr>
              <w:t>:</w:t>
            </w:r>
          </w:p>
          <w:p w14:paraId="71AEAD65" w14:textId="77777777" w:rsidR="00512FD5" w:rsidRDefault="00512FD5" w:rsidP="00C012A7">
            <w:pPr>
              <w:rPr>
                <w:rFonts w:ascii="Arial" w:hAnsi="Arial" w:cs="Arial"/>
                <w:sz w:val="20"/>
                <w:szCs w:val="20"/>
              </w:rPr>
            </w:pPr>
          </w:p>
          <w:p w14:paraId="461F23AB" w14:textId="53969BA1" w:rsidR="00512FD5" w:rsidRPr="00512FD5" w:rsidRDefault="00512FD5" w:rsidP="00512FD5">
            <w:pPr>
              <w:pStyle w:val="ListParagraph"/>
              <w:numPr>
                <w:ilvl w:val="0"/>
                <w:numId w:val="25"/>
              </w:numPr>
              <w:rPr>
                <w:rFonts w:ascii="Arial" w:hAnsi="Arial" w:cs="Arial"/>
                <w:sz w:val="20"/>
                <w:szCs w:val="20"/>
              </w:rPr>
            </w:pPr>
            <w:r>
              <w:rPr>
                <w:rFonts w:ascii="Arial" w:hAnsi="Arial" w:cs="Arial"/>
                <w:sz w:val="20"/>
                <w:szCs w:val="20"/>
              </w:rPr>
              <w:t>Reviewing and approving Product governance processes for Tier 1 and Tier 2 Incremental Product approvals</w:t>
            </w:r>
            <w:r w:rsidR="00452E7A">
              <w:rPr>
                <w:rFonts w:ascii="Arial" w:hAnsi="Arial" w:cs="Arial"/>
                <w:sz w:val="20"/>
                <w:szCs w:val="20"/>
              </w:rPr>
              <w:t>.</w:t>
            </w:r>
          </w:p>
          <w:p w14:paraId="3E969ED1" w14:textId="77777777" w:rsidR="00EC1614" w:rsidRPr="00B05AA9" w:rsidRDefault="00EC1614" w:rsidP="0060768F">
            <w:pPr>
              <w:pStyle w:val="ListParagraph"/>
              <w:rPr>
                <w:rFonts w:ascii="Arial" w:hAnsi="Arial" w:cs="Arial"/>
                <w:sz w:val="20"/>
                <w:szCs w:val="20"/>
              </w:rPr>
            </w:pPr>
          </w:p>
          <w:p w14:paraId="7FAE4D71" w14:textId="48F0A92A" w:rsidR="005D3116" w:rsidRPr="005D3116" w:rsidRDefault="005D3116" w:rsidP="005D3116">
            <w:pPr>
              <w:pStyle w:val="ListParagraph"/>
              <w:numPr>
                <w:ilvl w:val="0"/>
                <w:numId w:val="23"/>
              </w:numPr>
              <w:rPr>
                <w:rFonts w:ascii="Arial" w:hAnsi="Arial" w:cs="Arial"/>
                <w:sz w:val="20"/>
                <w:szCs w:val="20"/>
              </w:rPr>
            </w:pPr>
            <w:r>
              <w:rPr>
                <w:rFonts w:ascii="Arial" w:hAnsi="Arial" w:cs="Arial"/>
                <w:sz w:val="20"/>
                <w:szCs w:val="20"/>
              </w:rPr>
              <w:t>Reviewing and approving</w:t>
            </w:r>
            <w:r w:rsidR="00B05AA9">
              <w:rPr>
                <w:rFonts w:ascii="Arial" w:hAnsi="Arial" w:cs="Arial"/>
                <w:sz w:val="20"/>
                <w:szCs w:val="20"/>
              </w:rPr>
              <w:t xml:space="preserve"> Tier 3</w:t>
            </w:r>
            <w:r w:rsidR="00452E7A">
              <w:rPr>
                <w:rFonts w:ascii="Arial" w:hAnsi="Arial" w:cs="Arial"/>
                <w:sz w:val="20"/>
                <w:szCs w:val="20"/>
              </w:rPr>
              <w:t xml:space="preserve"> </w:t>
            </w:r>
            <w:r>
              <w:rPr>
                <w:rFonts w:ascii="Arial" w:hAnsi="Arial" w:cs="Arial"/>
                <w:sz w:val="20"/>
                <w:szCs w:val="20"/>
              </w:rPr>
              <w:t>Breakthrough Products prior to launch. Such approval may include ongoing performance review requirements, as appropriate.</w:t>
            </w:r>
          </w:p>
          <w:p w14:paraId="7FAE4D72" w14:textId="77777777" w:rsidR="00474584" w:rsidRPr="00894051" w:rsidRDefault="00474584" w:rsidP="00C012A7">
            <w:pPr>
              <w:rPr>
                <w:rFonts w:ascii="Arial" w:hAnsi="Arial" w:cs="Arial"/>
                <w:sz w:val="20"/>
                <w:szCs w:val="20"/>
              </w:rPr>
            </w:pPr>
          </w:p>
          <w:p w14:paraId="7FAE4D73" w14:textId="7ADB78FA" w:rsidR="00474584" w:rsidRPr="00894051" w:rsidRDefault="00C012A7" w:rsidP="00894051">
            <w:pPr>
              <w:numPr>
                <w:ilvl w:val="0"/>
                <w:numId w:val="22"/>
              </w:numPr>
              <w:rPr>
                <w:rFonts w:ascii="Arial" w:hAnsi="Arial" w:cs="Arial"/>
                <w:sz w:val="20"/>
                <w:szCs w:val="20"/>
              </w:rPr>
            </w:pPr>
            <w:r w:rsidRPr="00894051">
              <w:rPr>
                <w:rFonts w:ascii="Arial" w:hAnsi="Arial" w:cs="Arial"/>
                <w:sz w:val="20"/>
                <w:szCs w:val="20"/>
              </w:rPr>
              <w:t>Assuring that all required business fu</w:t>
            </w:r>
            <w:r w:rsidR="00474584" w:rsidRPr="00894051">
              <w:rPr>
                <w:rFonts w:ascii="Arial" w:hAnsi="Arial" w:cs="Arial"/>
                <w:sz w:val="20"/>
                <w:szCs w:val="20"/>
              </w:rPr>
              <w:t>nctions’ processes</w:t>
            </w:r>
            <w:r w:rsidRPr="00894051">
              <w:rPr>
                <w:rFonts w:ascii="Arial" w:hAnsi="Arial" w:cs="Arial"/>
                <w:sz w:val="20"/>
                <w:szCs w:val="20"/>
              </w:rPr>
              <w:t xml:space="preserve"> are being followed in accordan</w:t>
            </w:r>
            <w:r w:rsidR="00474584" w:rsidRPr="00894051">
              <w:rPr>
                <w:rFonts w:ascii="Arial" w:hAnsi="Arial" w:cs="Arial"/>
                <w:sz w:val="20"/>
                <w:szCs w:val="20"/>
              </w:rPr>
              <w:t>ce with the requirements of the AIG PC</w:t>
            </w:r>
            <w:r w:rsidRPr="00894051">
              <w:rPr>
                <w:rFonts w:ascii="Arial" w:hAnsi="Arial" w:cs="Arial"/>
                <w:sz w:val="20"/>
                <w:szCs w:val="20"/>
              </w:rPr>
              <w:t xml:space="preserve"> Global </w:t>
            </w:r>
            <w:r w:rsidR="00474584" w:rsidRPr="00894051">
              <w:rPr>
                <w:rFonts w:ascii="Arial" w:hAnsi="Arial" w:cs="Arial"/>
                <w:sz w:val="20"/>
                <w:szCs w:val="20"/>
              </w:rPr>
              <w:t>Product Development Policy.</w:t>
            </w:r>
          </w:p>
          <w:p w14:paraId="7FAE4D74" w14:textId="77777777" w:rsidR="00C012A7" w:rsidRPr="00894051" w:rsidRDefault="00C012A7" w:rsidP="00894051">
            <w:pPr>
              <w:ind w:left="360"/>
              <w:rPr>
                <w:rFonts w:ascii="Arial" w:hAnsi="Arial" w:cs="Arial"/>
                <w:sz w:val="20"/>
                <w:szCs w:val="20"/>
              </w:rPr>
            </w:pPr>
          </w:p>
          <w:p w14:paraId="7FAE4D75" w14:textId="112EFC4F" w:rsidR="00C012A7" w:rsidRPr="00894051" w:rsidRDefault="00C012A7" w:rsidP="00894051">
            <w:pPr>
              <w:numPr>
                <w:ilvl w:val="0"/>
                <w:numId w:val="22"/>
              </w:numPr>
              <w:rPr>
                <w:rFonts w:ascii="Arial" w:hAnsi="Arial" w:cs="Arial"/>
                <w:sz w:val="20"/>
                <w:szCs w:val="20"/>
              </w:rPr>
            </w:pPr>
            <w:r w:rsidRPr="00894051">
              <w:rPr>
                <w:rFonts w:ascii="Arial" w:hAnsi="Arial" w:cs="Arial"/>
                <w:sz w:val="20"/>
                <w:szCs w:val="20"/>
              </w:rPr>
              <w:t xml:space="preserve">Monitoring </w:t>
            </w:r>
            <w:r w:rsidR="005D3116">
              <w:rPr>
                <w:rFonts w:ascii="Arial" w:hAnsi="Arial" w:cs="Arial"/>
                <w:sz w:val="20"/>
                <w:szCs w:val="20"/>
              </w:rPr>
              <w:t>and</w:t>
            </w:r>
            <w:r w:rsidR="00B057BA">
              <w:rPr>
                <w:rFonts w:ascii="Arial" w:hAnsi="Arial" w:cs="Arial"/>
                <w:sz w:val="20"/>
                <w:szCs w:val="20"/>
              </w:rPr>
              <w:t xml:space="preserve"> </w:t>
            </w:r>
            <w:r w:rsidRPr="00894051">
              <w:rPr>
                <w:rFonts w:ascii="Arial" w:hAnsi="Arial" w:cs="Arial"/>
                <w:sz w:val="20"/>
                <w:szCs w:val="20"/>
              </w:rPr>
              <w:t>reviewing performance</w:t>
            </w:r>
            <w:r w:rsidR="005D3116">
              <w:rPr>
                <w:rFonts w:ascii="Arial" w:hAnsi="Arial" w:cs="Arial"/>
                <w:sz w:val="20"/>
                <w:szCs w:val="20"/>
              </w:rPr>
              <w:t xml:space="preserve"> of the Product Development process in AIG Commercial and i</w:t>
            </w:r>
            <w:r w:rsidRPr="00894051">
              <w:rPr>
                <w:rFonts w:ascii="Arial" w:hAnsi="Arial" w:cs="Arial"/>
                <w:sz w:val="20"/>
                <w:szCs w:val="20"/>
              </w:rPr>
              <w:t xml:space="preserve">mplementing revisions </w:t>
            </w:r>
            <w:r w:rsidR="00474584" w:rsidRPr="00894051">
              <w:rPr>
                <w:rFonts w:ascii="Arial" w:hAnsi="Arial" w:cs="Arial"/>
                <w:sz w:val="20"/>
                <w:szCs w:val="20"/>
              </w:rPr>
              <w:t xml:space="preserve">as needed </w:t>
            </w:r>
            <w:r w:rsidRPr="00894051">
              <w:rPr>
                <w:rFonts w:ascii="Arial" w:hAnsi="Arial" w:cs="Arial"/>
                <w:sz w:val="20"/>
                <w:szCs w:val="20"/>
              </w:rPr>
              <w:t>on an ongoing basis.</w:t>
            </w:r>
          </w:p>
          <w:p w14:paraId="7FAE4D7A" w14:textId="77777777" w:rsidR="00B26D14" w:rsidRPr="00894051" w:rsidRDefault="00B26D14" w:rsidP="00B26D14">
            <w:pPr>
              <w:rPr>
                <w:rFonts w:ascii="Arial" w:hAnsi="Arial" w:cs="Arial"/>
                <w:sz w:val="20"/>
                <w:szCs w:val="20"/>
              </w:rPr>
            </w:pPr>
          </w:p>
          <w:p w14:paraId="7FAE4D7B" w14:textId="4FA55FE5" w:rsidR="00B26D14" w:rsidRDefault="00B26D14" w:rsidP="00894051">
            <w:pPr>
              <w:numPr>
                <w:ilvl w:val="0"/>
                <w:numId w:val="22"/>
              </w:numPr>
              <w:rPr>
                <w:rFonts w:ascii="Arial" w:hAnsi="Arial" w:cs="Arial"/>
                <w:sz w:val="20"/>
                <w:szCs w:val="20"/>
              </w:rPr>
            </w:pPr>
            <w:r w:rsidRPr="00894051">
              <w:rPr>
                <w:rFonts w:ascii="Arial" w:hAnsi="Arial" w:cs="Arial"/>
                <w:sz w:val="20"/>
                <w:szCs w:val="20"/>
              </w:rPr>
              <w:t xml:space="preserve">Maintaining a record of approved and disapproved </w:t>
            </w:r>
            <w:r w:rsidR="00863459">
              <w:rPr>
                <w:rFonts w:ascii="Arial" w:hAnsi="Arial" w:cs="Arial"/>
                <w:sz w:val="20"/>
                <w:szCs w:val="20"/>
              </w:rPr>
              <w:t xml:space="preserve">Tier 3 </w:t>
            </w:r>
            <w:r w:rsidRPr="00894051">
              <w:rPr>
                <w:rFonts w:ascii="Arial" w:hAnsi="Arial" w:cs="Arial"/>
                <w:sz w:val="20"/>
                <w:szCs w:val="20"/>
              </w:rPr>
              <w:t>Product Development business cases.</w:t>
            </w:r>
          </w:p>
          <w:p w14:paraId="7FAE4D7C" w14:textId="77777777" w:rsidR="00B30889" w:rsidRDefault="00B30889">
            <w:pPr>
              <w:pStyle w:val="ListParagraph"/>
              <w:rPr>
                <w:rFonts w:ascii="Arial" w:hAnsi="Arial" w:cs="Arial"/>
                <w:sz w:val="20"/>
                <w:szCs w:val="20"/>
              </w:rPr>
            </w:pPr>
          </w:p>
          <w:p w14:paraId="7FAE4D7D" w14:textId="77777777" w:rsidR="00CD5579" w:rsidRPr="00894051" w:rsidRDefault="00CD5579" w:rsidP="00CD5579">
            <w:pPr>
              <w:rPr>
                <w:rFonts w:ascii="Arial" w:hAnsi="Arial" w:cs="Arial"/>
                <w:sz w:val="20"/>
                <w:szCs w:val="20"/>
              </w:rPr>
            </w:pPr>
          </w:p>
          <w:p w14:paraId="7FAE4D7E" w14:textId="77777777" w:rsidR="00474584" w:rsidRPr="00894051" w:rsidRDefault="00474584" w:rsidP="00BE688D">
            <w:pPr>
              <w:rPr>
                <w:rFonts w:ascii="Arial" w:hAnsi="Arial" w:cs="Arial"/>
                <w:sz w:val="20"/>
                <w:szCs w:val="20"/>
              </w:rPr>
            </w:pPr>
          </w:p>
        </w:tc>
      </w:tr>
      <w:tr w:rsidR="00CD5579" w:rsidRPr="00894051" w14:paraId="7FAE4D92" w14:textId="77777777" w:rsidTr="00894051">
        <w:trPr>
          <w:trHeight w:val="387"/>
        </w:trPr>
        <w:tc>
          <w:tcPr>
            <w:tcW w:w="1800" w:type="dxa"/>
          </w:tcPr>
          <w:p w14:paraId="7FAE4D80" w14:textId="77777777" w:rsidR="00CD5579" w:rsidRPr="009152D6" w:rsidRDefault="00BE688D" w:rsidP="00B5006C">
            <w:pPr>
              <w:rPr>
                <w:rFonts w:ascii="Arial" w:hAnsi="Arial" w:cs="Arial"/>
                <w:i/>
                <w:color w:val="00B0F0"/>
                <w:sz w:val="20"/>
                <w:szCs w:val="20"/>
              </w:rPr>
            </w:pPr>
            <w:r w:rsidRPr="009152D6">
              <w:rPr>
                <w:rFonts w:ascii="Arial" w:hAnsi="Arial" w:cs="Arial"/>
                <w:i/>
                <w:color w:val="00B0F0"/>
                <w:sz w:val="20"/>
                <w:szCs w:val="20"/>
              </w:rPr>
              <w:t>Sub Committees</w:t>
            </w:r>
          </w:p>
        </w:tc>
        <w:tc>
          <w:tcPr>
            <w:tcW w:w="8820" w:type="dxa"/>
            <w:gridSpan w:val="2"/>
          </w:tcPr>
          <w:p w14:paraId="7FAE4D81" w14:textId="77777777" w:rsidR="00BE688D" w:rsidRPr="00894051" w:rsidRDefault="00BE688D" w:rsidP="00BE688D">
            <w:pPr>
              <w:rPr>
                <w:rFonts w:ascii="Arial" w:hAnsi="Arial" w:cs="Arial"/>
                <w:sz w:val="20"/>
                <w:szCs w:val="20"/>
              </w:rPr>
            </w:pPr>
          </w:p>
          <w:p w14:paraId="7646B679" w14:textId="77777777" w:rsidR="00D75AB7" w:rsidRDefault="00BE688D" w:rsidP="00BE688D">
            <w:pPr>
              <w:rPr>
                <w:rFonts w:ascii="Arial" w:hAnsi="Arial" w:cs="Arial"/>
                <w:sz w:val="20"/>
                <w:szCs w:val="20"/>
              </w:rPr>
            </w:pPr>
            <w:r w:rsidRPr="00894051">
              <w:rPr>
                <w:rFonts w:ascii="Arial" w:hAnsi="Arial" w:cs="Arial"/>
                <w:sz w:val="20"/>
                <w:szCs w:val="20"/>
              </w:rPr>
              <w:t xml:space="preserve">Approval authority for Incremental Products is delegated to the respective </w:t>
            </w:r>
            <w:smartTag w:uri="urn:schemas-microsoft-com:office:smarttags" w:element="place">
              <w:smartTag w:uri="urn:schemas-microsoft-com:office:smarttags" w:element="PlaceName">
                <w:r w:rsidRPr="00894051">
                  <w:rPr>
                    <w:rFonts w:ascii="Arial" w:hAnsi="Arial" w:cs="Arial"/>
                    <w:sz w:val="20"/>
                    <w:szCs w:val="20"/>
                  </w:rPr>
                  <w:t>Product</w:t>
                </w:r>
              </w:smartTag>
              <w:r w:rsidRPr="00894051">
                <w:rPr>
                  <w:rFonts w:ascii="Arial" w:hAnsi="Arial" w:cs="Arial"/>
                  <w:sz w:val="20"/>
                  <w:szCs w:val="20"/>
                </w:rPr>
                <w:t xml:space="preserve"> </w:t>
              </w:r>
              <w:smartTag w:uri="urn:schemas-microsoft-com:office:smarttags" w:element="PlaceType">
                <w:r w:rsidRPr="00894051">
                  <w:rPr>
                    <w:rFonts w:ascii="Arial" w:hAnsi="Arial" w:cs="Arial"/>
                    <w:sz w:val="20"/>
                    <w:szCs w:val="20"/>
                  </w:rPr>
                  <w:t>Towers</w:t>
                </w:r>
              </w:smartTag>
            </w:smartTag>
            <w:r w:rsidRPr="00894051">
              <w:rPr>
                <w:rFonts w:ascii="Arial" w:hAnsi="Arial" w:cs="Arial"/>
                <w:sz w:val="20"/>
                <w:szCs w:val="20"/>
              </w:rPr>
              <w:t xml:space="preserve">.  </w:t>
            </w:r>
          </w:p>
          <w:p w14:paraId="6CAB0098" w14:textId="77777777" w:rsidR="00D75AB7" w:rsidRDefault="00D75AB7" w:rsidP="00BE688D">
            <w:pPr>
              <w:rPr>
                <w:rFonts w:ascii="Arial" w:hAnsi="Arial" w:cs="Arial"/>
                <w:sz w:val="20"/>
                <w:szCs w:val="20"/>
              </w:rPr>
            </w:pPr>
          </w:p>
          <w:p w14:paraId="7FAE4D82" w14:textId="11D327D0" w:rsidR="00BE688D" w:rsidRPr="00894051" w:rsidRDefault="00BE688D" w:rsidP="00BE688D">
            <w:pPr>
              <w:rPr>
                <w:rFonts w:ascii="Arial" w:hAnsi="Arial" w:cs="Arial"/>
                <w:sz w:val="20"/>
                <w:szCs w:val="20"/>
              </w:rPr>
            </w:pPr>
            <w:r w:rsidRPr="00894051">
              <w:rPr>
                <w:rFonts w:ascii="Arial" w:hAnsi="Arial" w:cs="Arial"/>
                <w:sz w:val="20"/>
                <w:szCs w:val="20"/>
              </w:rPr>
              <w:t>Product Towers have the similar responsibility for:</w:t>
            </w:r>
          </w:p>
          <w:p w14:paraId="7FAE4D83" w14:textId="77777777" w:rsidR="00BE688D" w:rsidRPr="00894051" w:rsidRDefault="00BE688D" w:rsidP="00BE688D">
            <w:pPr>
              <w:rPr>
                <w:rFonts w:ascii="Arial" w:hAnsi="Arial" w:cs="Arial"/>
                <w:sz w:val="20"/>
                <w:szCs w:val="20"/>
              </w:rPr>
            </w:pPr>
          </w:p>
          <w:p w14:paraId="7FAE4D84" w14:textId="77777777" w:rsidR="00BE688D" w:rsidRPr="00894051" w:rsidRDefault="00BE688D" w:rsidP="00894051">
            <w:pPr>
              <w:numPr>
                <w:ilvl w:val="0"/>
                <w:numId w:val="22"/>
              </w:numPr>
              <w:rPr>
                <w:rFonts w:ascii="Arial" w:hAnsi="Arial" w:cs="Arial"/>
                <w:sz w:val="20"/>
                <w:szCs w:val="20"/>
              </w:rPr>
            </w:pPr>
            <w:r w:rsidRPr="00894051">
              <w:rPr>
                <w:rFonts w:ascii="Arial" w:hAnsi="Arial" w:cs="Arial"/>
                <w:sz w:val="20"/>
                <w:szCs w:val="20"/>
              </w:rPr>
              <w:t>Establishing the approval process for Incremental Products.</w:t>
            </w:r>
          </w:p>
          <w:p w14:paraId="7FAE4D85" w14:textId="77777777" w:rsidR="00BE688D" w:rsidRPr="00894051" w:rsidRDefault="00BE688D" w:rsidP="00BE688D">
            <w:pPr>
              <w:rPr>
                <w:rFonts w:ascii="Arial" w:hAnsi="Arial" w:cs="Arial"/>
                <w:sz w:val="20"/>
                <w:szCs w:val="20"/>
              </w:rPr>
            </w:pPr>
          </w:p>
          <w:p w14:paraId="7FAE4D86" w14:textId="1AA000AC" w:rsidR="00BE688D" w:rsidRPr="00894051" w:rsidRDefault="00BE688D" w:rsidP="00894051">
            <w:pPr>
              <w:numPr>
                <w:ilvl w:val="0"/>
                <w:numId w:val="22"/>
              </w:numPr>
              <w:rPr>
                <w:rFonts w:ascii="Arial" w:hAnsi="Arial" w:cs="Arial"/>
                <w:sz w:val="20"/>
                <w:szCs w:val="20"/>
              </w:rPr>
            </w:pPr>
            <w:r w:rsidRPr="00894051">
              <w:rPr>
                <w:rFonts w:ascii="Arial" w:hAnsi="Arial" w:cs="Arial"/>
                <w:sz w:val="20"/>
                <w:szCs w:val="20"/>
              </w:rPr>
              <w:lastRenderedPageBreak/>
              <w:t>Assuring that all required business functions’ processes are being followed in accordance with the requirements of the AIG PC Global Product Development Policy.</w:t>
            </w:r>
          </w:p>
          <w:p w14:paraId="7FAE4D87" w14:textId="77777777" w:rsidR="00BE688D" w:rsidRPr="00894051" w:rsidRDefault="00BE688D" w:rsidP="00894051">
            <w:pPr>
              <w:ind w:left="360"/>
              <w:rPr>
                <w:rFonts w:ascii="Arial" w:hAnsi="Arial" w:cs="Arial"/>
                <w:sz w:val="20"/>
                <w:szCs w:val="20"/>
              </w:rPr>
            </w:pPr>
          </w:p>
          <w:p w14:paraId="7FAE4D88" w14:textId="0746922A" w:rsidR="00BE688D" w:rsidRPr="00894051" w:rsidRDefault="00BE688D" w:rsidP="00894051">
            <w:pPr>
              <w:numPr>
                <w:ilvl w:val="0"/>
                <w:numId w:val="22"/>
              </w:numPr>
              <w:rPr>
                <w:rFonts w:ascii="Arial" w:hAnsi="Arial" w:cs="Arial"/>
                <w:sz w:val="20"/>
                <w:szCs w:val="20"/>
              </w:rPr>
            </w:pPr>
            <w:r w:rsidRPr="00894051">
              <w:rPr>
                <w:rFonts w:ascii="Arial" w:hAnsi="Arial" w:cs="Arial"/>
                <w:sz w:val="20"/>
                <w:szCs w:val="20"/>
              </w:rPr>
              <w:t xml:space="preserve">Monitoring and reviewing performance of the </w:t>
            </w:r>
            <w:r w:rsidR="00D75AB7">
              <w:rPr>
                <w:rFonts w:ascii="Arial" w:hAnsi="Arial" w:cs="Arial"/>
                <w:sz w:val="20"/>
                <w:szCs w:val="20"/>
              </w:rPr>
              <w:t xml:space="preserve">Incremental </w:t>
            </w:r>
            <w:r w:rsidRPr="00894051">
              <w:rPr>
                <w:rFonts w:ascii="Arial" w:hAnsi="Arial" w:cs="Arial"/>
                <w:sz w:val="20"/>
                <w:szCs w:val="20"/>
              </w:rPr>
              <w:t xml:space="preserve">Product </w:t>
            </w:r>
            <w:r w:rsidR="00A77F15">
              <w:rPr>
                <w:rFonts w:ascii="Arial" w:hAnsi="Arial" w:cs="Arial"/>
                <w:sz w:val="20"/>
                <w:szCs w:val="20"/>
              </w:rPr>
              <w:t>Development</w:t>
            </w:r>
            <w:r w:rsidR="005D3116">
              <w:rPr>
                <w:rFonts w:ascii="Arial" w:hAnsi="Arial" w:cs="Arial"/>
                <w:sz w:val="20"/>
                <w:szCs w:val="20"/>
              </w:rPr>
              <w:t xml:space="preserve"> </w:t>
            </w:r>
            <w:r w:rsidR="00F6007D">
              <w:rPr>
                <w:rFonts w:ascii="Arial" w:hAnsi="Arial" w:cs="Arial"/>
                <w:sz w:val="20"/>
                <w:szCs w:val="20"/>
              </w:rPr>
              <w:t xml:space="preserve">process within </w:t>
            </w:r>
            <w:r w:rsidR="00D75AB7">
              <w:rPr>
                <w:rFonts w:ascii="Arial" w:hAnsi="Arial" w:cs="Arial"/>
                <w:sz w:val="20"/>
                <w:szCs w:val="20"/>
              </w:rPr>
              <w:t>the respective Product Tower</w:t>
            </w:r>
            <w:r w:rsidR="00F6007D">
              <w:rPr>
                <w:rFonts w:ascii="Arial" w:hAnsi="Arial" w:cs="Arial"/>
                <w:sz w:val="20"/>
                <w:szCs w:val="20"/>
              </w:rPr>
              <w:t xml:space="preserve"> </w:t>
            </w:r>
            <w:r w:rsidRPr="00894051">
              <w:rPr>
                <w:rFonts w:ascii="Arial" w:hAnsi="Arial" w:cs="Arial"/>
                <w:sz w:val="20"/>
                <w:szCs w:val="20"/>
              </w:rPr>
              <w:t>and implementing revisions as needed on an ongoing basis.</w:t>
            </w:r>
          </w:p>
          <w:p w14:paraId="7FAE4D89" w14:textId="77777777" w:rsidR="00BE688D" w:rsidRPr="00894051" w:rsidRDefault="00BE688D" w:rsidP="00BE688D">
            <w:pPr>
              <w:rPr>
                <w:rFonts w:ascii="Arial" w:hAnsi="Arial" w:cs="Arial"/>
                <w:sz w:val="20"/>
                <w:szCs w:val="20"/>
              </w:rPr>
            </w:pPr>
          </w:p>
          <w:p w14:paraId="7FAE4D8A" w14:textId="77777777" w:rsidR="00BE688D" w:rsidRPr="00894051" w:rsidRDefault="00BE688D" w:rsidP="00894051">
            <w:pPr>
              <w:numPr>
                <w:ilvl w:val="0"/>
                <w:numId w:val="22"/>
              </w:numPr>
              <w:rPr>
                <w:rFonts w:ascii="Arial" w:hAnsi="Arial" w:cs="Arial"/>
                <w:sz w:val="20"/>
                <w:szCs w:val="20"/>
              </w:rPr>
            </w:pPr>
            <w:r w:rsidRPr="00894051">
              <w:rPr>
                <w:rFonts w:ascii="Arial" w:hAnsi="Arial" w:cs="Arial"/>
                <w:sz w:val="20"/>
                <w:szCs w:val="20"/>
              </w:rPr>
              <w:t>Assuring that escalation procedures and resolution mechanisms are in place when violations of the AIG PC Global Product Development Policy or this Standard are identified.</w:t>
            </w:r>
            <w:r w:rsidR="001C1F66">
              <w:rPr>
                <w:rFonts w:ascii="Arial" w:hAnsi="Arial" w:cs="Arial"/>
                <w:sz w:val="20"/>
                <w:szCs w:val="20"/>
              </w:rPr>
              <w:t xml:space="preserve"> </w:t>
            </w:r>
          </w:p>
          <w:p w14:paraId="7FAE4D8B" w14:textId="77777777" w:rsidR="00BE688D" w:rsidRPr="00894051" w:rsidRDefault="00BE688D" w:rsidP="00BE688D">
            <w:pPr>
              <w:rPr>
                <w:rFonts w:ascii="Arial" w:hAnsi="Arial" w:cs="Arial"/>
                <w:sz w:val="20"/>
                <w:szCs w:val="20"/>
              </w:rPr>
            </w:pPr>
          </w:p>
          <w:p w14:paraId="7FAE4D8C" w14:textId="77777777" w:rsidR="00BE688D" w:rsidRPr="00894051" w:rsidRDefault="00BE688D" w:rsidP="00894051">
            <w:pPr>
              <w:numPr>
                <w:ilvl w:val="0"/>
                <w:numId w:val="22"/>
              </w:numPr>
              <w:rPr>
                <w:rFonts w:ascii="Arial" w:hAnsi="Arial" w:cs="Arial"/>
                <w:sz w:val="20"/>
                <w:szCs w:val="20"/>
              </w:rPr>
            </w:pPr>
            <w:r w:rsidRPr="00894051">
              <w:rPr>
                <w:rFonts w:ascii="Arial" w:hAnsi="Arial" w:cs="Arial"/>
                <w:sz w:val="20"/>
                <w:szCs w:val="20"/>
              </w:rPr>
              <w:t>Communicating relevant updates to the Global Commercial Product Development Committee.</w:t>
            </w:r>
          </w:p>
          <w:p w14:paraId="7FAE4D8D" w14:textId="77777777" w:rsidR="00B26D14" w:rsidRPr="00894051" w:rsidRDefault="00B26D14" w:rsidP="00B26D14">
            <w:pPr>
              <w:rPr>
                <w:rFonts w:ascii="Arial" w:hAnsi="Arial" w:cs="Arial"/>
                <w:sz w:val="20"/>
                <w:szCs w:val="20"/>
              </w:rPr>
            </w:pPr>
          </w:p>
          <w:p w14:paraId="7FAE4D8E" w14:textId="77777777" w:rsidR="00B26D14" w:rsidRPr="00894051" w:rsidRDefault="00B26D14" w:rsidP="00894051">
            <w:pPr>
              <w:numPr>
                <w:ilvl w:val="0"/>
                <w:numId w:val="22"/>
              </w:numPr>
              <w:rPr>
                <w:rFonts w:ascii="Arial" w:hAnsi="Arial" w:cs="Arial"/>
                <w:sz w:val="20"/>
                <w:szCs w:val="20"/>
              </w:rPr>
            </w:pPr>
            <w:r w:rsidRPr="00894051">
              <w:rPr>
                <w:rFonts w:ascii="Arial" w:hAnsi="Arial" w:cs="Arial"/>
                <w:sz w:val="20"/>
                <w:szCs w:val="20"/>
              </w:rPr>
              <w:t>Maintaining a record of approved and disapproved Products.</w:t>
            </w:r>
          </w:p>
          <w:p w14:paraId="7FAE4D8F" w14:textId="77777777" w:rsidR="00BE688D" w:rsidRPr="00894051" w:rsidRDefault="00BE688D" w:rsidP="00165BD7">
            <w:pPr>
              <w:rPr>
                <w:rFonts w:ascii="Arial" w:hAnsi="Arial" w:cs="Arial"/>
                <w:sz w:val="20"/>
                <w:szCs w:val="20"/>
              </w:rPr>
            </w:pPr>
          </w:p>
          <w:p w14:paraId="7FAE4D90" w14:textId="560EAA16" w:rsidR="00CD5579" w:rsidRPr="00894051" w:rsidRDefault="00BE688D" w:rsidP="00165BD7">
            <w:pPr>
              <w:rPr>
                <w:rFonts w:ascii="Arial" w:hAnsi="Arial" w:cs="Arial"/>
                <w:sz w:val="20"/>
                <w:szCs w:val="20"/>
              </w:rPr>
            </w:pPr>
            <w:r w:rsidRPr="00894051">
              <w:rPr>
                <w:rFonts w:ascii="Arial" w:hAnsi="Arial" w:cs="Arial"/>
                <w:sz w:val="20"/>
                <w:szCs w:val="20"/>
              </w:rPr>
              <w:t>Regional and local Product Development Committees may be established as determined by the leadership of the</w:t>
            </w:r>
            <w:r w:rsidR="00863459">
              <w:rPr>
                <w:rFonts w:ascii="Arial" w:hAnsi="Arial" w:cs="Arial"/>
                <w:sz w:val="20"/>
                <w:szCs w:val="20"/>
              </w:rPr>
              <w:t xml:space="preserve"> Commercial </w:t>
            </w:r>
            <w:r w:rsidRPr="00894051">
              <w:rPr>
                <w:rFonts w:ascii="Arial" w:hAnsi="Arial" w:cs="Arial"/>
                <w:sz w:val="20"/>
                <w:szCs w:val="20"/>
              </w:rPr>
              <w:t>Business Units</w:t>
            </w:r>
            <w:r w:rsidR="00452E7A">
              <w:rPr>
                <w:rFonts w:ascii="Arial" w:hAnsi="Arial" w:cs="Arial"/>
                <w:sz w:val="20"/>
                <w:szCs w:val="20"/>
              </w:rPr>
              <w:t xml:space="preserve"> </w:t>
            </w:r>
            <w:r w:rsidR="00D75AB7">
              <w:rPr>
                <w:rFonts w:ascii="Arial" w:hAnsi="Arial" w:cs="Arial"/>
                <w:sz w:val="20"/>
                <w:szCs w:val="20"/>
              </w:rPr>
              <w:t xml:space="preserve">or as required by </w:t>
            </w:r>
            <w:r w:rsidR="00832571">
              <w:rPr>
                <w:rFonts w:ascii="Arial" w:hAnsi="Arial" w:cs="Arial"/>
                <w:sz w:val="20"/>
                <w:szCs w:val="20"/>
              </w:rPr>
              <w:t>relevant</w:t>
            </w:r>
            <w:r w:rsidR="00D75AB7">
              <w:rPr>
                <w:rFonts w:ascii="Arial" w:hAnsi="Arial" w:cs="Arial"/>
                <w:sz w:val="20"/>
                <w:szCs w:val="20"/>
              </w:rPr>
              <w:t xml:space="preserve"> laws and regulations</w:t>
            </w:r>
            <w:r w:rsidRPr="00894051">
              <w:rPr>
                <w:rFonts w:ascii="Arial" w:hAnsi="Arial" w:cs="Arial"/>
                <w:sz w:val="20"/>
                <w:szCs w:val="20"/>
              </w:rPr>
              <w:t>. Each regional or local Product Development Committee shall adhere to the requirements of the AIG PC Global Product Development Policy and this Standard, and act at the direction of the PDC or Product Tower as appropriate.</w:t>
            </w:r>
          </w:p>
          <w:p w14:paraId="7FAE4D91" w14:textId="77777777" w:rsidR="00BE688D" w:rsidRPr="00894051" w:rsidRDefault="00BE688D" w:rsidP="00165BD7">
            <w:pPr>
              <w:rPr>
                <w:rFonts w:ascii="Arial" w:hAnsi="Arial" w:cs="Arial"/>
                <w:sz w:val="20"/>
                <w:szCs w:val="20"/>
              </w:rPr>
            </w:pPr>
          </w:p>
        </w:tc>
      </w:tr>
      <w:tr w:rsidR="00393C3A" w:rsidRPr="00894051" w14:paraId="7FAE4D99" w14:textId="77777777" w:rsidTr="00894051">
        <w:trPr>
          <w:trHeight w:val="387"/>
        </w:trPr>
        <w:tc>
          <w:tcPr>
            <w:tcW w:w="1800" w:type="dxa"/>
          </w:tcPr>
          <w:p w14:paraId="7FAE4D93" w14:textId="77777777" w:rsidR="00393C3A" w:rsidRPr="009152D6" w:rsidRDefault="00FE22D1" w:rsidP="00B5006C">
            <w:pPr>
              <w:rPr>
                <w:rFonts w:ascii="Arial" w:hAnsi="Arial" w:cs="Arial"/>
                <w:i/>
                <w:color w:val="00B0F0"/>
                <w:sz w:val="20"/>
                <w:szCs w:val="20"/>
              </w:rPr>
            </w:pPr>
            <w:r w:rsidRPr="009152D6">
              <w:rPr>
                <w:rFonts w:ascii="Arial" w:hAnsi="Arial" w:cs="Arial"/>
                <w:i/>
                <w:color w:val="00B0F0"/>
                <w:sz w:val="20"/>
                <w:szCs w:val="20"/>
              </w:rPr>
              <w:lastRenderedPageBreak/>
              <w:t>Business Case</w:t>
            </w:r>
          </w:p>
        </w:tc>
        <w:tc>
          <w:tcPr>
            <w:tcW w:w="8820" w:type="dxa"/>
            <w:gridSpan w:val="2"/>
          </w:tcPr>
          <w:p w14:paraId="7FAE4D94" w14:textId="77777777" w:rsidR="00FE22D1" w:rsidRPr="00894051" w:rsidRDefault="00FE22D1" w:rsidP="00B677DA">
            <w:pPr>
              <w:rPr>
                <w:rFonts w:ascii="Arial" w:hAnsi="Arial" w:cs="Arial"/>
                <w:sz w:val="20"/>
                <w:szCs w:val="20"/>
              </w:rPr>
            </w:pPr>
          </w:p>
          <w:p w14:paraId="7FAE4D95" w14:textId="51AF78D4" w:rsidR="00A77F07" w:rsidRPr="00894051" w:rsidRDefault="00FE22D1" w:rsidP="00B677DA">
            <w:pPr>
              <w:rPr>
                <w:rFonts w:ascii="Arial" w:hAnsi="Arial" w:cs="Arial"/>
                <w:sz w:val="20"/>
                <w:szCs w:val="20"/>
              </w:rPr>
            </w:pPr>
            <w:r w:rsidRPr="00894051">
              <w:rPr>
                <w:rFonts w:ascii="Arial" w:hAnsi="Arial" w:cs="Arial"/>
                <w:sz w:val="20"/>
                <w:szCs w:val="20"/>
              </w:rPr>
              <w:t>A</w:t>
            </w:r>
            <w:r w:rsidR="00A77F07" w:rsidRPr="00894051">
              <w:rPr>
                <w:rFonts w:ascii="Arial" w:hAnsi="Arial" w:cs="Arial"/>
                <w:sz w:val="20"/>
                <w:szCs w:val="20"/>
              </w:rPr>
              <w:t>s part of the approval process, a business c</w:t>
            </w:r>
            <w:r w:rsidRPr="00894051">
              <w:rPr>
                <w:rFonts w:ascii="Arial" w:hAnsi="Arial" w:cs="Arial"/>
                <w:sz w:val="20"/>
                <w:szCs w:val="20"/>
              </w:rPr>
              <w:t>ase</w:t>
            </w:r>
            <w:r w:rsidR="001C1F66">
              <w:rPr>
                <w:rFonts w:ascii="Arial" w:hAnsi="Arial" w:cs="Arial"/>
                <w:sz w:val="20"/>
                <w:szCs w:val="20"/>
              </w:rPr>
              <w:t xml:space="preserve"> </w:t>
            </w:r>
            <w:r w:rsidRPr="00894051">
              <w:rPr>
                <w:rFonts w:ascii="Arial" w:hAnsi="Arial" w:cs="Arial"/>
                <w:sz w:val="20"/>
                <w:szCs w:val="20"/>
              </w:rPr>
              <w:t xml:space="preserve">must be documented for all Products, in which all </w:t>
            </w:r>
            <w:r w:rsidR="00AC6D37">
              <w:rPr>
                <w:rFonts w:ascii="Arial" w:hAnsi="Arial" w:cs="Arial"/>
                <w:sz w:val="20"/>
                <w:szCs w:val="20"/>
              </w:rPr>
              <w:t xml:space="preserve">relevant </w:t>
            </w:r>
            <w:r w:rsidRPr="00894051">
              <w:rPr>
                <w:rFonts w:ascii="Arial" w:hAnsi="Arial" w:cs="Arial"/>
                <w:sz w:val="20"/>
                <w:szCs w:val="20"/>
              </w:rPr>
              <w:t xml:space="preserve">targets, constraints and risks </w:t>
            </w:r>
            <w:r w:rsidR="00F6007D">
              <w:rPr>
                <w:rFonts w:ascii="Arial" w:hAnsi="Arial" w:cs="Arial"/>
                <w:sz w:val="20"/>
                <w:szCs w:val="20"/>
              </w:rPr>
              <w:t xml:space="preserve">are </w:t>
            </w:r>
            <w:r w:rsidRPr="00894051">
              <w:rPr>
                <w:rFonts w:ascii="Arial" w:hAnsi="Arial" w:cs="Arial"/>
                <w:sz w:val="20"/>
                <w:szCs w:val="20"/>
              </w:rPr>
              <w:t xml:space="preserve">addressed, including </w:t>
            </w:r>
            <w:r w:rsidR="00B017CD">
              <w:rPr>
                <w:rFonts w:ascii="Arial" w:hAnsi="Arial" w:cs="Arial"/>
                <w:sz w:val="20"/>
                <w:szCs w:val="20"/>
              </w:rPr>
              <w:t>as applicable</w:t>
            </w:r>
            <w:r w:rsidR="00452E7A">
              <w:rPr>
                <w:rFonts w:ascii="Arial" w:hAnsi="Arial" w:cs="Arial"/>
                <w:sz w:val="20"/>
                <w:szCs w:val="20"/>
              </w:rPr>
              <w:t xml:space="preserve">: </w:t>
            </w:r>
            <w:r w:rsidR="00B017CD">
              <w:rPr>
                <w:rFonts w:ascii="Arial" w:hAnsi="Arial" w:cs="Arial"/>
                <w:sz w:val="20"/>
                <w:szCs w:val="20"/>
              </w:rPr>
              <w:t xml:space="preserve"> </w:t>
            </w:r>
            <w:r w:rsidRPr="00894051">
              <w:rPr>
                <w:rFonts w:ascii="Arial" w:hAnsi="Arial" w:cs="Arial"/>
                <w:sz w:val="20"/>
                <w:szCs w:val="20"/>
              </w:rPr>
              <w:t xml:space="preserve">pricing, underwriting, marketing, distribution, claims, </w:t>
            </w:r>
            <w:r w:rsidR="00AC6D37">
              <w:rPr>
                <w:rFonts w:ascii="Arial" w:hAnsi="Arial" w:cs="Arial"/>
                <w:sz w:val="20"/>
                <w:szCs w:val="20"/>
              </w:rPr>
              <w:t>operations</w:t>
            </w:r>
            <w:r w:rsidR="00452E7A">
              <w:rPr>
                <w:rFonts w:ascii="Arial" w:hAnsi="Arial" w:cs="Arial"/>
                <w:sz w:val="20"/>
                <w:szCs w:val="20"/>
              </w:rPr>
              <w:t xml:space="preserve">, </w:t>
            </w:r>
            <w:r w:rsidR="00AC6D37">
              <w:rPr>
                <w:rFonts w:ascii="Arial" w:hAnsi="Arial" w:cs="Arial"/>
                <w:sz w:val="20"/>
                <w:szCs w:val="20"/>
              </w:rPr>
              <w:t>systems</w:t>
            </w:r>
            <w:r w:rsidR="001C1F66">
              <w:rPr>
                <w:rFonts w:ascii="Arial" w:hAnsi="Arial" w:cs="Arial"/>
                <w:sz w:val="20"/>
                <w:szCs w:val="20"/>
              </w:rPr>
              <w:t xml:space="preserve">, </w:t>
            </w:r>
            <w:r w:rsidRPr="00894051">
              <w:rPr>
                <w:rFonts w:ascii="Arial" w:hAnsi="Arial" w:cs="Arial"/>
                <w:sz w:val="20"/>
                <w:szCs w:val="20"/>
              </w:rPr>
              <w:t>compliance, legal</w:t>
            </w:r>
            <w:r w:rsidR="001F69BF">
              <w:rPr>
                <w:rFonts w:ascii="Arial" w:hAnsi="Arial" w:cs="Arial"/>
                <w:sz w:val="20"/>
                <w:szCs w:val="20"/>
              </w:rPr>
              <w:t>, tax and accounting</w:t>
            </w:r>
            <w:r w:rsidR="00452E7A">
              <w:rPr>
                <w:rFonts w:ascii="Arial" w:hAnsi="Arial" w:cs="Arial"/>
                <w:sz w:val="20"/>
                <w:szCs w:val="20"/>
              </w:rPr>
              <w:t>.</w:t>
            </w:r>
          </w:p>
          <w:p w14:paraId="7FAE4D96" w14:textId="77777777" w:rsidR="00A77F07" w:rsidRPr="00894051" w:rsidRDefault="00A77F07" w:rsidP="00B677DA">
            <w:pPr>
              <w:rPr>
                <w:rFonts w:ascii="Arial" w:hAnsi="Arial" w:cs="Arial"/>
                <w:sz w:val="20"/>
                <w:szCs w:val="20"/>
              </w:rPr>
            </w:pPr>
          </w:p>
          <w:p w14:paraId="7FAE4D97" w14:textId="77777777" w:rsidR="00A77F07" w:rsidRPr="00894051" w:rsidRDefault="00A77F07" w:rsidP="00B677DA">
            <w:pPr>
              <w:rPr>
                <w:rFonts w:ascii="Arial" w:hAnsi="Arial" w:cs="Arial"/>
                <w:sz w:val="20"/>
                <w:szCs w:val="20"/>
              </w:rPr>
            </w:pPr>
            <w:r w:rsidRPr="00894051">
              <w:rPr>
                <w:rFonts w:ascii="Arial" w:hAnsi="Arial" w:cs="Arial"/>
                <w:sz w:val="20"/>
                <w:szCs w:val="20"/>
              </w:rPr>
              <w:t>Approval to launch a product is based on the business</w:t>
            </w:r>
            <w:r w:rsidR="00F6007D">
              <w:rPr>
                <w:rFonts w:ascii="Arial" w:hAnsi="Arial" w:cs="Arial"/>
                <w:sz w:val="20"/>
                <w:szCs w:val="20"/>
              </w:rPr>
              <w:t xml:space="preserve"> </w:t>
            </w:r>
            <w:r w:rsidR="00692D4D">
              <w:rPr>
                <w:rFonts w:ascii="Arial" w:hAnsi="Arial" w:cs="Arial"/>
                <w:sz w:val="20"/>
                <w:szCs w:val="20"/>
              </w:rPr>
              <w:t>plan</w:t>
            </w:r>
            <w:r w:rsidRPr="00894051">
              <w:rPr>
                <w:rFonts w:ascii="Arial" w:hAnsi="Arial" w:cs="Arial"/>
                <w:sz w:val="20"/>
                <w:szCs w:val="20"/>
              </w:rPr>
              <w:t>.  Significant chan</w:t>
            </w:r>
            <w:r w:rsidR="00B26D14" w:rsidRPr="00894051">
              <w:rPr>
                <w:rFonts w:ascii="Arial" w:hAnsi="Arial" w:cs="Arial"/>
                <w:sz w:val="20"/>
                <w:szCs w:val="20"/>
              </w:rPr>
              <w:t>ges require revalidation of the approval.</w:t>
            </w:r>
          </w:p>
          <w:p w14:paraId="7FAE4D98" w14:textId="77777777" w:rsidR="00FE22D1" w:rsidRPr="00894051" w:rsidRDefault="00FE22D1" w:rsidP="00B677DA">
            <w:pPr>
              <w:rPr>
                <w:rFonts w:ascii="Arial" w:hAnsi="Arial" w:cs="Arial"/>
                <w:sz w:val="20"/>
                <w:szCs w:val="20"/>
              </w:rPr>
            </w:pPr>
          </w:p>
        </w:tc>
      </w:tr>
      <w:tr w:rsidR="00393C3A" w:rsidRPr="00894051" w14:paraId="7FAE4D9E" w14:textId="77777777" w:rsidTr="00894051">
        <w:trPr>
          <w:trHeight w:val="387"/>
        </w:trPr>
        <w:tc>
          <w:tcPr>
            <w:tcW w:w="1800" w:type="dxa"/>
          </w:tcPr>
          <w:p w14:paraId="7FAE4D9A" w14:textId="77777777" w:rsidR="00393C3A" w:rsidRPr="009152D6" w:rsidRDefault="00FE22D1" w:rsidP="00B5006C">
            <w:pPr>
              <w:rPr>
                <w:rFonts w:ascii="Arial" w:hAnsi="Arial" w:cs="Arial"/>
                <w:i/>
                <w:color w:val="00B0F0"/>
                <w:sz w:val="20"/>
                <w:szCs w:val="20"/>
              </w:rPr>
            </w:pPr>
            <w:r w:rsidRPr="009152D6">
              <w:rPr>
                <w:rFonts w:ascii="Arial" w:hAnsi="Arial" w:cs="Arial"/>
                <w:i/>
                <w:color w:val="00B0F0"/>
                <w:sz w:val="20"/>
                <w:szCs w:val="20"/>
              </w:rPr>
              <w:t>Product Sponsor</w:t>
            </w:r>
          </w:p>
        </w:tc>
        <w:tc>
          <w:tcPr>
            <w:tcW w:w="8820" w:type="dxa"/>
            <w:gridSpan w:val="2"/>
          </w:tcPr>
          <w:p w14:paraId="7FAE4D9B" w14:textId="77777777" w:rsidR="00FE22D1" w:rsidRPr="00894051" w:rsidRDefault="00FE22D1" w:rsidP="004E1EE4">
            <w:pPr>
              <w:rPr>
                <w:rFonts w:ascii="Arial" w:hAnsi="Arial" w:cs="Arial"/>
                <w:sz w:val="20"/>
                <w:szCs w:val="20"/>
              </w:rPr>
            </w:pPr>
          </w:p>
          <w:p w14:paraId="7FAE4D9C" w14:textId="07084DE3" w:rsidR="00393C3A" w:rsidRPr="00894051" w:rsidRDefault="00FE22D1" w:rsidP="004E1EE4">
            <w:pPr>
              <w:rPr>
                <w:rFonts w:ascii="Arial" w:hAnsi="Arial" w:cs="Arial"/>
                <w:sz w:val="20"/>
                <w:szCs w:val="20"/>
              </w:rPr>
            </w:pPr>
            <w:r w:rsidRPr="00894051">
              <w:rPr>
                <w:rFonts w:ascii="Arial" w:hAnsi="Arial" w:cs="Arial"/>
                <w:sz w:val="20"/>
                <w:szCs w:val="20"/>
              </w:rPr>
              <w:t xml:space="preserve">Each </w:t>
            </w:r>
            <w:r w:rsidR="00863459">
              <w:rPr>
                <w:rFonts w:ascii="Arial" w:hAnsi="Arial" w:cs="Arial"/>
                <w:sz w:val="20"/>
                <w:szCs w:val="20"/>
              </w:rPr>
              <w:t xml:space="preserve">Tier 3 </w:t>
            </w:r>
            <w:r w:rsidR="00BE688D" w:rsidRPr="00894051">
              <w:rPr>
                <w:rFonts w:ascii="Arial" w:hAnsi="Arial" w:cs="Arial"/>
                <w:sz w:val="20"/>
                <w:szCs w:val="20"/>
              </w:rPr>
              <w:t xml:space="preserve">Breakthrough </w:t>
            </w:r>
            <w:r w:rsidRPr="00894051">
              <w:rPr>
                <w:rFonts w:ascii="Arial" w:hAnsi="Arial" w:cs="Arial"/>
                <w:sz w:val="20"/>
                <w:szCs w:val="20"/>
              </w:rPr>
              <w:t xml:space="preserve">Product </w:t>
            </w:r>
            <w:r w:rsidR="00BE688D" w:rsidRPr="00894051">
              <w:rPr>
                <w:rFonts w:ascii="Arial" w:hAnsi="Arial" w:cs="Arial"/>
                <w:sz w:val="20"/>
                <w:szCs w:val="20"/>
              </w:rPr>
              <w:t xml:space="preserve">must have an individual serving as Product Sponsor.  The Product Sponsor is responsible for guiding the Breakthrough Product through its due diligence requirements, owning the business </w:t>
            </w:r>
            <w:r w:rsidR="00A77F15">
              <w:rPr>
                <w:rFonts w:ascii="Arial" w:hAnsi="Arial" w:cs="Arial"/>
                <w:sz w:val="20"/>
                <w:szCs w:val="20"/>
              </w:rPr>
              <w:t>plan</w:t>
            </w:r>
            <w:r w:rsidR="00BE688D" w:rsidRPr="00894051">
              <w:rPr>
                <w:rFonts w:ascii="Arial" w:hAnsi="Arial" w:cs="Arial"/>
                <w:sz w:val="20"/>
                <w:szCs w:val="20"/>
              </w:rPr>
              <w:t>, and coordinating presentation</w:t>
            </w:r>
            <w:r w:rsidR="00A77F07" w:rsidRPr="00894051">
              <w:rPr>
                <w:rFonts w:ascii="Arial" w:hAnsi="Arial" w:cs="Arial"/>
                <w:sz w:val="20"/>
                <w:szCs w:val="20"/>
              </w:rPr>
              <w:t>s or responses to requested information for the PDC.</w:t>
            </w:r>
          </w:p>
          <w:p w14:paraId="7FAE4D9D" w14:textId="77777777" w:rsidR="00A77F07" w:rsidRPr="00894051" w:rsidRDefault="00A77F07" w:rsidP="004E1EE4">
            <w:pPr>
              <w:rPr>
                <w:rFonts w:ascii="Arial" w:hAnsi="Arial" w:cs="Arial"/>
                <w:sz w:val="20"/>
                <w:szCs w:val="20"/>
              </w:rPr>
            </w:pPr>
          </w:p>
        </w:tc>
      </w:tr>
      <w:tr w:rsidR="00A77F07" w:rsidRPr="00894051" w14:paraId="7FAE4DA3" w14:textId="77777777" w:rsidTr="00894051">
        <w:trPr>
          <w:trHeight w:val="387"/>
        </w:trPr>
        <w:tc>
          <w:tcPr>
            <w:tcW w:w="1800" w:type="dxa"/>
          </w:tcPr>
          <w:p w14:paraId="7FAE4D9F" w14:textId="4E56EF5A" w:rsidR="00A77F07" w:rsidRPr="00894051" w:rsidRDefault="00A77F07" w:rsidP="00B5006C">
            <w:pPr>
              <w:rPr>
                <w:rFonts w:ascii="Arial" w:hAnsi="Arial" w:cs="Arial"/>
                <w:i/>
                <w:color w:val="0000FF"/>
                <w:sz w:val="20"/>
                <w:szCs w:val="20"/>
              </w:rPr>
            </w:pPr>
          </w:p>
        </w:tc>
        <w:tc>
          <w:tcPr>
            <w:tcW w:w="8820" w:type="dxa"/>
            <w:gridSpan w:val="2"/>
          </w:tcPr>
          <w:p w14:paraId="7FAE4DA0" w14:textId="77777777" w:rsidR="00A77F07" w:rsidRPr="00894051" w:rsidRDefault="00A77F07" w:rsidP="00A77F07">
            <w:pPr>
              <w:rPr>
                <w:rFonts w:ascii="Arial" w:hAnsi="Arial" w:cs="Arial"/>
                <w:sz w:val="20"/>
                <w:szCs w:val="20"/>
              </w:rPr>
            </w:pPr>
          </w:p>
          <w:p w14:paraId="7FAE4DA2" w14:textId="77777777" w:rsidR="00B26D14" w:rsidRPr="00894051" w:rsidRDefault="00B26D14" w:rsidP="0060768F">
            <w:pPr>
              <w:rPr>
                <w:rFonts w:ascii="Arial" w:hAnsi="Arial" w:cs="Arial"/>
                <w:sz w:val="20"/>
                <w:szCs w:val="20"/>
              </w:rPr>
            </w:pPr>
          </w:p>
        </w:tc>
      </w:tr>
      <w:tr w:rsidR="00393C3A" w:rsidRPr="00894051" w14:paraId="7FAE4DAB" w14:textId="77777777" w:rsidTr="00894051">
        <w:trPr>
          <w:trHeight w:val="387"/>
        </w:trPr>
        <w:tc>
          <w:tcPr>
            <w:tcW w:w="1800" w:type="dxa"/>
          </w:tcPr>
          <w:p w14:paraId="7FAE4DA4" w14:textId="77777777" w:rsidR="00393C3A" w:rsidRPr="00894051" w:rsidRDefault="00393C3A" w:rsidP="00894051">
            <w:pPr>
              <w:spacing w:before="60"/>
              <w:rPr>
                <w:rFonts w:ascii="Arial" w:eastAsia="Helvetica Neue" w:hAnsi="Arial" w:cs="Arial"/>
                <w:b/>
                <w:bCs/>
                <w:iCs/>
                <w:sz w:val="20"/>
                <w:szCs w:val="20"/>
              </w:rPr>
            </w:pPr>
            <w:r w:rsidRPr="00894051">
              <w:rPr>
                <w:rFonts w:ascii="Arial" w:eastAsia="Helvetica Neue" w:hAnsi="Arial" w:cs="Arial"/>
                <w:b/>
                <w:bCs/>
                <w:iCs/>
                <w:sz w:val="20"/>
                <w:szCs w:val="20"/>
              </w:rPr>
              <w:t>Related Global Commercial Underwriting</w:t>
            </w:r>
          </w:p>
          <w:p w14:paraId="7FAE4DA5" w14:textId="77777777" w:rsidR="00393C3A" w:rsidRPr="00894051" w:rsidRDefault="00393C3A" w:rsidP="00894051">
            <w:pPr>
              <w:spacing w:after="60"/>
              <w:rPr>
                <w:rFonts w:ascii="Arial" w:eastAsia="Helvetica Neue" w:hAnsi="Arial" w:cs="Arial"/>
                <w:b/>
                <w:bCs/>
                <w:iCs/>
                <w:sz w:val="20"/>
                <w:szCs w:val="20"/>
              </w:rPr>
            </w:pPr>
            <w:r w:rsidRPr="00894051">
              <w:rPr>
                <w:rFonts w:ascii="Arial" w:eastAsia="Helvetica Neue" w:hAnsi="Arial" w:cs="Arial"/>
                <w:b/>
                <w:bCs/>
                <w:iCs/>
                <w:sz w:val="20"/>
                <w:szCs w:val="20"/>
              </w:rPr>
              <w:t>Documents</w:t>
            </w:r>
          </w:p>
        </w:tc>
        <w:tc>
          <w:tcPr>
            <w:tcW w:w="8820" w:type="dxa"/>
            <w:gridSpan w:val="2"/>
          </w:tcPr>
          <w:p w14:paraId="7FAE4DA6" w14:textId="77777777" w:rsidR="00393C3A" w:rsidRPr="00424652" w:rsidRDefault="00393C3A" w:rsidP="00894051">
            <w:pPr>
              <w:ind w:left="360"/>
              <w:jc w:val="both"/>
              <w:rPr>
                <w:rFonts w:ascii="Arial" w:hAnsi="Arial" w:cs="Arial"/>
                <w:sz w:val="20"/>
                <w:szCs w:val="20"/>
              </w:rPr>
            </w:pPr>
          </w:p>
          <w:p w14:paraId="7FAE4DA7" w14:textId="1223AD1B" w:rsidR="00393C3A" w:rsidRPr="00424652" w:rsidRDefault="00A77F07" w:rsidP="00155849">
            <w:pPr>
              <w:jc w:val="both"/>
              <w:rPr>
                <w:rFonts w:ascii="Arial" w:hAnsi="Arial" w:cs="Arial"/>
                <w:sz w:val="20"/>
                <w:szCs w:val="20"/>
              </w:rPr>
            </w:pPr>
            <w:r w:rsidRPr="00424652">
              <w:rPr>
                <w:rFonts w:ascii="Arial" w:hAnsi="Arial" w:cs="Arial"/>
                <w:sz w:val="20"/>
                <w:szCs w:val="20"/>
              </w:rPr>
              <w:t>AIG Product Development Policy</w:t>
            </w:r>
          </w:p>
          <w:p w14:paraId="7FAE4DA8" w14:textId="0D20B205" w:rsidR="00A77F07" w:rsidRPr="00424652" w:rsidRDefault="00A77F07" w:rsidP="00155849">
            <w:pPr>
              <w:jc w:val="both"/>
              <w:rPr>
                <w:rFonts w:ascii="Arial" w:hAnsi="Arial" w:cs="Arial"/>
                <w:sz w:val="20"/>
                <w:szCs w:val="20"/>
              </w:rPr>
            </w:pPr>
            <w:r w:rsidRPr="00424652">
              <w:rPr>
                <w:rFonts w:ascii="Arial" w:hAnsi="Arial" w:cs="Arial"/>
                <w:sz w:val="20"/>
                <w:szCs w:val="20"/>
              </w:rPr>
              <w:t xml:space="preserve">AIG </w:t>
            </w:r>
            <w:r w:rsidR="00030E31">
              <w:rPr>
                <w:rFonts w:ascii="Arial" w:hAnsi="Arial" w:cs="Arial"/>
                <w:sz w:val="20"/>
                <w:szCs w:val="20"/>
              </w:rPr>
              <w:t>Commercial</w:t>
            </w:r>
            <w:r w:rsidR="00030E31" w:rsidRPr="00424652">
              <w:rPr>
                <w:rFonts w:ascii="Arial" w:hAnsi="Arial" w:cs="Arial"/>
                <w:sz w:val="20"/>
                <w:szCs w:val="20"/>
              </w:rPr>
              <w:t xml:space="preserve"> </w:t>
            </w:r>
            <w:r w:rsidRPr="00424652">
              <w:rPr>
                <w:rFonts w:ascii="Arial" w:hAnsi="Arial" w:cs="Arial"/>
                <w:sz w:val="20"/>
                <w:szCs w:val="20"/>
              </w:rPr>
              <w:t>Underwriting Policy</w:t>
            </w:r>
          </w:p>
          <w:p w14:paraId="7FAE4DA9" w14:textId="77777777" w:rsidR="00AA6601" w:rsidRDefault="00AA6601" w:rsidP="00155849">
            <w:pPr>
              <w:jc w:val="both"/>
              <w:rPr>
                <w:rFonts w:ascii="Arial" w:hAnsi="Arial" w:cs="Arial"/>
                <w:sz w:val="20"/>
                <w:szCs w:val="20"/>
              </w:rPr>
            </w:pPr>
            <w:r w:rsidRPr="00424652">
              <w:rPr>
                <w:rFonts w:ascii="Arial" w:hAnsi="Arial" w:cs="Arial"/>
                <w:sz w:val="20"/>
                <w:szCs w:val="20"/>
              </w:rPr>
              <w:t>Product Tower Underwriting Manuals, Guidelines and Procedures</w:t>
            </w:r>
          </w:p>
          <w:p w14:paraId="7FAE4DAA" w14:textId="77777777" w:rsidR="00225756" w:rsidRPr="00424652" w:rsidRDefault="00225756" w:rsidP="00894051">
            <w:pPr>
              <w:ind w:left="360"/>
              <w:jc w:val="both"/>
              <w:rPr>
                <w:rFonts w:ascii="Arial" w:hAnsi="Arial" w:cs="Arial"/>
                <w:sz w:val="20"/>
                <w:szCs w:val="20"/>
              </w:rPr>
            </w:pPr>
          </w:p>
        </w:tc>
      </w:tr>
      <w:tr w:rsidR="00225756" w:rsidRPr="00894051" w14:paraId="7FAE4DAE" w14:textId="77777777" w:rsidTr="00894051">
        <w:trPr>
          <w:trHeight w:val="387"/>
        </w:trPr>
        <w:tc>
          <w:tcPr>
            <w:tcW w:w="1800" w:type="dxa"/>
          </w:tcPr>
          <w:p w14:paraId="7FAE4DAC" w14:textId="77777777" w:rsidR="00225756" w:rsidRPr="00894051" w:rsidRDefault="00225756" w:rsidP="00894051">
            <w:pPr>
              <w:spacing w:before="60"/>
              <w:rPr>
                <w:rFonts w:ascii="Arial" w:eastAsia="Helvetica Neue" w:hAnsi="Arial" w:cs="Arial"/>
                <w:b/>
                <w:bCs/>
                <w:iCs/>
                <w:sz w:val="20"/>
                <w:szCs w:val="20"/>
              </w:rPr>
            </w:pPr>
            <w:r>
              <w:rPr>
                <w:rFonts w:ascii="Arial" w:eastAsia="Helvetica Neue" w:hAnsi="Arial" w:cs="Arial"/>
                <w:b/>
                <w:bCs/>
                <w:iCs/>
                <w:sz w:val="20"/>
                <w:szCs w:val="20"/>
              </w:rPr>
              <w:t>Implementation</w:t>
            </w:r>
          </w:p>
        </w:tc>
        <w:tc>
          <w:tcPr>
            <w:tcW w:w="8820" w:type="dxa"/>
            <w:gridSpan w:val="2"/>
          </w:tcPr>
          <w:p w14:paraId="7FAE4DAD" w14:textId="77777777" w:rsidR="00225756" w:rsidRPr="00424652" w:rsidRDefault="00225756" w:rsidP="00155849">
            <w:pPr>
              <w:jc w:val="both"/>
              <w:rPr>
                <w:rFonts w:ascii="Arial" w:hAnsi="Arial" w:cs="Arial"/>
                <w:sz w:val="20"/>
                <w:szCs w:val="20"/>
              </w:rPr>
            </w:pPr>
            <w:r w:rsidRPr="001119B4">
              <w:rPr>
                <w:rFonts w:ascii="Arial" w:hAnsi="Arial" w:cs="Arial"/>
                <w:sz w:val="20"/>
                <w:szCs w:val="20"/>
              </w:rPr>
              <w:t>Product Towers and Regions are required to develop a</w:t>
            </w:r>
            <w:r w:rsidR="00155849">
              <w:rPr>
                <w:rFonts w:ascii="Arial" w:hAnsi="Arial" w:cs="Arial"/>
                <w:sz w:val="20"/>
                <w:szCs w:val="20"/>
              </w:rPr>
              <w:t>n adoption</w:t>
            </w:r>
            <w:r w:rsidRPr="001119B4">
              <w:rPr>
                <w:rFonts w:ascii="Arial" w:hAnsi="Arial" w:cs="Arial"/>
                <w:sz w:val="20"/>
                <w:szCs w:val="20"/>
              </w:rPr>
              <w:t xml:space="preserve"> plan for implementing this Global Underwriting Standard.  This plan must be agreed with the Global Commercial CUO and set out the projected implementation timeframes and any exemptions that will be made.</w:t>
            </w:r>
          </w:p>
        </w:tc>
      </w:tr>
      <w:tr w:rsidR="00393C3A" w:rsidRPr="00894051" w14:paraId="7FAE4DB1" w14:textId="77777777" w:rsidTr="00894051">
        <w:trPr>
          <w:trHeight w:val="387"/>
        </w:trPr>
        <w:tc>
          <w:tcPr>
            <w:tcW w:w="1800" w:type="dxa"/>
          </w:tcPr>
          <w:p w14:paraId="7FAE4DAF" w14:textId="77777777" w:rsidR="00393C3A" w:rsidRPr="00894051" w:rsidRDefault="00393C3A" w:rsidP="00894051">
            <w:pPr>
              <w:spacing w:before="120"/>
              <w:rPr>
                <w:rFonts w:ascii="Arial" w:hAnsi="Arial" w:cs="Arial"/>
                <w:b/>
                <w:bCs/>
                <w:sz w:val="20"/>
                <w:szCs w:val="20"/>
              </w:rPr>
            </w:pPr>
            <w:r w:rsidRPr="00894051">
              <w:rPr>
                <w:rFonts w:ascii="Arial" w:hAnsi="Arial" w:cs="Arial"/>
                <w:b/>
                <w:bCs/>
                <w:sz w:val="20"/>
                <w:szCs w:val="20"/>
              </w:rPr>
              <w:t>Roles  and Responsibilities</w:t>
            </w:r>
          </w:p>
        </w:tc>
        <w:tc>
          <w:tcPr>
            <w:tcW w:w="8820" w:type="dxa"/>
            <w:gridSpan w:val="2"/>
          </w:tcPr>
          <w:p w14:paraId="7FAE4DB0" w14:textId="77777777" w:rsidR="00393C3A" w:rsidRPr="00424652" w:rsidRDefault="00393C3A" w:rsidP="00894051">
            <w:pPr>
              <w:spacing w:before="120"/>
              <w:jc w:val="both"/>
              <w:rPr>
                <w:rFonts w:ascii="Arial" w:hAnsi="Arial" w:cs="Arial"/>
                <w:sz w:val="16"/>
                <w:szCs w:val="16"/>
              </w:rPr>
            </w:pPr>
          </w:p>
        </w:tc>
      </w:tr>
      <w:tr w:rsidR="00393C3A" w:rsidRPr="00894051" w14:paraId="7FAE4DB6" w14:textId="77777777" w:rsidTr="00894051">
        <w:trPr>
          <w:trHeight w:val="387"/>
        </w:trPr>
        <w:tc>
          <w:tcPr>
            <w:tcW w:w="1800" w:type="dxa"/>
          </w:tcPr>
          <w:p w14:paraId="7FAE4DB2" w14:textId="77777777" w:rsidR="00393C3A" w:rsidRPr="00894051" w:rsidRDefault="00393C3A" w:rsidP="00894051">
            <w:pPr>
              <w:spacing w:before="120"/>
              <w:rPr>
                <w:rFonts w:ascii="Arial" w:hAnsi="Arial" w:cs="Arial"/>
                <w:b/>
                <w:bCs/>
                <w:sz w:val="20"/>
                <w:szCs w:val="20"/>
              </w:rPr>
            </w:pPr>
            <w:r w:rsidRPr="00894051">
              <w:rPr>
                <w:rFonts w:ascii="Arial" w:hAnsi="Arial" w:cs="Arial"/>
                <w:bCs/>
                <w:i/>
                <w:iCs/>
                <w:sz w:val="20"/>
                <w:szCs w:val="20"/>
              </w:rPr>
              <w:t>Global Commercial Underwriting Committee</w:t>
            </w:r>
          </w:p>
        </w:tc>
        <w:tc>
          <w:tcPr>
            <w:tcW w:w="8820" w:type="dxa"/>
            <w:gridSpan w:val="2"/>
          </w:tcPr>
          <w:p w14:paraId="7FAE4DB3" w14:textId="77777777" w:rsidR="00393C3A" w:rsidRPr="00894051" w:rsidRDefault="00393C3A" w:rsidP="00894051">
            <w:pPr>
              <w:jc w:val="both"/>
              <w:rPr>
                <w:rFonts w:ascii="Arial" w:hAnsi="Arial" w:cs="Arial"/>
                <w:sz w:val="20"/>
                <w:szCs w:val="20"/>
              </w:rPr>
            </w:pPr>
          </w:p>
          <w:p w14:paraId="7FAE4DB4" w14:textId="77777777" w:rsidR="00393C3A" w:rsidRPr="00894051" w:rsidRDefault="00393C3A" w:rsidP="00894051">
            <w:pPr>
              <w:jc w:val="both"/>
              <w:rPr>
                <w:rFonts w:ascii="Arial" w:hAnsi="Arial" w:cs="Arial"/>
                <w:sz w:val="20"/>
                <w:szCs w:val="20"/>
              </w:rPr>
            </w:pPr>
            <w:r w:rsidRPr="00894051">
              <w:rPr>
                <w:rFonts w:ascii="Arial" w:hAnsi="Arial" w:cs="Arial"/>
                <w:sz w:val="20"/>
                <w:szCs w:val="20"/>
              </w:rPr>
              <w:t>The Global Commercial Underwriting Committee is responsible for establishing and maintaining global underwriting policies and standards, and is accountable for ensuring that they are consistently and uniformly implemented locally.</w:t>
            </w:r>
          </w:p>
          <w:p w14:paraId="7FAE4DB5" w14:textId="77777777" w:rsidR="00393C3A" w:rsidRPr="00894051" w:rsidRDefault="00393C3A" w:rsidP="00894051">
            <w:pPr>
              <w:spacing w:before="120"/>
              <w:jc w:val="both"/>
              <w:rPr>
                <w:rFonts w:ascii="Arial" w:hAnsi="Arial" w:cs="Arial"/>
                <w:i/>
                <w:iCs/>
                <w:color w:val="FF0000"/>
                <w:sz w:val="16"/>
                <w:szCs w:val="16"/>
              </w:rPr>
            </w:pPr>
          </w:p>
        </w:tc>
      </w:tr>
      <w:tr w:rsidR="00393C3A" w:rsidRPr="00894051" w14:paraId="7FAE4DBB" w14:textId="77777777" w:rsidTr="00894051">
        <w:trPr>
          <w:trHeight w:val="387"/>
        </w:trPr>
        <w:tc>
          <w:tcPr>
            <w:tcW w:w="1800" w:type="dxa"/>
          </w:tcPr>
          <w:p w14:paraId="7FAE4DB7" w14:textId="77777777" w:rsidR="00393C3A" w:rsidRPr="00894051" w:rsidRDefault="00393C3A" w:rsidP="00894051">
            <w:pPr>
              <w:spacing w:before="120"/>
              <w:rPr>
                <w:rFonts w:ascii="Arial" w:hAnsi="Arial" w:cs="Arial"/>
                <w:bCs/>
                <w:i/>
                <w:iCs/>
                <w:sz w:val="20"/>
                <w:szCs w:val="20"/>
              </w:rPr>
            </w:pPr>
            <w:r w:rsidRPr="00894051">
              <w:rPr>
                <w:rFonts w:ascii="Arial" w:eastAsia="Helvetica Neue" w:hAnsi="Arial" w:cs="Arial"/>
                <w:bCs/>
                <w:i/>
                <w:iCs/>
                <w:sz w:val="20"/>
                <w:szCs w:val="20"/>
              </w:rPr>
              <w:t>Global Product Line underwriting managers</w:t>
            </w:r>
          </w:p>
        </w:tc>
        <w:tc>
          <w:tcPr>
            <w:tcW w:w="8820" w:type="dxa"/>
            <w:gridSpan w:val="2"/>
          </w:tcPr>
          <w:p w14:paraId="7FAE4DB8" w14:textId="77777777" w:rsidR="00393C3A" w:rsidRPr="00894051" w:rsidRDefault="00393C3A" w:rsidP="00894051">
            <w:pPr>
              <w:jc w:val="both"/>
              <w:rPr>
                <w:rFonts w:ascii="Arial" w:eastAsia="Helvetica Neue" w:hAnsi="Arial" w:cs="Arial"/>
                <w:sz w:val="20"/>
                <w:szCs w:val="20"/>
              </w:rPr>
            </w:pPr>
          </w:p>
          <w:p w14:paraId="7FAE4DB9" w14:textId="77777777" w:rsidR="00393C3A" w:rsidRPr="00894051" w:rsidRDefault="00393C3A" w:rsidP="00894051">
            <w:pPr>
              <w:jc w:val="both"/>
              <w:rPr>
                <w:rFonts w:ascii="Arial" w:eastAsia="Helvetica Neue" w:hAnsi="Arial" w:cs="Arial"/>
                <w:sz w:val="20"/>
                <w:szCs w:val="20"/>
              </w:rPr>
            </w:pPr>
            <w:r w:rsidRPr="00894051">
              <w:rPr>
                <w:rFonts w:ascii="Arial" w:eastAsia="Helvetica Neue" w:hAnsi="Arial" w:cs="Arial"/>
                <w:sz w:val="20"/>
                <w:szCs w:val="20"/>
              </w:rPr>
              <w:t xml:space="preserve">Global Product Line underwriting managers are responsible for establishing and maintaining global product underwriting standards, guidelines, and procedures, and are accountable for ensuring that they are consistently and uniformly implemented in their product areas. </w:t>
            </w:r>
          </w:p>
          <w:p w14:paraId="7FAE4DBA" w14:textId="77777777" w:rsidR="00393C3A" w:rsidRPr="00894051" w:rsidRDefault="00393C3A" w:rsidP="00894051">
            <w:pPr>
              <w:jc w:val="both"/>
              <w:rPr>
                <w:rFonts w:ascii="Arial" w:hAnsi="Arial" w:cs="Arial"/>
                <w:sz w:val="20"/>
                <w:szCs w:val="20"/>
              </w:rPr>
            </w:pPr>
          </w:p>
        </w:tc>
      </w:tr>
      <w:tr w:rsidR="00393C3A" w:rsidRPr="00894051" w14:paraId="7FAE4DC1" w14:textId="77777777" w:rsidTr="00894051">
        <w:trPr>
          <w:trHeight w:val="387"/>
        </w:trPr>
        <w:tc>
          <w:tcPr>
            <w:tcW w:w="1800" w:type="dxa"/>
          </w:tcPr>
          <w:p w14:paraId="7FAE4DBC" w14:textId="77777777" w:rsidR="00393C3A" w:rsidRPr="00894051" w:rsidRDefault="00393C3A" w:rsidP="00894051">
            <w:pPr>
              <w:spacing w:before="120"/>
              <w:rPr>
                <w:rFonts w:ascii="Arial" w:eastAsia="Helvetica Neue" w:hAnsi="Arial" w:cs="Arial"/>
                <w:bCs/>
                <w:i/>
                <w:iCs/>
                <w:sz w:val="20"/>
                <w:szCs w:val="20"/>
              </w:rPr>
            </w:pPr>
            <w:r w:rsidRPr="00894051">
              <w:rPr>
                <w:rFonts w:ascii="Arial" w:eastAsia="Helvetica Neue" w:hAnsi="Arial" w:cs="Arial"/>
                <w:bCs/>
                <w:i/>
                <w:iCs/>
                <w:sz w:val="20"/>
                <w:szCs w:val="20"/>
              </w:rPr>
              <w:t>Regional and local product line managers</w:t>
            </w:r>
          </w:p>
          <w:p w14:paraId="7FAE4DBD" w14:textId="77777777" w:rsidR="00393C3A" w:rsidRPr="00894051" w:rsidRDefault="00393C3A" w:rsidP="00894051">
            <w:pPr>
              <w:spacing w:before="120"/>
              <w:rPr>
                <w:rFonts w:ascii="Arial" w:eastAsia="Helvetica Neue" w:hAnsi="Arial" w:cs="Arial"/>
                <w:bCs/>
                <w:i/>
                <w:iCs/>
                <w:sz w:val="20"/>
                <w:szCs w:val="20"/>
              </w:rPr>
            </w:pPr>
          </w:p>
        </w:tc>
        <w:tc>
          <w:tcPr>
            <w:tcW w:w="8820" w:type="dxa"/>
            <w:gridSpan w:val="2"/>
          </w:tcPr>
          <w:p w14:paraId="7FAE4DBE" w14:textId="77777777" w:rsidR="00393C3A" w:rsidRPr="00894051" w:rsidRDefault="00393C3A" w:rsidP="00894051">
            <w:pPr>
              <w:jc w:val="both"/>
              <w:rPr>
                <w:rFonts w:ascii="Arial" w:eastAsia="Helvetica Neue" w:hAnsi="Arial" w:cs="Arial"/>
                <w:sz w:val="20"/>
                <w:szCs w:val="20"/>
              </w:rPr>
            </w:pPr>
          </w:p>
          <w:p w14:paraId="7FAE4DBF" w14:textId="77777777" w:rsidR="00393C3A" w:rsidRPr="00894051" w:rsidRDefault="00393C3A" w:rsidP="00894051">
            <w:pPr>
              <w:jc w:val="both"/>
              <w:rPr>
                <w:rFonts w:ascii="Arial" w:eastAsia="Helvetica Neue" w:hAnsi="Arial" w:cs="Arial"/>
                <w:sz w:val="20"/>
                <w:szCs w:val="20"/>
              </w:rPr>
            </w:pPr>
            <w:r w:rsidRPr="00894051">
              <w:rPr>
                <w:rFonts w:ascii="Arial" w:eastAsia="Helvetica Neue" w:hAnsi="Arial" w:cs="Arial"/>
                <w:sz w:val="20"/>
                <w:szCs w:val="20"/>
              </w:rPr>
              <w:t xml:space="preserve">Regional and local product managers are responsible for establishing and maintaining regional/local product underwriting standards, guidelines and procedures, and are accountable for ensuring that they, along with all applicable global and product underwriting standards, guidelines and procedures, are consistently and uniformly implemented in their geographic areas. </w:t>
            </w:r>
          </w:p>
          <w:p w14:paraId="7FAE4DC0" w14:textId="77777777" w:rsidR="00393C3A" w:rsidRPr="00894051" w:rsidRDefault="00393C3A" w:rsidP="00894051">
            <w:pPr>
              <w:jc w:val="both"/>
              <w:rPr>
                <w:rFonts w:ascii="Arial" w:eastAsia="Helvetica Neue" w:hAnsi="Arial" w:cs="Arial"/>
                <w:sz w:val="20"/>
                <w:szCs w:val="20"/>
              </w:rPr>
            </w:pPr>
          </w:p>
        </w:tc>
      </w:tr>
      <w:tr w:rsidR="00393C3A" w:rsidRPr="00894051" w14:paraId="7FAE4DC7" w14:textId="77777777" w:rsidTr="00894051">
        <w:trPr>
          <w:trHeight w:val="387"/>
        </w:trPr>
        <w:tc>
          <w:tcPr>
            <w:tcW w:w="1800" w:type="dxa"/>
          </w:tcPr>
          <w:p w14:paraId="7FAE4DC2" w14:textId="77777777" w:rsidR="00393C3A" w:rsidRPr="00894051" w:rsidRDefault="00393C3A" w:rsidP="00894051">
            <w:pPr>
              <w:tabs>
                <w:tab w:val="num" w:pos="1440"/>
              </w:tabs>
              <w:spacing w:line="360" w:lineRule="auto"/>
              <w:jc w:val="both"/>
              <w:rPr>
                <w:rFonts w:ascii="Arial" w:hAnsi="Arial" w:cs="Arial"/>
                <w:i/>
                <w:sz w:val="18"/>
                <w:szCs w:val="18"/>
              </w:rPr>
            </w:pPr>
          </w:p>
          <w:p w14:paraId="7FAE4DC3" w14:textId="77777777" w:rsidR="00393C3A" w:rsidRPr="00894051" w:rsidRDefault="00393C3A" w:rsidP="00894051">
            <w:pPr>
              <w:tabs>
                <w:tab w:val="num" w:pos="1440"/>
              </w:tabs>
              <w:spacing w:line="360" w:lineRule="auto"/>
              <w:jc w:val="both"/>
              <w:rPr>
                <w:rFonts w:ascii="Arial" w:hAnsi="Arial" w:cs="Arial"/>
                <w:i/>
                <w:sz w:val="20"/>
                <w:szCs w:val="20"/>
              </w:rPr>
            </w:pPr>
            <w:r w:rsidRPr="00894051">
              <w:rPr>
                <w:rFonts w:ascii="Arial" w:hAnsi="Arial" w:cs="Arial"/>
                <w:i/>
                <w:sz w:val="20"/>
                <w:szCs w:val="20"/>
              </w:rPr>
              <w:t xml:space="preserve">All Employees </w:t>
            </w:r>
          </w:p>
          <w:p w14:paraId="7FAE4DC4" w14:textId="77777777" w:rsidR="00393C3A" w:rsidRPr="00894051" w:rsidRDefault="00393C3A" w:rsidP="00894051">
            <w:pPr>
              <w:spacing w:before="120"/>
              <w:rPr>
                <w:rFonts w:ascii="Arial" w:eastAsia="Helvetica Neue" w:hAnsi="Arial" w:cs="Arial"/>
                <w:bCs/>
                <w:i/>
                <w:iCs/>
                <w:sz w:val="20"/>
                <w:szCs w:val="20"/>
              </w:rPr>
            </w:pPr>
          </w:p>
        </w:tc>
        <w:tc>
          <w:tcPr>
            <w:tcW w:w="8820" w:type="dxa"/>
            <w:gridSpan w:val="2"/>
          </w:tcPr>
          <w:p w14:paraId="7FAE4DC5" w14:textId="77777777" w:rsidR="00393C3A" w:rsidRPr="00894051" w:rsidRDefault="00393C3A" w:rsidP="00894051">
            <w:pPr>
              <w:jc w:val="both"/>
              <w:rPr>
                <w:rFonts w:ascii="Arial" w:eastAsia="Helvetica Neue" w:hAnsi="Arial" w:cs="Arial"/>
                <w:sz w:val="20"/>
                <w:szCs w:val="20"/>
              </w:rPr>
            </w:pPr>
          </w:p>
          <w:p w14:paraId="7FAE4DC6" w14:textId="77777777" w:rsidR="00393C3A" w:rsidRPr="00894051" w:rsidRDefault="00393C3A" w:rsidP="00894051">
            <w:pPr>
              <w:jc w:val="both"/>
              <w:rPr>
                <w:rFonts w:ascii="Arial" w:eastAsia="Helvetica Neue" w:hAnsi="Arial" w:cs="Arial"/>
                <w:sz w:val="20"/>
                <w:szCs w:val="20"/>
              </w:rPr>
            </w:pPr>
            <w:r w:rsidRPr="00894051">
              <w:rPr>
                <w:rFonts w:ascii="Arial" w:hAnsi="Arial" w:cs="Arial"/>
                <w:sz w:val="20"/>
                <w:szCs w:val="20"/>
              </w:rPr>
              <w:t>All employees performing functions subject to this Standard must adhere to its principles, as well as all other applicable standards, guidelines and procedures.</w:t>
            </w:r>
          </w:p>
        </w:tc>
      </w:tr>
      <w:tr w:rsidR="00393C3A" w:rsidRPr="00894051" w14:paraId="7FAE4DCA" w14:textId="77777777" w:rsidTr="00894051">
        <w:tc>
          <w:tcPr>
            <w:tcW w:w="1800" w:type="dxa"/>
          </w:tcPr>
          <w:p w14:paraId="7FAE4DC8" w14:textId="77777777" w:rsidR="00393C3A" w:rsidRPr="00894051" w:rsidRDefault="00393C3A" w:rsidP="00894051">
            <w:pPr>
              <w:spacing w:before="60" w:after="60"/>
              <w:rPr>
                <w:rFonts w:ascii="Arial" w:hAnsi="Arial" w:cs="Arial"/>
                <w:b/>
                <w:sz w:val="20"/>
                <w:szCs w:val="20"/>
              </w:rPr>
            </w:pPr>
          </w:p>
        </w:tc>
        <w:tc>
          <w:tcPr>
            <w:tcW w:w="8820" w:type="dxa"/>
            <w:gridSpan w:val="2"/>
          </w:tcPr>
          <w:p w14:paraId="7FAE4DC9" w14:textId="77777777" w:rsidR="00393C3A" w:rsidRPr="00894051" w:rsidRDefault="00393C3A" w:rsidP="00894051">
            <w:pPr>
              <w:autoSpaceDE w:val="0"/>
              <w:autoSpaceDN w:val="0"/>
              <w:adjustRightInd w:val="0"/>
              <w:jc w:val="both"/>
              <w:rPr>
                <w:rFonts w:ascii="Arial" w:hAnsi="Arial" w:cs="Arial"/>
                <w:sz w:val="20"/>
                <w:szCs w:val="20"/>
              </w:rPr>
            </w:pPr>
          </w:p>
        </w:tc>
      </w:tr>
      <w:tr w:rsidR="00393C3A" w:rsidRPr="00894051" w14:paraId="7FAE4DCF" w14:textId="77777777" w:rsidTr="00894051">
        <w:trPr>
          <w:trHeight w:val="900"/>
        </w:trPr>
        <w:tc>
          <w:tcPr>
            <w:tcW w:w="1800" w:type="dxa"/>
          </w:tcPr>
          <w:p w14:paraId="7FAE4DCB" w14:textId="77777777" w:rsidR="00393C3A" w:rsidRPr="00894051" w:rsidRDefault="00393C3A" w:rsidP="00894051">
            <w:pPr>
              <w:spacing w:before="60" w:after="60"/>
              <w:rPr>
                <w:rFonts w:ascii="Arial" w:hAnsi="Arial" w:cs="Arial"/>
                <w:b/>
                <w:sz w:val="20"/>
                <w:szCs w:val="20"/>
              </w:rPr>
            </w:pPr>
            <w:r w:rsidRPr="00894051">
              <w:rPr>
                <w:rFonts w:ascii="Arial" w:hAnsi="Arial" w:cs="Arial"/>
                <w:b/>
                <w:sz w:val="20"/>
                <w:szCs w:val="20"/>
              </w:rPr>
              <w:t>Country Specific Requirements</w:t>
            </w:r>
          </w:p>
        </w:tc>
        <w:tc>
          <w:tcPr>
            <w:tcW w:w="8820" w:type="dxa"/>
            <w:gridSpan w:val="2"/>
          </w:tcPr>
          <w:p w14:paraId="7FAE4DCC" w14:textId="77777777" w:rsidR="00393C3A" w:rsidRPr="00894051" w:rsidRDefault="00393C3A" w:rsidP="00894051">
            <w:pPr>
              <w:autoSpaceDE w:val="0"/>
              <w:autoSpaceDN w:val="0"/>
              <w:adjustRightInd w:val="0"/>
              <w:rPr>
                <w:rFonts w:ascii="Arial" w:eastAsia="Helvetica Neue" w:hAnsi="Arial" w:cs="Arial"/>
                <w:color w:val="FF0000"/>
                <w:sz w:val="16"/>
                <w:szCs w:val="16"/>
              </w:rPr>
            </w:pPr>
          </w:p>
          <w:p w14:paraId="7FAE4DCD" w14:textId="77777777" w:rsidR="00393C3A" w:rsidRPr="00894051" w:rsidRDefault="00393C3A" w:rsidP="00894051">
            <w:pPr>
              <w:jc w:val="both"/>
              <w:rPr>
                <w:rFonts w:ascii="Arial" w:hAnsi="Arial" w:cs="Arial"/>
                <w:sz w:val="20"/>
                <w:szCs w:val="20"/>
              </w:rPr>
            </w:pPr>
            <w:r w:rsidRPr="00894051">
              <w:rPr>
                <w:rFonts w:ascii="Arial" w:eastAsia="Helvetica Neue" w:hAnsi="Arial" w:cs="Arial"/>
                <w:color w:val="000000"/>
                <w:sz w:val="20"/>
                <w:szCs w:val="20"/>
              </w:rPr>
              <w:t xml:space="preserve">Standards and Guidelines will be written and agreed where there is the need for distinct local clarification or to comply with local rules and regulations. </w:t>
            </w:r>
            <w:r w:rsidRPr="00894051">
              <w:rPr>
                <w:rFonts w:ascii="Arial" w:hAnsi="Arial" w:cs="Arial"/>
                <w:sz w:val="20"/>
                <w:szCs w:val="20"/>
              </w:rPr>
              <w:t>Any conflict between Global and locally required standards must be identified, documented, escalated and addressed in accordance with applicable AIG corporate policies.</w:t>
            </w:r>
          </w:p>
          <w:p w14:paraId="7FAE4DCE" w14:textId="77777777" w:rsidR="00393C3A" w:rsidRPr="00894051" w:rsidRDefault="00393C3A" w:rsidP="00894051">
            <w:pPr>
              <w:autoSpaceDE w:val="0"/>
              <w:autoSpaceDN w:val="0"/>
              <w:adjustRightInd w:val="0"/>
              <w:rPr>
                <w:rFonts w:ascii="Arial" w:eastAsia="Helvetica Neue" w:hAnsi="Arial" w:cs="Arial"/>
                <w:color w:val="FF0000"/>
                <w:sz w:val="16"/>
                <w:szCs w:val="16"/>
              </w:rPr>
            </w:pPr>
          </w:p>
        </w:tc>
      </w:tr>
      <w:tr w:rsidR="00393C3A" w:rsidRPr="00894051" w14:paraId="7FAE4DD4" w14:textId="77777777" w:rsidTr="00894051">
        <w:trPr>
          <w:trHeight w:val="810"/>
        </w:trPr>
        <w:tc>
          <w:tcPr>
            <w:tcW w:w="1800" w:type="dxa"/>
          </w:tcPr>
          <w:p w14:paraId="7FAE4DD0" w14:textId="77777777" w:rsidR="00393C3A" w:rsidRPr="00894051" w:rsidRDefault="00393C3A" w:rsidP="00894051">
            <w:pPr>
              <w:spacing w:before="60" w:after="60"/>
              <w:rPr>
                <w:rFonts w:ascii="Arial" w:hAnsi="Arial" w:cs="Arial"/>
                <w:b/>
                <w:sz w:val="20"/>
                <w:szCs w:val="20"/>
              </w:rPr>
            </w:pPr>
            <w:r w:rsidRPr="00894051">
              <w:rPr>
                <w:rFonts w:ascii="Arial" w:hAnsi="Arial" w:cs="Arial"/>
                <w:b/>
                <w:sz w:val="20"/>
                <w:szCs w:val="20"/>
              </w:rPr>
              <w:t>Reference to Corporate Policies</w:t>
            </w:r>
          </w:p>
        </w:tc>
        <w:tc>
          <w:tcPr>
            <w:tcW w:w="8820" w:type="dxa"/>
            <w:gridSpan w:val="2"/>
          </w:tcPr>
          <w:p w14:paraId="7FAE4DD1" w14:textId="77777777" w:rsidR="00393C3A" w:rsidRPr="00894051" w:rsidRDefault="00393C3A" w:rsidP="00894051">
            <w:pPr>
              <w:jc w:val="both"/>
              <w:rPr>
                <w:rFonts w:ascii="Arial" w:eastAsia="Helvetica Neue" w:hAnsi="Arial" w:cs="Arial"/>
                <w:color w:val="000000"/>
                <w:sz w:val="20"/>
                <w:szCs w:val="20"/>
              </w:rPr>
            </w:pPr>
          </w:p>
          <w:p w14:paraId="7FAE4DD2" w14:textId="77777777" w:rsidR="00393C3A" w:rsidRPr="00894051" w:rsidRDefault="00393C3A" w:rsidP="00894051">
            <w:pPr>
              <w:jc w:val="both"/>
              <w:rPr>
                <w:rFonts w:ascii="Arial" w:eastAsia="Helvetica Neue" w:hAnsi="Arial" w:cs="Arial"/>
                <w:color w:val="000000"/>
                <w:sz w:val="20"/>
                <w:szCs w:val="20"/>
              </w:rPr>
            </w:pPr>
            <w:r w:rsidRPr="00894051">
              <w:rPr>
                <w:rFonts w:ascii="Arial" w:eastAsia="Helvetica Neue" w:hAnsi="Arial" w:cs="Arial"/>
                <w:color w:val="000000"/>
                <w:sz w:val="20"/>
                <w:szCs w:val="20"/>
              </w:rPr>
              <w:t>This Global Commercial Underwriting Standard document is subject to adherence to all relevant AIG Corporate Policies.</w:t>
            </w:r>
          </w:p>
          <w:p w14:paraId="7FAE4DD3" w14:textId="77777777" w:rsidR="00393C3A" w:rsidRPr="00894051" w:rsidRDefault="00393C3A" w:rsidP="00894051">
            <w:pPr>
              <w:jc w:val="both"/>
              <w:rPr>
                <w:rFonts w:ascii="Arial" w:eastAsia="Helvetica Neue" w:hAnsi="Arial" w:cs="Arial"/>
                <w:color w:val="000000"/>
                <w:sz w:val="20"/>
                <w:szCs w:val="20"/>
              </w:rPr>
            </w:pPr>
          </w:p>
        </w:tc>
      </w:tr>
      <w:tr w:rsidR="00393C3A" w:rsidRPr="00894051" w14:paraId="7FAE4DD7" w14:textId="77777777" w:rsidTr="00894051">
        <w:trPr>
          <w:trHeight w:val="603"/>
        </w:trPr>
        <w:tc>
          <w:tcPr>
            <w:tcW w:w="1800" w:type="dxa"/>
          </w:tcPr>
          <w:p w14:paraId="7FAE4DD5" w14:textId="77777777" w:rsidR="00393C3A" w:rsidRPr="00894051" w:rsidRDefault="00393C3A" w:rsidP="00894051">
            <w:pPr>
              <w:spacing w:before="60" w:after="60"/>
              <w:rPr>
                <w:rFonts w:ascii="Arial" w:hAnsi="Arial" w:cs="Arial"/>
                <w:b/>
                <w:sz w:val="20"/>
                <w:szCs w:val="20"/>
              </w:rPr>
            </w:pPr>
            <w:r w:rsidRPr="00894051">
              <w:rPr>
                <w:rFonts w:ascii="Arial" w:hAnsi="Arial" w:cs="Arial"/>
                <w:b/>
                <w:sz w:val="20"/>
                <w:szCs w:val="20"/>
              </w:rPr>
              <w:t>Updates</w:t>
            </w:r>
          </w:p>
        </w:tc>
        <w:tc>
          <w:tcPr>
            <w:tcW w:w="8820" w:type="dxa"/>
            <w:gridSpan w:val="2"/>
            <w:shd w:val="clear" w:color="auto" w:fill="auto"/>
          </w:tcPr>
          <w:p w14:paraId="50618B7C" w14:textId="77777777" w:rsidR="00393C3A" w:rsidRDefault="00393C3A">
            <w:pPr>
              <w:rPr>
                <w:rFonts w:ascii="Arial" w:hAnsi="Arial" w:cs="Arial"/>
                <w:i/>
                <w:iCs/>
                <w:color w:val="FF0000"/>
                <w:sz w:val="16"/>
                <w:szCs w:val="16"/>
              </w:rPr>
            </w:pPr>
            <w:r w:rsidRPr="00894051">
              <w:rPr>
                <w:rFonts w:ascii="Arial" w:hAnsi="Arial" w:cs="Arial"/>
                <w:i/>
                <w:iCs/>
                <w:color w:val="FF0000"/>
                <w:sz w:val="16"/>
                <w:szCs w:val="16"/>
              </w:rPr>
              <w:t>History of updates to the Underwriting Document</w:t>
            </w:r>
          </w:p>
          <w:p w14:paraId="5D34867E" w14:textId="77777777" w:rsidR="00F80C3C" w:rsidRDefault="00F80C3C">
            <w:pPr>
              <w:rPr>
                <w:rFonts w:ascii="Arial" w:hAnsi="Arial" w:cs="Arial"/>
                <w:i/>
                <w:iCs/>
                <w:color w:val="FF0000"/>
                <w:sz w:val="16"/>
                <w:szCs w:val="16"/>
                <w:u w:val="single"/>
              </w:rPr>
            </w:pPr>
          </w:p>
          <w:p w14:paraId="2995B24D" w14:textId="77777777" w:rsidR="00F80C3C" w:rsidRDefault="00F80C3C">
            <w:pPr>
              <w:rPr>
                <w:rFonts w:ascii="Arial" w:hAnsi="Arial" w:cs="Arial"/>
                <w:i/>
                <w:iCs/>
                <w:color w:val="FF0000"/>
                <w:sz w:val="16"/>
                <w:szCs w:val="16"/>
              </w:rPr>
            </w:pPr>
            <w:r w:rsidRPr="00F80C3C">
              <w:rPr>
                <w:rFonts w:ascii="Arial" w:hAnsi="Arial" w:cs="Arial"/>
                <w:i/>
                <w:iCs/>
                <w:color w:val="FF0000"/>
                <w:sz w:val="16"/>
                <w:szCs w:val="16"/>
                <w:u w:val="single"/>
              </w:rPr>
              <w:t>August 1</w:t>
            </w:r>
            <w:r w:rsidR="00D43E7E">
              <w:rPr>
                <w:rFonts w:ascii="Arial" w:hAnsi="Arial" w:cs="Arial"/>
                <w:i/>
                <w:iCs/>
                <w:color w:val="FF0000"/>
                <w:sz w:val="16"/>
                <w:szCs w:val="16"/>
                <w:u w:val="single"/>
              </w:rPr>
              <w:t>8</w:t>
            </w:r>
            <w:r w:rsidRPr="00F80C3C">
              <w:rPr>
                <w:rFonts w:ascii="Arial" w:hAnsi="Arial" w:cs="Arial"/>
                <w:i/>
                <w:iCs/>
                <w:color w:val="FF0000"/>
                <w:sz w:val="16"/>
                <w:szCs w:val="16"/>
                <w:u w:val="single"/>
              </w:rPr>
              <w:t>, 2015</w:t>
            </w:r>
            <w:r>
              <w:rPr>
                <w:rFonts w:ascii="Arial" w:hAnsi="Arial" w:cs="Arial"/>
                <w:i/>
                <w:iCs/>
                <w:color w:val="FF0000"/>
                <w:sz w:val="16"/>
                <w:szCs w:val="16"/>
              </w:rPr>
              <w:t xml:space="preserve">:  Revised Definitions, Product Development approval process, and Product Development Committee sections. </w:t>
            </w:r>
          </w:p>
          <w:p w14:paraId="7FAE4DD6" w14:textId="7322132C" w:rsidR="003F0189" w:rsidRPr="00894051" w:rsidRDefault="003F0189">
            <w:pPr>
              <w:rPr>
                <w:rFonts w:ascii="Arial" w:hAnsi="Arial" w:cs="Arial"/>
                <w:i/>
                <w:iCs/>
                <w:color w:val="FF0000"/>
                <w:sz w:val="16"/>
                <w:szCs w:val="16"/>
              </w:rPr>
            </w:pPr>
            <w:r>
              <w:rPr>
                <w:rFonts w:ascii="Arial" w:hAnsi="Arial" w:cs="Arial"/>
                <w:i/>
                <w:iCs/>
                <w:color w:val="FF0000"/>
                <w:sz w:val="16"/>
                <w:szCs w:val="16"/>
              </w:rPr>
              <w:t>September 29</w:t>
            </w:r>
            <w:r w:rsidRPr="009152D6">
              <w:rPr>
                <w:rFonts w:ascii="Arial" w:hAnsi="Arial" w:cs="Arial"/>
                <w:i/>
                <w:iCs/>
                <w:color w:val="FF0000"/>
                <w:sz w:val="16"/>
                <w:szCs w:val="16"/>
                <w:vertAlign w:val="superscript"/>
              </w:rPr>
              <w:t>th</w:t>
            </w:r>
            <w:r>
              <w:rPr>
                <w:rFonts w:ascii="Arial" w:hAnsi="Arial" w:cs="Arial"/>
                <w:i/>
                <w:iCs/>
                <w:color w:val="FF0000"/>
                <w:sz w:val="16"/>
                <w:szCs w:val="16"/>
              </w:rPr>
              <w:t>, 2015: Updated Template.</w:t>
            </w:r>
          </w:p>
        </w:tc>
      </w:tr>
    </w:tbl>
    <w:p w14:paraId="7FAE4DD8" w14:textId="77777777" w:rsidR="00871599" w:rsidRPr="00953A18" w:rsidRDefault="00871599" w:rsidP="00281BDC"/>
    <w:sectPr w:rsidR="00871599" w:rsidRPr="00953A18" w:rsidSect="003E144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E4DE1" w14:textId="77777777" w:rsidR="005D3116" w:rsidRDefault="005D3116">
      <w:r>
        <w:separator/>
      </w:r>
    </w:p>
  </w:endnote>
  <w:endnote w:type="continuationSeparator" w:id="0">
    <w:p w14:paraId="7FAE4DE2" w14:textId="77777777" w:rsidR="005D3116" w:rsidRDefault="005D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E4DE3" w14:textId="77777777" w:rsidR="005D3116" w:rsidRDefault="005D3116" w:rsidP="00052C27">
    <w:pPr>
      <w:pStyle w:val="BodyTextIndent3"/>
      <w:pBdr>
        <w:left w:val="single" w:sz="8" w:space="18" w:color="auto"/>
      </w:pBdr>
      <w:ind w:left="0" w:right="-1260"/>
      <w:rPr>
        <w:rStyle w:val="PageNumber"/>
        <w:rFonts w:ascii="Arial" w:eastAsia="MS Mincho" w:hAnsi="Arial" w:cs="Arial"/>
        <w:lang w:eastAsia="ja-JP"/>
      </w:rPr>
    </w:pPr>
    <w:r w:rsidRPr="000E4826">
      <w:rPr>
        <w:rStyle w:val="PageNumber"/>
        <w:rFonts w:ascii="Arial" w:eastAsia="MS Mincho" w:hAnsi="Arial" w:cs="Arial"/>
        <w:lang w:eastAsia="ja-JP"/>
      </w:rPr>
      <w:t xml:space="preserve">Page </w:t>
    </w:r>
    <w:r w:rsidR="00C61FC5"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PAGE </w:instrText>
    </w:r>
    <w:r w:rsidR="00C61FC5" w:rsidRPr="000E4826">
      <w:rPr>
        <w:rStyle w:val="PageNumber"/>
        <w:rFonts w:ascii="Arial" w:eastAsia="MS Mincho" w:hAnsi="Arial" w:cs="Arial"/>
        <w:lang w:eastAsia="ja-JP"/>
      </w:rPr>
      <w:fldChar w:fldCharType="separate"/>
    </w:r>
    <w:r w:rsidR="00752768">
      <w:rPr>
        <w:rStyle w:val="PageNumber"/>
        <w:rFonts w:ascii="Arial" w:eastAsia="MS Mincho" w:hAnsi="Arial" w:cs="Arial"/>
        <w:noProof/>
        <w:lang w:eastAsia="ja-JP"/>
      </w:rPr>
      <w:t>1</w:t>
    </w:r>
    <w:r w:rsidR="00C61FC5" w:rsidRPr="000E4826">
      <w:rPr>
        <w:rStyle w:val="PageNumber"/>
        <w:rFonts w:ascii="Arial" w:eastAsia="MS Mincho" w:hAnsi="Arial" w:cs="Arial"/>
        <w:lang w:eastAsia="ja-JP"/>
      </w:rPr>
      <w:fldChar w:fldCharType="end"/>
    </w:r>
    <w:r w:rsidRPr="000E4826">
      <w:rPr>
        <w:rStyle w:val="PageNumber"/>
        <w:rFonts w:ascii="Arial" w:eastAsia="MS Mincho" w:hAnsi="Arial" w:cs="Arial"/>
        <w:lang w:eastAsia="ja-JP"/>
      </w:rPr>
      <w:t xml:space="preserve"> of </w:t>
    </w:r>
    <w:r w:rsidR="00C61FC5"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NUMPAGES </w:instrText>
    </w:r>
    <w:r w:rsidR="00C61FC5" w:rsidRPr="000E4826">
      <w:rPr>
        <w:rStyle w:val="PageNumber"/>
        <w:rFonts w:ascii="Arial" w:eastAsia="MS Mincho" w:hAnsi="Arial" w:cs="Arial"/>
        <w:lang w:eastAsia="ja-JP"/>
      </w:rPr>
      <w:fldChar w:fldCharType="separate"/>
    </w:r>
    <w:r w:rsidR="00752768">
      <w:rPr>
        <w:rStyle w:val="PageNumber"/>
        <w:rFonts w:ascii="Arial" w:eastAsia="MS Mincho" w:hAnsi="Arial" w:cs="Arial"/>
        <w:noProof/>
        <w:lang w:eastAsia="ja-JP"/>
      </w:rPr>
      <w:t>4</w:t>
    </w:r>
    <w:r w:rsidR="00C61FC5" w:rsidRPr="000E4826">
      <w:rPr>
        <w:rStyle w:val="PageNumber"/>
        <w:rFonts w:ascii="Arial" w:eastAsia="MS Mincho" w:hAnsi="Arial" w:cs="Arial"/>
        <w:lang w:eastAsia="ja-JP"/>
      </w:rPr>
      <w:fldChar w:fldCharType="end"/>
    </w:r>
  </w:p>
  <w:p w14:paraId="7C0F435C" w14:textId="77777777" w:rsidR="00DE4B06" w:rsidRDefault="00DE4B06" w:rsidP="00DE4B06">
    <w:pPr>
      <w:pStyle w:val="BodyTextIndent3"/>
      <w:pBdr>
        <w:left w:val="single" w:sz="8" w:space="18" w:color="auto"/>
      </w:pBdr>
      <w:spacing w:after="0"/>
      <w:ind w:left="0" w:right="-1267"/>
      <w:jc w:val="both"/>
      <w:rPr>
        <w:rFonts w:ascii="Arial Narrow" w:hAnsi="Arial Narrow"/>
      </w:rPr>
    </w:pPr>
    <w:r w:rsidRPr="00871599">
      <w:rPr>
        <w:rFonts w:ascii="Arial Narrow" w:hAnsi="Arial Narrow"/>
      </w:rPr>
      <w:t xml:space="preserve">The material contained herein is proprietary to </w:t>
    </w:r>
    <w:r>
      <w:rPr>
        <w:rFonts w:ascii="Arial Narrow" w:hAnsi="Arial Narrow"/>
      </w:rPr>
      <w:t>AIG</w:t>
    </w:r>
    <w:r w:rsidRPr="00871599">
      <w:rPr>
        <w:rFonts w:ascii="Arial Narrow" w:hAnsi="Arial Narrow"/>
      </w:rPr>
      <w:t xml:space="preserve"> and is intended for internal use only by </w:t>
    </w:r>
    <w:r>
      <w:rPr>
        <w:rFonts w:ascii="Arial Narrow" w:hAnsi="Arial Narrow"/>
      </w:rPr>
      <w:t>AIG</w:t>
    </w:r>
    <w:r w:rsidRPr="00871599">
      <w:rPr>
        <w:rFonts w:ascii="Arial Narrow" w:hAnsi="Arial Narrow"/>
      </w:rPr>
      <w:t xml:space="preserve"> employees.  Unauthorized disclosure, dissemination, copying, or other</w:t>
    </w:r>
  </w:p>
  <w:p w14:paraId="70982617" w14:textId="77777777" w:rsidR="00DE4B06" w:rsidRDefault="00DE4B06" w:rsidP="00DE4B06">
    <w:pPr>
      <w:pStyle w:val="BodyTextIndent3"/>
      <w:pBdr>
        <w:left w:val="single" w:sz="8" w:space="18" w:color="auto"/>
      </w:pBdr>
      <w:spacing w:after="0"/>
      <w:ind w:left="0" w:right="-1267"/>
      <w:jc w:val="both"/>
      <w:rPr>
        <w:rFonts w:ascii="Arial Narrow" w:hAnsi="Arial Narrow" w:cs="Arial"/>
        <w:i/>
        <w:iCs/>
        <w:color w:val="333333"/>
      </w:rPr>
    </w:pPr>
    <w:proofErr w:type="gramStart"/>
    <w:r w:rsidRPr="00871599">
      <w:rPr>
        <w:rFonts w:ascii="Arial Narrow" w:hAnsi="Arial Narrow"/>
      </w:rPr>
      <w:t>use</w:t>
    </w:r>
    <w:proofErr w:type="gramEnd"/>
    <w:r w:rsidRPr="00871599">
      <w:rPr>
        <w:rFonts w:ascii="Arial Narrow" w:hAnsi="Arial Narrow"/>
      </w:rPr>
      <w:t xml:space="preserve"> of this material without the express written permission of </w:t>
    </w:r>
    <w:r>
      <w:rPr>
        <w:rFonts w:ascii="Arial Narrow" w:hAnsi="Arial Narrow"/>
      </w:rPr>
      <w:t>AIG</w:t>
    </w:r>
    <w:r w:rsidRPr="00871599">
      <w:rPr>
        <w:rFonts w:ascii="Arial Narrow" w:hAnsi="Arial Narrow"/>
      </w:rPr>
      <w:t xml:space="preserve"> is strictly prohibited.</w:t>
    </w:r>
    <w:r>
      <w:rPr>
        <w:rFonts w:ascii="Arial Narrow" w:hAnsi="Arial Narrow"/>
      </w:rPr>
      <w:t xml:space="preserve">  </w:t>
    </w:r>
    <w:r w:rsidRPr="00272383">
      <w:rPr>
        <w:rFonts w:ascii="Arial Narrow" w:hAnsi="Arial Narrow"/>
      </w:rPr>
      <w:t xml:space="preserve">For more information, </w:t>
    </w:r>
    <w:r w:rsidRPr="00272383">
      <w:rPr>
        <w:rFonts w:ascii="Arial Narrow" w:hAnsi="Arial Narrow" w:cs="Arial"/>
        <w:color w:val="333333"/>
      </w:rPr>
      <w:t>please see the</w:t>
    </w:r>
    <w:r w:rsidRPr="00272383">
      <w:rPr>
        <w:rFonts w:ascii="Arial Narrow" w:hAnsi="Arial Narrow" w:cs="Arial"/>
      </w:rPr>
      <w:t xml:space="preserve"> </w:t>
    </w:r>
    <w:hyperlink r:id="rId1" w:tgtFrame="_blank" w:tooltip="http://www.aig.com/privacy_3171_448852.html" w:history="1">
      <w:r w:rsidRPr="00272383">
        <w:rPr>
          <w:rStyle w:val="Hyperlink"/>
          <w:rFonts w:ascii="Arial Narrow" w:hAnsi="Arial Narrow" w:cs="Arial"/>
        </w:rPr>
        <w:t>Privacy Policy</w:t>
      </w:r>
    </w:hyperlink>
    <w:r w:rsidRPr="00272383">
      <w:rPr>
        <w:rFonts w:ascii="Arial Narrow" w:hAnsi="Arial Narrow" w:cs="Arial"/>
      </w:rPr>
      <w:t xml:space="preserve"> </w:t>
    </w:r>
    <w:r w:rsidRPr="00272383">
      <w:rPr>
        <w:rFonts w:ascii="Arial Narrow" w:hAnsi="Arial Narrow" w:cs="Arial"/>
        <w:color w:val="333333"/>
      </w:rPr>
      <w:t>and</w:t>
    </w:r>
    <w:r w:rsidRPr="00272383">
      <w:rPr>
        <w:rFonts w:ascii="Arial Narrow" w:hAnsi="Arial Narrow" w:cs="Arial"/>
      </w:rPr>
      <w:t xml:space="preserve"> </w:t>
    </w:r>
    <w:hyperlink r:id="rId2" w:tgtFrame="_blank" w:tooltip="http://www.aig.com/terms-of-use_3171_448885.html" w:history="1">
      <w:r w:rsidRPr="00272383">
        <w:rPr>
          <w:rStyle w:val="Hyperlink"/>
          <w:rFonts w:ascii="Arial Narrow" w:hAnsi="Arial Narrow" w:cs="Arial"/>
        </w:rPr>
        <w:t>Terms of Use</w:t>
      </w:r>
    </w:hyperlink>
    <w:r w:rsidRPr="00272383">
      <w:rPr>
        <w:rFonts w:ascii="Arial Narrow" w:hAnsi="Arial Narrow" w:cs="Arial"/>
      </w:rPr>
      <w:t xml:space="preserve"> </w:t>
    </w:r>
    <w:r w:rsidRPr="00272383">
      <w:rPr>
        <w:rFonts w:ascii="Arial Narrow" w:hAnsi="Arial Narrow" w:cs="Arial"/>
        <w:color w:val="333333"/>
      </w:rPr>
      <w:t xml:space="preserve">on </w:t>
    </w:r>
    <w:r w:rsidRPr="00272383">
      <w:rPr>
        <w:rFonts w:ascii="Arial Narrow" w:hAnsi="Arial Narrow" w:cs="Arial"/>
        <w:i/>
        <w:iCs/>
        <w:color w:val="333333"/>
      </w:rPr>
      <w:t>Contact</w:t>
    </w:r>
  </w:p>
  <w:p w14:paraId="7FAE4DE4" w14:textId="3D61F8BB" w:rsidR="005D3116" w:rsidRPr="00871599" w:rsidRDefault="00DE4B06" w:rsidP="00DE4B06">
    <w:pPr>
      <w:pStyle w:val="BodyTextIndent3"/>
      <w:pBdr>
        <w:left w:val="single" w:sz="8" w:space="18" w:color="auto"/>
      </w:pBdr>
      <w:ind w:left="0" w:right="-1260"/>
      <w:rPr>
        <w:rFonts w:ascii="Arial Narrow" w:hAnsi="Arial Narrow"/>
      </w:rPr>
    </w:pPr>
    <w:r w:rsidRPr="00871599">
      <w:rPr>
        <w:rFonts w:ascii="Arial Narrow" w:hAnsi="Arial Narrow"/>
      </w:rPr>
      <w:t xml:space="preserve">Copyright © </w:t>
    </w:r>
    <w:r>
      <w:rPr>
        <w:rFonts w:ascii="Arial Narrow" w:hAnsi="Arial Narrow"/>
      </w:rPr>
      <w:t>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E4DDF" w14:textId="77777777" w:rsidR="005D3116" w:rsidRDefault="005D3116">
      <w:r>
        <w:separator/>
      </w:r>
    </w:p>
  </w:footnote>
  <w:footnote w:type="continuationSeparator" w:id="0">
    <w:p w14:paraId="7FAE4DE0" w14:textId="77777777" w:rsidR="005D3116" w:rsidRDefault="005D3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37" w:type="pct"/>
      <w:tblInd w:w="-425" w:type="dxa"/>
      <w:tblCellMar>
        <w:top w:w="72" w:type="dxa"/>
        <w:left w:w="115" w:type="dxa"/>
        <w:bottom w:w="72" w:type="dxa"/>
        <w:right w:w="115" w:type="dxa"/>
      </w:tblCellMar>
      <w:tblLook w:val="04A0" w:firstRow="1" w:lastRow="0" w:firstColumn="1" w:lastColumn="0" w:noHBand="0" w:noVBand="1"/>
    </w:tblPr>
    <w:tblGrid>
      <w:gridCol w:w="5400"/>
      <w:gridCol w:w="5220"/>
    </w:tblGrid>
    <w:tr w:rsidR="003F0189" w14:paraId="65976E85" w14:textId="77777777" w:rsidTr="009152D6">
      <w:trPr>
        <w:trHeight w:val="288"/>
      </w:trPr>
      <w:tc>
        <w:tcPr>
          <w:tcW w:w="5400" w:type="dxa"/>
        </w:tcPr>
        <w:p w14:paraId="3E9AEF4C" w14:textId="0FA3DF09" w:rsidR="003F0189" w:rsidRPr="008B153A" w:rsidRDefault="003F0189" w:rsidP="0040631B">
          <w:pPr>
            <w:pStyle w:val="Header"/>
            <w:rPr>
              <w:rFonts w:ascii="Cambria" w:hAnsi="Cambria"/>
              <w:sz w:val="36"/>
              <w:szCs w:val="36"/>
            </w:rPr>
          </w:pPr>
          <w:r>
            <w:rPr>
              <w:noProof/>
            </w:rPr>
            <w:drawing>
              <wp:inline distT="0" distB="0" distL="0" distR="0" wp14:anchorId="5190E480" wp14:editId="0CAE23E6">
                <wp:extent cx="1352550" cy="733425"/>
                <wp:effectExtent l="0" t="0" r="0" b="9525"/>
                <wp:docPr id="7" name="Picture 7"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5220" w:type="dxa"/>
          <w:vAlign w:val="bottom"/>
        </w:tcPr>
        <w:p w14:paraId="58DB068F" w14:textId="1B6C68F6" w:rsidR="003F0189" w:rsidRPr="0040631B" w:rsidRDefault="003F0189" w:rsidP="0040631B">
          <w:pPr>
            <w:pStyle w:val="Header"/>
            <w:ind w:hanging="115"/>
            <w:jc w:val="right"/>
            <w:rPr>
              <w:rFonts w:ascii="AIG Futura" w:hAnsi="AIG Futura"/>
              <w:b/>
              <w:bCs/>
              <w:smallCaps/>
              <w:color w:val="00B0F0"/>
              <w:sz w:val="44"/>
              <w:szCs w:val="44"/>
            </w:rPr>
          </w:pPr>
          <w:r w:rsidRPr="009152D6">
            <w:rPr>
              <w:rFonts w:ascii="AIG Futura" w:hAnsi="AIG Futura"/>
              <w:b/>
              <w:bCs/>
              <w:smallCaps/>
              <w:sz w:val="44"/>
              <w:szCs w:val="44"/>
            </w:rPr>
            <w:t>Product Development</w:t>
          </w:r>
        </w:p>
      </w:tc>
    </w:tr>
  </w:tbl>
  <w:p w14:paraId="64B252E2" w14:textId="743555B5" w:rsidR="00803D6C" w:rsidRDefault="00803D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4A69"/>
    <w:multiLevelType w:val="hybridMultilevel"/>
    <w:tmpl w:val="D4FA160A"/>
    <w:lvl w:ilvl="0" w:tplc="EEFA7B88">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F56F48"/>
    <w:multiLevelType w:val="hybridMultilevel"/>
    <w:tmpl w:val="D114A676"/>
    <w:lvl w:ilvl="0" w:tplc="9E7C82E0">
      <w:start w:val="1"/>
      <w:numFmt w:val="decimal"/>
      <w:lvlText w:val="%1."/>
      <w:lvlJc w:val="left"/>
      <w:pPr>
        <w:tabs>
          <w:tab w:val="num" w:pos="720"/>
        </w:tabs>
        <w:ind w:left="720" w:hanging="360"/>
      </w:pPr>
    </w:lvl>
    <w:lvl w:ilvl="1" w:tplc="618219B6" w:tentative="1">
      <w:start w:val="1"/>
      <w:numFmt w:val="decimal"/>
      <w:lvlText w:val="%2."/>
      <w:lvlJc w:val="left"/>
      <w:pPr>
        <w:tabs>
          <w:tab w:val="num" w:pos="1440"/>
        </w:tabs>
        <w:ind w:left="1440" w:hanging="360"/>
      </w:pPr>
    </w:lvl>
    <w:lvl w:ilvl="2" w:tplc="E3DE7BF4" w:tentative="1">
      <w:start w:val="1"/>
      <w:numFmt w:val="decimal"/>
      <w:lvlText w:val="%3."/>
      <w:lvlJc w:val="left"/>
      <w:pPr>
        <w:tabs>
          <w:tab w:val="num" w:pos="2160"/>
        </w:tabs>
        <w:ind w:left="2160" w:hanging="360"/>
      </w:pPr>
    </w:lvl>
    <w:lvl w:ilvl="3" w:tplc="DB562C56" w:tentative="1">
      <w:start w:val="1"/>
      <w:numFmt w:val="decimal"/>
      <w:lvlText w:val="%4."/>
      <w:lvlJc w:val="left"/>
      <w:pPr>
        <w:tabs>
          <w:tab w:val="num" w:pos="2880"/>
        </w:tabs>
        <w:ind w:left="2880" w:hanging="360"/>
      </w:pPr>
    </w:lvl>
    <w:lvl w:ilvl="4" w:tplc="3F94617A" w:tentative="1">
      <w:start w:val="1"/>
      <w:numFmt w:val="decimal"/>
      <w:lvlText w:val="%5."/>
      <w:lvlJc w:val="left"/>
      <w:pPr>
        <w:tabs>
          <w:tab w:val="num" w:pos="3600"/>
        </w:tabs>
        <w:ind w:left="3600" w:hanging="360"/>
      </w:pPr>
    </w:lvl>
    <w:lvl w:ilvl="5" w:tplc="F7868408" w:tentative="1">
      <w:start w:val="1"/>
      <w:numFmt w:val="decimal"/>
      <w:lvlText w:val="%6."/>
      <w:lvlJc w:val="left"/>
      <w:pPr>
        <w:tabs>
          <w:tab w:val="num" w:pos="4320"/>
        </w:tabs>
        <w:ind w:left="4320" w:hanging="360"/>
      </w:pPr>
    </w:lvl>
    <w:lvl w:ilvl="6" w:tplc="A52E47A6" w:tentative="1">
      <w:start w:val="1"/>
      <w:numFmt w:val="decimal"/>
      <w:lvlText w:val="%7."/>
      <w:lvlJc w:val="left"/>
      <w:pPr>
        <w:tabs>
          <w:tab w:val="num" w:pos="5040"/>
        </w:tabs>
        <w:ind w:left="5040" w:hanging="360"/>
      </w:pPr>
    </w:lvl>
    <w:lvl w:ilvl="7" w:tplc="09742544" w:tentative="1">
      <w:start w:val="1"/>
      <w:numFmt w:val="decimal"/>
      <w:lvlText w:val="%8."/>
      <w:lvlJc w:val="left"/>
      <w:pPr>
        <w:tabs>
          <w:tab w:val="num" w:pos="5760"/>
        </w:tabs>
        <w:ind w:left="5760" w:hanging="360"/>
      </w:pPr>
    </w:lvl>
    <w:lvl w:ilvl="8" w:tplc="EE18BA9E" w:tentative="1">
      <w:start w:val="1"/>
      <w:numFmt w:val="decimal"/>
      <w:lvlText w:val="%9."/>
      <w:lvlJc w:val="left"/>
      <w:pPr>
        <w:tabs>
          <w:tab w:val="num" w:pos="6480"/>
        </w:tabs>
        <w:ind w:left="6480" w:hanging="360"/>
      </w:pPr>
    </w:lvl>
  </w:abstractNum>
  <w:abstractNum w:abstractNumId="3">
    <w:nsid w:val="10997DAD"/>
    <w:multiLevelType w:val="hybridMultilevel"/>
    <w:tmpl w:val="6A8CD3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BB5186"/>
    <w:multiLevelType w:val="hybridMultilevel"/>
    <w:tmpl w:val="8F449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A314EC"/>
    <w:multiLevelType w:val="hybridMultilevel"/>
    <w:tmpl w:val="B5D41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3A75448"/>
    <w:multiLevelType w:val="hybridMultilevel"/>
    <w:tmpl w:val="200E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DF2E3C"/>
    <w:multiLevelType w:val="hybridMultilevel"/>
    <w:tmpl w:val="EAC4E1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08C7861"/>
    <w:multiLevelType w:val="hybridMultilevel"/>
    <w:tmpl w:val="EAB23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E334A2B"/>
    <w:multiLevelType w:val="hybridMultilevel"/>
    <w:tmpl w:val="48C083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63A3F9E"/>
    <w:multiLevelType w:val="hybridMultilevel"/>
    <w:tmpl w:val="908E3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1309A8"/>
    <w:multiLevelType w:val="hybridMultilevel"/>
    <w:tmpl w:val="3DA8B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BDD08F8"/>
    <w:multiLevelType w:val="hybridMultilevel"/>
    <w:tmpl w:val="554239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9314B1E"/>
    <w:multiLevelType w:val="hybridMultilevel"/>
    <w:tmpl w:val="29D41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4855BFD"/>
    <w:multiLevelType w:val="hybridMultilevel"/>
    <w:tmpl w:val="A69A0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CC4394B"/>
    <w:multiLevelType w:val="hybridMultilevel"/>
    <w:tmpl w:val="6A1AE726"/>
    <w:lvl w:ilvl="0" w:tplc="04090001">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DB7BAC"/>
    <w:multiLevelType w:val="hybridMultilevel"/>
    <w:tmpl w:val="76724D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4"/>
  </w:num>
  <w:num w:numId="3">
    <w:abstractNumId w:val="4"/>
  </w:num>
  <w:num w:numId="4">
    <w:abstractNumId w:val="12"/>
  </w:num>
  <w:num w:numId="5">
    <w:abstractNumId w:val="8"/>
  </w:num>
  <w:num w:numId="6">
    <w:abstractNumId w:val="7"/>
  </w:num>
  <w:num w:numId="7">
    <w:abstractNumId w:val="1"/>
  </w:num>
  <w:num w:numId="8">
    <w:abstractNumId w:val="25"/>
  </w:num>
  <w:num w:numId="9">
    <w:abstractNumId w:val="20"/>
  </w:num>
  <w:num w:numId="10">
    <w:abstractNumId w:val="18"/>
  </w:num>
  <w:num w:numId="11">
    <w:abstractNumId w:val="2"/>
  </w:num>
  <w:num w:numId="12">
    <w:abstractNumId w:val="24"/>
  </w:num>
  <w:num w:numId="13">
    <w:abstractNumId w:val="17"/>
  </w:num>
  <w:num w:numId="14">
    <w:abstractNumId w:val="3"/>
  </w:num>
  <w:num w:numId="15">
    <w:abstractNumId w:val="16"/>
  </w:num>
  <w:num w:numId="16">
    <w:abstractNumId w:val="11"/>
  </w:num>
  <w:num w:numId="17">
    <w:abstractNumId w:val="15"/>
  </w:num>
  <w:num w:numId="18">
    <w:abstractNumId w:val="13"/>
  </w:num>
  <w:num w:numId="19">
    <w:abstractNumId w:val="10"/>
  </w:num>
  <w:num w:numId="20">
    <w:abstractNumId w:val="23"/>
  </w:num>
  <w:num w:numId="21">
    <w:abstractNumId w:val="0"/>
  </w:num>
  <w:num w:numId="22">
    <w:abstractNumId w:val="19"/>
  </w:num>
  <w:num w:numId="23">
    <w:abstractNumId w:val="5"/>
  </w:num>
  <w:num w:numId="24">
    <w:abstractNumId w:val="6"/>
  </w:num>
  <w:num w:numId="25">
    <w:abstractNumId w:val="9"/>
  </w:num>
  <w:num w:numId="26">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0B81"/>
    <w:rsid w:val="00001352"/>
    <w:rsid w:val="00001BBD"/>
    <w:rsid w:val="00001EAA"/>
    <w:rsid w:val="00002F8E"/>
    <w:rsid w:val="0000311B"/>
    <w:rsid w:val="0000504F"/>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20CAF"/>
    <w:rsid w:val="00020D73"/>
    <w:rsid w:val="000215BE"/>
    <w:rsid w:val="0002174B"/>
    <w:rsid w:val="00022157"/>
    <w:rsid w:val="000226AE"/>
    <w:rsid w:val="000228D6"/>
    <w:rsid w:val="0002390E"/>
    <w:rsid w:val="00023921"/>
    <w:rsid w:val="000247C9"/>
    <w:rsid w:val="00026353"/>
    <w:rsid w:val="00027084"/>
    <w:rsid w:val="00027251"/>
    <w:rsid w:val="00030E31"/>
    <w:rsid w:val="000311E5"/>
    <w:rsid w:val="00031A6E"/>
    <w:rsid w:val="00031E06"/>
    <w:rsid w:val="00031E2E"/>
    <w:rsid w:val="00031E85"/>
    <w:rsid w:val="0003229B"/>
    <w:rsid w:val="000322E9"/>
    <w:rsid w:val="000325BF"/>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3AE3"/>
    <w:rsid w:val="00043CE8"/>
    <w:rsid w:val="00043F58"/>
    <w:rsid w:val="00044392"/>
    <w:rsid w:val="0004454B"/>
    <w:rsid w:val="00044A21"/>
    <w:rsid w:val="00046087"/>
    <w:rsid w:val="000476D5"/>
    <w:rsid w:val="000478A1"/>
    <w:rsid w:val="00047E86"/>
    <w:rsid w:val="00050020"/>
    <w:rsid w:val="000506BB"/>
    <w:rsid w:val="00050809"/>
    <w:rsid w:val="000515D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30D"/>
    <w:rsid w:val="00061AED"/>
    <w:rsid w:val="00061C44"/>
    <w:rsid w:val="00062211"/>
    <w:rsid w:val="00062FA5"/>
    <w:rsid w:val="00063748"/>
    <w:rsid w:val="000644ED"/>
    <w:rsid w:val="00065296"/>
    <w:rsid w:val="000652EF"/>
    <w:rsid w:val="00065992"/>
    <w:rsid w:val="00066374"/>
    <w:rsid w:val="000663EB"/>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7447"/>
    <w:rsid w:val="0007745D"/>
    <w:rsid w:val="00077675"/>
    <w:rsid w:val="00077A27"/>
    <w:rsid w:val="00077B5A"/>
    <w:rsid w:val="00077B78"/>
    <w:rsid w:val="00080498"/>
    <w:rsid w:val="00081807"/>
    <w:rsid w:val="0008186F"/>
    <w:rsid w:val="00081AAA"/>
    <w:rsid w:val="00081B0C"/>
    <w:rsid w:val="00081F76"/>
    <w:rsid w:val="000824F9"/>
    <w:rsid w:val="00082682"/>
    <w:rsid w:val="000829C4"/>
    <w:rsid w:val="00083469"/>
    <w:rsid w:val="000834CB"/>
    <w:rsid w:val="000838EF"/>
    <w:rsid w:val="0008481C"/>
    <w:rsid w:val="000851DD"/>
    <w:rsid w:val="00085D83"/>
    <w:rsid w:val="00085E1E"/>
    <w:rsid w:val="000866F5"/>
    <w:rsid w:val="00087006"/>
    <w:rsid w:val="00087059"/>
    <w:rsid w:val="00087339"/>
    <w:rsid w:val="00087428"/>
    <w:rsid w:val="000874F2"/>
    <w:rsid w:val="000876A0"/>
    <w:rsid w:val="000878E3"/>
    <w:rsid w:val="00087961"/>
    <w:rsid w:val="00087A29"/>
    <w:rsid w:val="00087AEC"/>
    <w:rsid w:val="00090ED8"/>
    <w:rsid w:val="00090F1A"/>
    <w:rsid w:val="0009126E"/>
    <w:rsid w:val="000917EF"/>
    <w:rsid w:val="00091960"/>
    <w:rsid w:val="00091D6B"/>
    <w:rsid w:val="00091EE4"/>
    <w:rsid w:val="000922ED"/>
    <w:rsid w:val="0009253F"/>
    <w:rsid w:val="00092649"/>
    <w:rsid w:val="00092B5D"/>
    <w:rsid w:val="00093122"/>
    <w:rsid w:val="0009358F"/>
    <w:rsid w:val="00093C96"/>
    <w:rsid w:val="0009489D"/>
    <w:rsid w:val="00094A32"/>
    <w:rsid w:val="00094DE9"/>
    <w:rsid w:val="000951FF"/>
    <w:rsid w:val="0009550A"/>
    <w:rsid w:val="00095593"/>
    <w:rsid w:val="00095A3B"/>
    <w:rsid w:val="00096277"/>
    <w:rsid w:val="0009649E"/>
    <w:rsid w:val="00096646"/>
    <w:rsid w:val="000A00DD"/>
    <w:rsid w:val="000A03C0"/>
    <w:rsid w:val="000A0591"/>
    <w:rsid w:val="000A05F6"/>
    <w:rsid w:val="000A071E"/>
    <w:rsid w:val="000A152F"/>
    <w:rsid w:val="000A1F47"/>
    <w:rsid w:val="000A2AAC"/>
    <w:rsid w:val="000A2BD0"/>
    <w:rsid w:val="000A307B"/>
    <w:rsid w:val="000A505F"/>
    <w:rsid w:val="000A6282"/>
    <w:rsid w:val="000A6CB4"/>
    <w:rsid w:val="000A799E"/>
    <w:rsid w:val="000A7BD9"/>
    <w:rsid w:val="000B0A21"/>
    <w:rsid w:val="000B0BA0"/>
    <w:rsid w:val="000B154C"/>
    <w:rsid w:val="000B1974"/>
    <w:rsid w:val="000B19CF"/>
    <w:rsid w:val="000B19FB"/>
    <w:rsid w:val="000B1A6D"/>
    <w:rsid w:val="000B1AC4"/>
    <w:rsid w:val="000B1D83"/>
    <w:rsid w:val="000B2CCC"/>
    <w:rsid w:val="000B2E4F"/>
    <w:rsid w:val="000B306F"/>
    <w:rsid w:val="000B3430"/>
    <w:rsid w:val="000B356D"/>
    <w:rsid w:val="000B388F"/>
    <w:rsid w:val="000B3933"/>
    <w:rsid w:val="000B3B88"/>
    <w:rsid w:val="000B4174"/>
    <w:rsid w:val="000B420D"/>
    <w:rsid w:val="000B44CA"/>
    <w:rsid w:val="000B4668"/>
    <w:rsid w:val="000B6363"/>
    <w:rsid w:val="000B6566"/>
    <w:rsid w:val="000B687F"/>
    <w:rsid w:val="000B6A81"/>
    <w:rsid w:val="000B7091"/>
    <w:rsid w:val="000B70EF"/>
    <w:rsid w:val="000B7C59"/>
    <w:rsid w:val="000C01B4"/>
    <w:rsid w:val="000C070D"/>
    <w:rsid w:val="000C0FD4"/>
    <w:rsid w:val="000C116B"/>
    <w:rsid w:val="000C1244"/>
    <w:rsid w:val="000C1400"/>
    <w:rsid w:val="000C2E9F"/>
    <w:rsid w:val="000C34C2"/>
    <w:rsid w:val="000C3BE4"/>
    <w:rsid w:val="000C447C"/>
    <w:rsid w:val="000C5D56"/>
    <w:rsid w:val="000C6CD6"/>
    <w:rsid w:val="000C6EB6"/>
    <w:rsid w:val="000C7855"/>
    <w:rsid w:val="000C7D18"/>
    <w:rsid w:val="000D034D"/>
    <w:rsid w:val="000D0464"/>
    <w:rsid w:val="000D05DF"/>
    <w:rsid w:val="000D17BE"/>
    <w:rsid w:val="000D1F6B"/>
    <w:rsid w:val="000D23EA"/>
    <w:rsid w:val="000D2BBD"/>
    <w:rsid w:val="000D2EC7"/>
    <w:rsid w:val="000D3AA4"/>
    <w:rsid w:val="000D427C"/>
    <w:rsid w:val="000D4910"/>
    <w:rsid w:val="000D4FB3"/>
    <w:rsid w:val="000D506A"/>
    <w:rsid w:val="000D53D5"/>
    <w:rsid w:val="000D5C2C"/>
    <w:rsid w:val="000D5C4E"/>
    <w:rsid w:val="000D5E29"/>
    <w:rsid w:val="000D6899"/>
    <w:rsid w:val="000D752D"/>
    <w:rsid w:val="000D7D21"/>
    <w:rsid w:val="000E0341"/>
    <w:rsid w:val="000E0618"/>
    <w:rsid w:val="000E19D2"/>
    <w:rsid w:val="000E2036"/>
    <w:rsid w:val="000E26FD"/>
    <w:rsid w:val="000E3BA3"/>
    <w:rsid w:val="000E4826"/>
    <w:rsid w:val="000E4835"/>
    <w:rsid w:val="000E49A1"/>
    <w:rsid w:val="000E5861"/>
    <w:rsid w:val="000E5A2A"/>
    <w:rsid w:val="000E6407"/>
    <w:rsid w:val="000E7329"/>
    <w:rsid w:val="000F1834"/>
    <w:rsid w:val="000F2403"/>
    <w:rsid w:val="000F25D3"/>
    <w:rsid w:val="000F298E"/>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0A5"/>
    <w:rsid w:val="001075C8"/>
    <w:rsid w:val="0011053D"/>
    <w:rsid w:val="001105E3"/>
    <w:rsid w:val="00111677"/>
    <w:rsid w:val="00112126"/>
    <w:rsid w:val="00113C52"/>
    <w:rsid w:val="00114D69"/>
    <w:rsid w:val="001150A3"/>
    <w:rsid w:val="00115228"/>
    <w:rsid w:val="001168D1"/>
    <w:rsid w:val="00116995"/>
    <w:rsid w:val="001169B8"/>
    <w:rsid w:val="0011730B"/>
    <w:rsid w:val="00117765"/>
    <w:rsid w:val="001178C9"/>
    <w:rsid w:val="00117DC7"/>
    <w:rsid w:val="0012024C"/>
    <w:rsid w:val="001204B9"/>
    <w:rsid w:val="00120A37"/>
    <w:rsid w:val="00120FFD"/>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74B"/>
    <w:rsid w:val="00127C60"/>
    <w:rsid w:val="00127FCC"/>
    <w:rsid w:val="001303BB"/>
    <w:rsid w:val="00130EBF"/>
    <w:rsid w:val="00131280"/>
    <w:rsid w:val="0013159C"/>
    <w:rsid w:val="00131B3D"/>
    <w:rsid w:val="00131DF8"/>
    <w:rsid w:val="00132302"/>
    <w:rsid w:val="00132598"/>
    <w:rsid w:val="00132642"/>
    <w:rsid w:val="00132B6C"/>
    <w:rsid w:val="00132EAA"/>
    <w:rsid w:val="001334B9"/>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2A6"/>
    <w:rsid w:val="00143339"/>
    <w:rsid w:val="001439C5"/>
    <w:rsid w:val="001439E0"/>
    <w:rsid w:val="00143E9F"/>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181"/>
    <w:rsid w:val="001544A9"/>
    <w:rsid w:val="0015523A"/>
    <w:rsid w:val="00155527"/>
    <w:rsid w:val="00155849"/>
    <w:rsid w:val="00155925"/>
    <w:rsid w:val="00155E6D"/>
    <w:rsid w:val="001568B2"/>
    <w:rsid w:val="00156BE3"/>
    <w:rsid w:val="00156D1C"/>
    <w:rsid w:val="001578C5"/>
    <w:rsid w:val="00157948"/>
    <w:rsid w:val="00157B10"/>
    <w:rsid w:val="00157CB2"/>
    <w:rsid w:val="0016082D"/>
    <w:rsid w:val="00160BB1"/>
    <w:rsid w:val="00161309"/>
    <w:rsid w:val="001619B6"/>
    <w:rsid w:val="00161AB9"/>
    <w:rsid w:val="00161ABD"/>
    <w:rsid w:val="00161B02"/>
    <w:rsid w:val="00161E74"/>
    <w:rsid w:val="001626AA"/>
    <w:rsid w:val="0016279A"/>
    <w:rsid w:val="00162E7E"/>
    <w:rsid w:val="00163283"/>
    <w:rsid w:val="001641CC"/>
    <w:rsid w:val="00164962"/>
    <w:rsid w:val="00164C30"/>
    <w:rsid w:val="00165B43"/>
    <w:rsid w:val="00165BD7"/>
    <w:rsid w:val="001664F9"/>
    <w:rsid w:val="00166771"/>
    <w:rsid w:val="00166AF0"/>
    <w:rsid w:val="00167149"/>
    <w:rsid w:val="001672AD"/>
    <w:rsid w:val="00170039"/>
    <w:rsid w:val="00170246"/>
    <w:rsid w:val="001710F1"/>
    <w:rsid w:val="00171239"/>
    <w:rsid w:val="00171D79"/>
    <w:rsid w:val="0017243C"/>
    <w:rsid w:val="00172745"/>
    <w:rsid w:val="0017305E"/>
    <w:rsid w:val="00173BA4"/>
    <w:rsid w:val="00173F7B"/>
    <w:rsid w:val="00173F86"/>
    <w:rsid w:val="00173FEE"/>
    <w:rsid w:val="0017435D"/>
    <w:rsid w:val="0017436C"/>
    <w:rsid w:val="001743D9"/>
    <w:rsid w:val="0017454D"/>
    <w:rsid w:val="00174F9B"/>
    <w:rsid w:val="0017504D"/>
    <w:rsid w:val="00175C55"/>
    <w:rsid w:val="00175E5D"/>
    <w:rsid w:val="00176238"/>
    <w:rsid w:val="00176459"/>
    <w:rsid w:val="00176614"/>
    <w:rsid w:val="00176BBA"/>
    <w:rsid w:val="001772EA"/>
    <w:rsid w:val="0017791F"/>
    <w:rsid w:val="00180CBB"/>
    <w:rsid w:val="00180EF6"/>
    <w:rsid w:val="00181222"/>
    <w:rsid w:val="00181381"/>
    <w:rsid w:val="001813E2"/>
    <w:rsid w:val="00181751"/>
    <w:rsid w:val="00182CBF"/>
    <w:rsid w:val="00182D55"/>
    <w:rsid w:val="0018345A"/>
    <w:rsid w:val="001836F9"/>
    <w:rsid w:val="00183768"/>
    <w:rsid w:val="00183A07"/>
    <w:rsid w:val="00183B32"/>
    <w:rsid w:val="00183DA1"/>
    <w:rsid w:val="0018454D"/>
    <w:rsid w:val="0018473A"/>
    <w:rsid w:val="00184A0E"/>
    <w:rsid w:val="00184CFE"/>
    <w:rsid w:val="00185209"/>
    <w:rsid w:val="001852B7"/>
    <w:rsid w:val="00185A65"/>
    <w:rsid w:val="00186189"/>
    <w:rsid w:val="001867CB"/>
    <w:rsid w:val="0018689C"/>
    <w:rsid w:val="00187374"/>
    <w:rsid w:val="00190045"/>
    <w:rsid w:val="00190370"/>
    <w:rsid w:val="0019054F"/>
    <w:rsid w:val="00190DDC"/>
    <w:rsid w:val="00190E46"/>
    <w:rsid w:val="00190EF7"/>
    <w:rsid w:val="00191BAC"/>
    <w:rsid w:val="001925C4"/>
    <w:rsid w:val="0019310C"/>
    <w:rsid w:val="00193516"/>
    <w:rsid w:val="00193FF1"/>
    <w:rsid w:val="00194836"/>
    <w:rsid w:val="00194C80"/>
    <w:rsid w:val="00194E5A"/>
    <w:rsid w:val="00194E92"/>
    <w:rsid w:val="001958DB"/>
    <w:rsid w:val="001966FA"/>
    <w:rsid w:val="001971A5"/>
    <w:rsid w:val="001971D5"/>
    <w:rsid w:val="00197A56"/>
    <w:rsid w:val="00197DAB"/>
    <w:rsid w:val="001A06AE"/>
    <w:rsid w:val="001A06E9"/>
    <w:rsid w:val="001A0D28"/>
    <w:rsid w:val="001A1035"/>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6A3"/>
    <w:rsid w:val="001A799F"/>
    <w:rsid w:val="001B012F"/>
    <w:rsid w:val="001B02E6"/>
    <w:rsid w:val="001B076D"/>
    <w:rsid w:val="001B112C"/>
    <w:rsid w:val="001B1745"/>
    <w:rsid w:val="001B2697"/>
    <w:rsid w:val="001B274E"/>
    <w:rsid w:val="001B2F92"/>
    <w:rsid w:val="001B31FB"/>
    <w:rsid w:val="001B3B2C"/>
    <w:rsid w:val="001B3C3F"/>
    <w:rsid w:val="001B4672"/>
    <w:rsid w:val="001B4F99"/>
    <w:rsid w:val="001B50D8"/>
    <w:rsid w:val="001B562D"/>
    <w:rsid w:val="001B6B2C"/>
    <w:rsid w:val="001B7592"/>
    <w:rsid w:val="001C0278"/>
    <w:rsid w:val="001C1344"/>
    <w:rsid w:val="001C1F66"/>
    <w:rsid w:val="001C28F0"/>
    <w:rsid w:val="001C35AF"/>
    <w:rsid w:val="001C3638"/>
    <w:rsid w:val="001C3AAC"/>
    <w:rsid w:val="001C3C13"/>
    <w:rsid w:val="001C4A29"/>
    <w:rsid w:val="001C4B8D"/>
    <w:rsid w:val="001C5F65"/>
    <w:rsid w:val="001C675C"/>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CEC"/>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41B"/>
    <w:rsid w:val="001E5972"/>
    <w:rsid w:val="001E59EC"/>
    <w:rsid w:val="001E5B10"/>
    <w:rsid w:val="001E609C"/>
    <w:rsid w:val="001E60A2"/>
    <w:rsid w:val="001E6CF2"/>
    <w:rsid w:val="001E6E37"/>
    <w:rsid w:val="001E760A"/>
    <w:rsid w:val="001E7A09"/>
    <w:rsid w:val="001E7D8B"/>
    <w:rsid w:val="001E7F4A"/>
    <w:rsid w:val="001E7F95"/>
    <w:rsid w:val="001F017C"/>
    <w:rsid w:val="001F054D"/>
    <w:rsid w:val="001F0D4C"/>
    <w:rsid w:val="001F0DEE"/>
    <w:rsid w:val="001F0E04"/>
    <w:rsid w:val="001F106F"/>
    <w:rsid w:val="001F15C2"/>
    <w:rsid w:val="001F2084"/>
    <w:rsid w:val="001F3620"/>
    <w:rsid w:val="001F4332"/>
    <w:rsid w:val="001F4ED9"/>
    <w:rsid w:val="001F5457"/>
    <w:rsid w:val="001F608C"/>
    <w:rsid w:val="001F69BF"/>
    <w:rsid w:val="001F7DEB"/>
    <w:rsid w:val="002009A6"/>
    <w:rsid w:val="002011A5"/>
    <w:rsid w:val="00201804"/>
    <w:rsid w:val="00201844"/>
    <w:rsid w:val="00201D88"/>
    <w:rsid w:val="00201E72"/>
    <w:rsid w:val="00202069"/>
    <w:rsid w:val="00202677"/>
    <w:rsid w:val="002032B9"/>
    <w:rsid w:val="002034DE"/>
    <w:rsid w:val="00203577"/>
    <w:rsid w:val="00203F47"/>
    <w:rsid w:val="00204198"/>
    <w:rsid w:val="00205B6D"/>
    <w:rsid w:val="00206743"/>
    <w:rsid w:val="002068C3"/>
    <w:rsid w:val="002074FF"/>
    <w:rsid w:val="00210288"/>
    <w:rsid w:val="0021173B"/>
    <w:rsid w:val="00212508"/>
    <w:rsid w:val="00212FEE"/>
    <w:rsid w:val="00213253"/>
    <w:rsid w:val="002138AE"/>
    <w:rsid w:val="00214595"/>
    <w:rsid w:val="00214681"/>
    <w:rsid w:val="00214715"/>
    <w:rsid w:val="00214F96"/>
    <w:rsid w:val="0021532C"/>
    <w:rsid w:val="00215E81"/>
    <w:rsid w:val="0021611D"/>
    <w:rsid w:val="00216966"/>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234C"/>
    <w:rsid w:val="00223495"/>
    <w:rsid w:val="00223848"/>
    <w:rsid w:val="00224E2E"/>
    <w:rsid w:val="00225756"/>
    <w:rsid w:val="00225A2F"/>
    <w:rsid w:val="002264D3"/>
    <w:rsid w:val="00226987"/>
    <w:rsid w:val="00226AB0"/>
    <w:rsid w:val="00226D7C"/>
    <w:rsid w:val="0022717C"/>
    <w:rsid w:val="00227C29"/>
    <w:rsid w:val="00227CB1"/>
    <w:rsid w:val="00230CA2"/>
    <w:rsid w:val="00230D90"/>
    <w:rsid w:val="00231596"/>
    <w:rsid w:val="002317A6"/>
    <w:rsid w:val="00232AFC"/>
    <w:rsid w:val="00232E62"/>
    <w:rsid w:val="00233392"/>
    <w:rsid w:val="002338DF"/>
    <w:rsid w:val="00233F7C"/>
    <w:rsid w:val="0023456E"/>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21C7"/>
    <w:rsid w:val="002422F9"/>
    <w:rsid w:val="00243E14"/>
    <w:rsid w:val="00243EB7"/>
    <w:rsid w:val="002452F0"/>
    <w:rsid w:val="00245511"/>
    <w:rsid w:val="0024696C"/>
    <w:rsid w:val="002471C9"/>
    <w:rsid w:val="0025006B"/>
    <w:rsid w:val="0025007B"/>
    <w:rsid w:val="00250383"/>
    <w:rsid w:val="00250D18"/>
    <w:rsid w:val="00250E60"/>
    <w:rsid w:val="00251B16"/>
    <w:rsid w:val="00251C8B"/>
    <w:rsid w:val="00252D71"/>
    <w:rsid w:val="002530AB"/>
    <w:rsid w:val="00253A7C"/>
    <w:rsid w:val="00253AAC"/>
    <w:rsid w:val="00253F5E"/>
    <w:rsid w:val="0025447B"/>
    <w:rsid w:val="00254729"/>
    <w:rsid w:val="00255682"/>
    <w:rsid w:val="00255869"/>
    <w:rsid w:val="00255B52"/>
    <w:rsid w:val="00255D9E"/>
    <w:rsid w:val="002575C9"/>
    <w:rsid w:val="00257A4E"/>
    <w:rsid w:val="002601DB"/>
    <w:rsid w:val="00261206"/>
    <w:rsid w:val="00261779"/>
    <w:rsid w:val="00261D32"/>
    <w:rsid w:val="0026331B"/>
    <w:rsid w:val="00263B88"/>
    <w:rsid w:val="00263EB0"/>
    <w:rsid w:val="002649B9"/>
    <w:rsid w:val="00265733"/>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B1E"/>
    <w:rsid w:val="00273C9F"/>
    <w:rsid w:val="00274AD4"/>
    <w:rsid w:val="00275458"/>
    <w:rsid w:val="00275CD6"/>
    <w:rsid w:val="002760D8"/>
    <w:rsid w:val="00276124"/>
    <w:rsid w:val="00276BC5"/>
    <w:rsid w:val="00277220"/>
    <w:rsid w:val="0027735D"/>
    <w:rsid w:val="002802E5"/>
    <w:rsid w:val="002819AE"/>
    <w:rsid w:val="00281BDC"/>
    <w:rsid w:val="00281C06"/>
    <w:rsid w:val="002823A8"/>
    <w:rsid w:val="0028353E"/>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8AD"/>
    <w:rsid w:val="00290F59"/>
    <w:rsid w:val="00291150"/>
    <w:rsid w:val="002919AF"/>
    <w:rsid w:val="00292701"/>
    <w:rsid w:val="0029393A"/>
    <w:rsid w:val="00293FFD"/>
    <w:rsid w:val="00294BA8"/>
    <w:rsid w:val="00294DC6"/>
    <w:rsid w:val="002956DC"/>
    <w:rsid w:val="00295A3F"/>
    <w:rsid w:val="00295FCE"/>
    <w:rsid w:val="00296D63"/>
    <w:rsid w:val="00297691"/>
    <w:rsid w:val="002A055B"/>
    <w:rsid w:val="002A17DF"/>
    <w:rsid w:val="002A18F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64F"/>
    <w:rsid w:val="002B47A2"/>
    <w:rsid w:val="002B47C2"/>
    <w:rsid w:val="002B54EA"/>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3A46"/>
    <w:rsid w:val="002C4542"/>
    <w:rsid w:val="002C4619"/>
    <w:rsid w:val="002C4C03"/>
    <w:rsid w:val="002C5EC8"/>
    <w:rsid w:val="002C687C"/>
    <w:rsid w:val="002C708F"/>
    <w:rsid w:val="002C77B7"/>
    <w:rsid w:val="002C7B59"/>
    <w:rsid w:val="002C7DF5"/>
    <w:rsid w:val="002D04DD"/>
    <w:rsid w:val="002D0B18"/>
    <w:rsid w:val="002D1795"/>
    <w:rsid w:val="002D1805"/>
    <w:rsid w:val="002D1D2F"/>
    <w:rsid w:val="002D259E"/>
    <w:rsid w:val="002D2816"/>
    <w:rsid w:val="002D2C9E"/>
    <w:rsid w:val="002D30F1"/>
    <w:rsid w:val="002D3285"/>
    <w:rsid w:val="002D34D4"/>
    <w:rsid w:val="002D3922"/>
    <w:rsid w:val="002D3C3C"/>
    <w:rsid w:val="002D5052"/>
    <w:rsid w:val="002D5B6F"/>
    <w:rsid w:val="002D6987"/>
    <w:rsid w:val="002D6B86"/>
    <w:rsid w:val="002D71B1"/>
    <w:rsid w:val="002D75D2"/>
    <w:rsid w:val="002E0027"/>
    <w:rsid w:val="002E0531"/>
    <w:rsid w:val="002E0CF8"/>
    <w:rsid w:val="002E0DFB"/>
    <w:rsid w:val="002E12A7"/>
    <w:rsid w:val="002E1798"/>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0DBB"/>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46A"/>
    <w:rsid w:val="003055C3"/>
    <w:rsid w:val="003056BC"/>
    <w:rsid w:val="003057CA"/>
    <w:rsid w:val="00305FB9"/>
    <w:rsid w:val="00310A2C"/>
    <w:rsid w:val="00310ACC"/>
    <w:rsid w:val="00310CEF"/>
    <w:rsid w:val="003116B2"/>
    <w:rsid w:val="00311A93"/>
    <w:rsid w:val="003123BD"/>
    <w:rsid w:val="00312C99"/>
    <w:rsid w:val="00312FB6"/>
    <w:rsid w:val="003136E5"/>
    <w:rsid w:val="00313701"/>
    <w:rsid w:val="00313AD5"/>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23B2"/>
    <w:rsid w:val="00322486"/>
    <w:rsid w:val="0032284F"/>
    <w:rsid w:val="00323AF3"/>
    <w:rsid w:val="00323DF6"/>
    <w:rsid w:val="003240A1"/>
    <w:rsid w:val="00324F08"/>
    <w:rsid w:val="00324F1B"/>
    <w:rsid w:val="003253FA"/>
    <w:rsid w:val="00325714"/>
    <w:rsid w:val="003258B1"/>
    <w:rsid w:val="00326163"/>
    <w:rsid w:val="003263D2"/>
    <w:rsid w:val="00326A22"/>
    <w:rsid w:val="00326F39"/>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507E"/>
    <w:rsid w:val="00335097"/>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3F41"/>
    <w:rsid w:val="003443A9"/>
    <w:rsid w:val="003443B4"/>
    <w:rsid w:val="0034452A"/>
    <w:rsid w:val="00344FBD"/>
    <w:rsid w:val="0034562B"/>
    <w:rsid w:val="0034645B"/>
    <w:rsid w:val="00346707"/>
    <w:rsid w:val="00347189"/>
    <w:rsid w:val="003476ED"/>
    <w:rsid w:val="00347858"/>
    <w:rsid w:val="003500C3"/>
    <w:rsid w:val="0035043D"/>
    <w:rsid w:val="0035052A"/>
    <w:rsid w:val="00350880"/>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957"/>
    <w:rsid w:val="00356F98"/>
    <w:rsid w:val="003575BA"/>
    <w:rsid w:val="00360811"/>
    <w:rsid w:val="0036105C"/>
    <w:rsid w:val="00361E9A"/>
    <w:rsid w:val="0036393C"/>
    <w:rsid w:val="00366377"/>
    <w:rsid w:val="00366435"/>
    <w:rsid w:val="00366769"/>
    <w:rsid w:val="00366F30"/>
    <w:rsid w:val="003673E8"/>
    <w:rsid w:val="003675C3"/>
    <w:rsid w:val="00367E7B"/>
    <w:rsid w:val="003700EA"/>
    <w:rsid w:val="003705DE"/>
    <w:rsid w:val="0037090A"/>
    <w:rsid w:val="0037099F"/>
    <w:rsid w:val="00370A55"/>
    <w:rsid w:val="003713AF"/>
    <w:rsid w:val="00371D38"/>
    <w:rsid w:val="003724EC"/>
    <w:rsid w:val="003731DC"/>
    <w:rsid w:val="0037452B"/>
    <w:rsid w:val="00374DE8"/>
    <w:rsid w:val="003755B3"/>
    <w:rsid w:val="00375F36"/>
    <w:rsid w:val="00376E5F"/>
    <w:rsid w:val="00376EDD"/>
    <w:rsid w:val="00377344"/>
    <w:rsid w:val="00377417"/>
    <w:rsid w:val="00377522"/>
    <w:rsid w:val="00377D00"/>
    <w:rsid w:val="00380B9F"/>
    <w:rsid w:val="003816CC"/>
    <w:rsid w:val="003818CA"/>
    <w:rsid w:val="003822EA"/>
    <w:rsid w:val="00382779"/>
    <w:rsid w:val="0038384B"/>
    <w:rsid w:val="00383C8A"/>
    <w:rsid w:val="00383EF2"/>
    <w:rsid w:val="003848C8"/>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3C3A"/>
    <w:rsid w:val="003948B6"/>
    <w:rsid w:val="00394967"/>
    <w:rsid w:val="00395AB4"/>
    <w:rsid w:val="00395D93"/>
    <w:rsid w:val="0039609D"/>
    <w:rsid w:val="00396F82"/>
    <w:rsid w:val="00397B4B"/>
    <w:rsid w:val="00397E43"/>
    <w:rsid w:val="003A1467"/>
    <w:rsid w:val="003A1C30"/>
    <w:rsid w:val="003A2F02"/>
    <w:rsid w:val="003A38B3"/>
    <w:rsid w:val="003A3BD2"/>
    <w:rsid w:val="003A3CE5"/>
    <w:rsid w:val="003A402A"/>
    <w:rsid w:val="003A47DD"/>
    <w:rsid w:val="003A4E70"/>
    <w:rsid w:val="003A5410"/>
    <w:rsid w:val="003A580E"/>
    <w:rsid w:val="003A5AD7"/>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CB8"/>
    <w:rsid w:val="003C5DF6"/>
    <w:rsid w:val="003C615C"/>
    <w:rsid w:val="003C617A"/>
    <w:rsid w:val="003C6686"/>
    <w:rsid w:val="003C68C6"/>
    <w:rsid w:val="003C7E32"/>
    <w:rsid w:val="003D032A"/>
    <w:rsid w:val="003D10A8"/>
    <w:rsid w:val="003D1A96"/>
    <w:rsid w:val="003D1AA6"/>
    <w:rsid w:val="003D27CC"/>
    <w:rsid w:val="003D2B2C"/>
    <w:rsid w:val="003D330D"/>
    <w:rsid w:val="003D39D7"/>
    <w:rsid w:val="003D4424"/>
    <w:rsid w:val="003D5719"/>
    <w:rsid w:val="003D5966"/>
    <w:rsid w:val="003D5ADA"/>
    <w:rsid w:val="003D63BE"/>
    <w:rsid w:val="003D6BAE"/>
    <w:rsid w:val="003D7001"/>
    <w:rsid w:val="003D781C"/>
    <w:rsid w:val="003D7F2E"/>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AD0"/>
    <w:rsid w:val="003E7ED5"/>
    <w:rsid w:val="003F0189"/>
    <w:rsid w:val="003F045A"/>
    <w:rsid w:val="003F0B10"/>
    <w:rsid w:val="003F0B7F"/>
    <w:rsid w:val="003F0CF0"/>
    <w:rsid w:val="003F0D0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ED7"/>
    <w:rsid w:val="0040254A"/>
    <w:rsid w:val="00402623"/>
    <w:rsid w:val="00403537"/>
    <w:rsid w:val="0040376B"/>
    <w:rsid w:val="00404B6B"/>
    <w:rsid w:val="00404EEB"/>
    <w:rsid w:val="00406A13"/>
    <w:rsid w:val="00406E1B"/>
    <w:rsid w:val="00407177"/>
    <w:rsid w:val="00410905"/>
    <w:rsid w:val="00410CC0"/>
    <w:rsid w:val="0041137A"/>
    <w:rsid w:val="004126C7"/>
    <w:rsid w:val="00413002"/>
    <w:rsid w:val="00413193"/>
    <w:rsid w:val="00413A4B"/>
    <w:rsid w:val="004140C1"/>
    <w:rsid w:val="004144B0"/>
    <w:rsid w:val="00414B6D"/>
    <w:rsid w:val="00414FD6"/>
    <w:rsid w:val="004153A0"/>
    <w:rsid w:val="0041572C"/>
    <w:rsid w:val="00415ED5"/>
    <w:rsid w:val="00416106"/>
    <w:rsid w:val="00416596"/>
    <w:rsid w:val="00417503"/>
    <w:rsid w:val="004204F2"/>
    <w:rsid w:val="00420A47"/>
    <w:rsid w:val="00420D63"/>
    <w:rsid w:val="00420FB8"/>
    <w:rsid w:val="004211E1"/>
    <w:rsid w:val="0042197E"/>
    <w:rsid w:val="00421B24"/>
    <w:rsid w:val="0042258E"/>
    <w:rsid w:val="00422E88"/>
    <w:rsid w:val="00423AFD"/>
    <w:rsid w:val="00424652"/>
    <w:rsid w:val="00424817"/>
    <w:rsid w:val="00424CF3"/>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2DF6"/>
    <w:rsid w:val="00444288"/>
    <w:rsid w:val="004444E1"/>
    <w:rsid w:val="00444D46"/>
    <w:rsid w:val="004452EC"/>
    <w:rsid w:val="0044551B"/>
    <w:rsid w:val="00445BD4"/>
    <w:rsid w:val="00445C7E"/>
    <w:rsid w:val="0044651B"/>
    <w:rsid w:val="004467FE"/>
    <w:rsid w:val="00446E95"/>
    <w:rsid w:val="00446FA3"/>
    <w:rsid w:val="00447D23"/>
    <w:rsid w:val="0045029C"/>
    <w:rsid w:val="00450BB4"/>
    <w:rsid w:val="00451D0D"/>
    <w:rsid w:val="00452346"/>
    <w:rsid w:val="004527CC"/>
    <w:rsid w:val="00452E7A"/>
    <w:rsid w:val="004531FC"/>
    <w:rsid w:val="00453393"/>
    <w:rsid w:val="00453844"/>
    <w:rsid w:val="00455220"/>
    <w:rsid w:val="004555B4"/>
    <w:rsid w:val="0045580C"/>
    <w:rsid w:val="00455B96"/>
    <w:rsid w:val="0045669C"/>
    <w:rsid w:val="00456EB1"/>
    <w:rsid w:val="00456F36"/>
    <w:rsid w:val="00457095"/>
    <w:rsid w:val="0045738E"/>
    <w:rsid w:val="00457668"/>
    <w:rsid w:val="00457FE3"/>
    <w:rsid w:val="0046037D"/>
    <w:rsid w:val="00460D4A"/>
    <w:rsid w:val="004610F3"/>
    <w:rsid w:val="004618C3"/>
    <w:rsid w:val="00461922"/>
    <w:rsid w:val="00461B6A"/>
    <w:rsid w:val="00461DBD"/>
    <w:rsid w:val="004629EE"/>
    <w:rsid w:val="00462C0A"/>
    <w:rsid w:val="0046312D"/>
    <w:rsid w:val="00463677"/>
    <w:rsid w:val="00463FA1"/>
    <w:rsid w:val="0046560B"/>
    <w:rsid w:val="00466BDF"/>
    <w:rsid w:val="00467210"/>
    <w:rsid w:val="00467DD1"/>
    <w:rsid w:val="0047057A"/>
    <w:rsid w:val="0047175C"/>
    <w:rsid w:val="0047211E"/>
    <w:rsid w:val="0047287F"/>
    <w:rsid w:val="004729C5"/>
    <w:rsid w:val="004730B5"/>
    <w:rsid w:val="004732C5"/>
    <w:rsid w:val="00473663"/>
    <w:rsid w:val="00473E60"/>
    <w:rsid w:val="00474584"/>
    <w:rsid w:val="00474A10"/>
    <w:rsid w:val="00474FAF"/>
    <w:rsid w:val="0047517E"/>
    <w:rsid w:val="00475756"/>
    <w:rsid w:val="00475A26"/>
    <w:rsid w:val="00475E61"/>
    <w:rsid w:val="00476C5E"/>
    <w:rsid w:val="00476C8A"/>
    <w:rsid w:val="00477142"/>
    <w:rsid w:val="00477173"/>
    <w:rsid w:val="0047747D"/>
    <w:rsid w:val="00480323"/>
    <w:rsid w:val="00480479"/>
    <w:rsid w:val="00480CB1"/>
    <w:rsid w:val="004813A1"/>
    <w:rsid w:val="00481B69"/>
    <w:rsid w:val="00482A1A"/>
    <w:rsid w:val="0048380D"/>
    <w:rsid w:val="00483E1C"/>
    <w:rsid w:val="00484432"/>
    <w:rsid w:val="0048577A"/>
    <w:rsid w:val="00485E37"/>
    <w:rsid w:val="004862E4"/>
    <w:rsid w:val="00486443"/>
    <w:rsid w:val="00486670"/>
    <w:rsid w:val="00486A07"/>
    <w:rsid w:val="00486C58"/>
    <w:rsid w:val="00487353"/>
    <w:rsid w:val="0048749A"/>
    <w:rsid w:val="004878BD"/>
    <w:rsid w:val="004879C4"/>
    <w:rsid w:val="004912A9"/>
    <w:rsid w:val="00491D6F"/>
    <w:rsid w:val="004922C1"/>
    <w:rsid w:val="004940FC"/>
    <w:rsid w:val="00494A1F"/>
    <w:rsid w:val="00495401"/>
    <w:rsid w:val="00495709"/>
    <w:rsid w:val="004959E1"/>
    <w:rsid w:val="00495DBF"/>
    <w:rsid w:val="0049602B"/>
    <w:rsid w:val="0049632D"/>
    <w:rsid w:val="004966A5"/>
    <w:rsid w:val="00496CD9"/>
    <w:rsid w:val="0049760A"/>
    <w:rsid w:val="004A024A"/>
    <w:rsid w:val="004A027E"/>
    <w:rsid w:val="004A03F3"/>
    <w:rsid w:val="004A0516"/>
    <w:rsid w:val="004A09AE"/>
    <w:rsid w:val="004A0E4A"/>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1B67"/>
    <w:rsid w:val="004B2E0F"/>
    <w:rsid w:val="004B399F"/>
    <w:rsid w:val="004B39D3"/>
    <w:rsid w:val="004B3A5C"/>
    <w:rsid w:val="004B3F63"/>
    <w:rsid w:val="004B4BDC"/>
    <w:rsid w:val="004B58A6"/>
    <w:rsid w:val="004B59EF"/>
    <w:rsid w:val="004B5A98"/>
    <w:rsid w:val="004B5AAC"/>
    <w:rsid w:val="004B5BA7"/>
    <w:rsid w:val="004B5F41"/>
    <w:rsid w:val="004B7C5B"/>
    <w:rsid w:val="004C1CE0"/>
    <w:rsid w:val="004C1FC4"/>
    <w:rsid w:val="004C20D6"/>
    <w:rsid w:val="004C2969"/>
    <w:rsid w:val="004C3465"/>
    <w:rsid w:val="004C4438"/>
    <w:rsid w:val="004C4E13"/>
    <w:rsid w:val="004C57E9"/>
    <w:rsid w:val="004C58CA"/>
    <w:rsid w:val="004C5BE4"/>
    <w:rsid w:val="004C5D1B"/>
    <w:rsid w:val="004C5D71"/>
    <w:rsid w:val="004C741E"/>
    <w:rsid w:val="004D03E2"/>
    <w:rsid w:val="004D0668"/>
    <w:rsid w:val="004D0AEA"/>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5CB"/>
    <w:rsid w:val="004D66C8"/>
    <w:rsid w:val="004D68DF"/>
    <w:rsid w:val="004D6FB4"/>
    <w:rsid w:val="004D7607"/>
    <w:rsid w:val="004D7796"/>
    <w:rsid w:val="004D7F39"/>
    <w:rsid w:val="004E05FB"/>
    <w:rsid w:val="004E0A4D"/>
    <w:rsid w:val="004E1E24"/>
    <w:rsid w:val="004E1EC0"/>
    <w:rsid w:val="004E1EE4"/>
    <w:rsid w:val="004E22B8"/>
    <w:rsid w:val="004E2F73"/>
    <w:rsid w:val="004E2FB2"/>
    <w:rsid w:val="004E327D"/>
    <w:rsid w:val="004E357A"/>
    <w:rsid w:val="004E3767"/>
    <w:rsid w:val="004E3D7E"/>
    <w:rsid w:val="004E4554"/>
    <w:rsid w:val="004E4965"/>
    <w:rsid w:val="004E4ACC"/>
    <w:rsid w:val="004E4AD4"/>
    <w:rsid w:val="004E4D5B"/>
    <w:rsid w:val="004E5DC0"/>
    <w:rsid w:val="004E5FAB"/>
    <w:rsid w:val="004E60AC"/>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3234"/>
    <w:rsid w:val="004F41C6"/>
    <w:rsid w:val="004F5623"/>
    <w:rsid w:val="004F63AB"/>
    <w:rsid w:val="004F66F3"/>
    <w:rsid w:val="004F737C"/>
    <w:rsid w:val="004F7882"/>
    <w:rsid w:val="004F79BF"/>
    <w:rsid w:val="004F79E1"/>
    <w:rsid w:val="004F7A38"/>
    <w:rsid w:val="00500E9C"/>
    <w:rsid w:val="0050102E"/>
    <w:rsid w:val="0050185B"/>
    <w:rsid w:val="00503356"/>
    <w:rsid w:val="0050367A"/>
    <w:rsid w:val="0050368A"/>
    <w:rsid w:val="005043A6"/>
    <w:rsid w:val="00504E33"/>
    <w:rsid w:val="005059DD"/>
    <w:rsid w:val="00505B78"/>
    <w:rsid w:val="00505D30"/>
    <w:rsid w:val="00505DE4"/>
    <w:rsid w:val="005069A3"/>
    <w:rsid w:val="0050711F"/>
    <w:rsid w:val="00507990"/>
    <w:rsid w:val="005079D4"/>
    <w:rsid w:val="00507A78"/>
    <w:rsid w:val="00507E74"/>
    <w:rsid w:val="00511180"/>
    <w:rsid w:val="005112A3"/>
    <w:rsid w:val="00511F1A"/>
    <w:rsid w:val="0051213C"/>
    <w:rsid w:val="0051269E"/>
    <w:rsid w:val="00512FD5"/>
    <w:rsid w:val="0051312F"/>
    <w:rsid w:val="005132AA"/>
    <w:rsid w:val="005134AA"/>
    <w:rsid w:val="0051376E"/>
    <w:rsid w:val="005137FC"/>
    <w:rsid w:val="00513999"/>
    <w:rsid w:val="005140BD"/>
    <w:rsid w:val="005146A4"/>
    <w:rsid w:val="005156C2"/>
    <w:rsid w:val="00516107"/>
    <w:rsid w:val="0051661C"/>
    <w:rsid w:val="0051771F"/>
    <w:rsid w:val="005178CD"/>
    <w:rsid w:val="00517ADD"/>
    <w:rsid w:val="00517D49"/>
    <w:rsid w:val="00520127"/>
    <w:rsid w:val="00520A0A"/>
    <w:rsid w:val="00520A40"/>
    <w:rsid w:val="00520DD9"/>
    <w:rsid w:val="00521647"/>
    <w:rsid w:val="00521FAF"/>
    <w:rsid w:val="005223C2"/>
    <w:rsid w:val="005224B0"/>
    <w:rsid w:val="00522B89"/>
    <w:rsid w:val="00522CA2"/>
    <w:rsid w:val="00522EBB"/>
    <w:rsid w:val="005230C9"/>
    <w:rsid w:val="00524361"/>
    <w:rsid w:val="005245F5"/>
    <w:rsid w:val="005248C5"/>
    <w:rsid w:val="00525701"/>
    <w:rsid w:val="00525ADD"/>
    <w:rsid w:val="00525AF4"/>
    <w:rsid w:val="00526AF4"/>
    <w:rsid w:val="005274AD"/>
    <w:rsid w:val="00527882"/>
    <w:rsid w:val="00527DC2"/>
    <w:rsid w:val="00530692"/>
    <w:rsid w:val="00530D5B"/>
    <w:rsid w:val="005313CC"/>
    <w:rsid w:val="005316F0"/>
    <w:rsid w:val="00531766"/>
    <w:rsid w:val="00531882"/>
    <w:rsid w:val="00532054"/>
    <w:rsid w:val="00532F44"/>
    <w:rsid w:val="00533675"/>
    <w:rsid w:val="005342E2"/>
    <w:rsid w:val="005348CB"/>
    <w:rsid w:val="005353B5"/>
    <w:rsid w:val="00536183"/>
    <w:rsid w:val="0053717E"/>
    <w:rsid w:val="005376B1"/>
    <w:rsid w:val="005377F8"/>
    <w:rsid w:val="00537CBA"/>
    <w:rsid w:val="005403ED"/>
    <w:rsid w:val="00540A7A"/>
    <w:rsid w:val="00540EC4"/>
    <w:rsid w:val="00540FA6"/>
    <w:rsid w:val="005414E8"/>
    <w:rsid w:val="0054158D"/>
    <w:rsid w:val="00541FB0"/>
    <w:rsid w:val="00542024"/>
    <w:rsid w:val="00542749"/>
    <w:rsid w:val="005433C6"/>
    <w:rsid w:val="00543FDF"/>
    <w:rsid w:val="005449C2"/>
    <w:rsid w:val="00545614"/>
    <w:rsid w:val="00546EEE"/>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56EE3"/>
    <w:rsid w:val="005606BD"/>
    <w:rsid w:val="00560A61"/>
    <w:rsid w:val="00560B4D"/>
    <w:rsid w:val="00561593"/>
    <w:rsid w:val="00561AD0"/>
    <w:rsid w:val="00561D1E"/>
    <w:rsid w:val="0056206A"/>
    <w:rsid w:val="005621C1"/>
    <w:rsid w:val="005629F2"/>
    <w:rsid w:val="00562CEB"/>
    <w:rsid w:val="0056424A"/>
    <w:rsid w:val="00565003"/>
    <w:rsid w:val="00565074"/>
    <w:rsid w:val="005653F7"/>
    <w:rsid w:val="00565765"/>
    <w:rsid w:val="00565B7D"/>
    <w:rsid w:val="005660E8"/>
    <w:rsid w:val="00566630"/>
    <w:rsid w:val="00566D45"/>
    <w:rsid w:val="005672A9"/>
    <w:rsid w:val="005676FF"/>
    <w:rsid w:val="00570342"/>
    <w:rsid w:val="005710C9"/>
    <w:rsid w:val="00571133"/>
    <w:rsid w:val="005715BA"/>
    <w:rsid w:val="005723BD"/>
    <w:rsid w:val="005726A5"/>
    <w:rsid w:val="00574184"/>
    <w:rsid w:val="005741BF"/>
    <w:rsid w:val="005747E0"/>
    <w:rsid w:val="0057525A"/>
    <w:rsid w:val="00575BAC"/>
    <w:rsid w:val="00576241"/>
    <w:rsid w:val="0057743E"/>
    <w:rsid w:val="00580218"/>
    <w:rsid w:val="00580564"/>
    <w:rsid w:val="00580891"/>
    <w:rsid w:val="00581976"/>
    <w:rsid w:val="00581C2D"/>
    <w:rsid w:val="00582058"/>
    <w:rsid w:val="00582EBB"/>
    <w:rsid w:val="0058360E"/>
    <w:rsid w:val="00583D68"/>
    <w:rsid w:val="00584CF5"/>
    <w:rsid w:val="00584F3F"/>
    <w:rsid w:val="005852A6"/>
    <w:rsid w:val="00585D61"/>
    <w:rsid w:val="00586B2D"/>
    <w:rsid w:val="005904B9"/>
    <w:rsid w:val="00590539"/>
    <w:rsid w:val="005905AD"/>
    <w:rsid w:val="00590814"/>
    <w:rsid w:val="00590F9A"/>
    <w:rsid w:val="005912FA"/>
    <w:rsid w:val="00591EF9"/>
    <w:rsid w:val="00592051"/>
    <w:rsid w:val="00592CAD"/>
    <w:rsid w:val="00592E37"/>
    <w:rsid w:val="00592E69"/>
    <w:rsid w:val="0059308A"/>
    <w:rsid w:val="00593262"/>
    <w:rsid w:val="00593CD0"/>
    <w:rsid w:val="00593FE7"/>
    <w:rsid w:val="0059459C"/>
    <w:rsid w:val="00594AAE"/>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34F3"/>
    <w:rsid w:val="005A3B18"/>
    <w:rsid w:val="005A3DC7"/>
    <w:rsid w:val="005A569B"/>
    <w:rsid w:val="005A70F1"/>
    <w:rsid w:val="005A73F5"/>
    <w:rsid w:val="005A7C76"/>
    <w:rsid w:val="005A7E30"/>
    <w:rsid w:val="005B085C"/>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5A2"/>
    <w:rsid w:val="005B55E4"/>
    <w:rsid w:val="005B5A70"/>
    <w:rsid w:val="005B69CD"/>
    <w:rsid w:val="005B6A48"/>
    <w:rsid w:val="005B6E4C"/>
    <w:rsid w:val="005B70EA"/>
    <w:rsid w:val="005B7553"/>
    <w:rsid w:val="005B7568"/>
    <w:rsid w:val="005B78FB"/>
    <w:rsid w:val="005B7D17"/>
    <w:rsid w:val="005B7E47"/>
    <w:rsid w:val="005C03DB"/>
    <w:rsid w:val="005C05D7"/>
    <w:rsid w:val="005C0D21"/>
    <w:rsid w:val="005C10FA"/>
    <w:rsid w:val="005C1143"/>
    <w:rsid w:val="005C137E"/>
    <w:rsid w:val="005C159D"/>
    <w:rsid w:val="005C1B81"/>
    <w:rsid w:val="005C2789"/>
    <w:rsid w:val="005C3ECC"/>
    <w:rsid w:val="005C47B3"/>
    <w:rsid w:val="005C4876"/>
    <w:rsid w:val="005C5889"/>
    <w:rsid w:val="005C5DC7"/>
    <w:rsid w:val="005C5EC7"/>
    <w:rsid w:val="005C64B3"/>
    <w:rsid w:val="005C658E"/>
    <w:rsid w:val="005C6998"/>
    <w:rsid w:val="005C6D68"/>
    <w:rsid w:val="005C6E1F"/>
    <w:rsid w:val="005C738B"/>
    <w:rsid w:val="005C7519"/>
    <w:rsid w:val="005C7732"/>
    <w:rsid w:val="005C7FF6"/>
    <w:rsid w:val="005C7FF8"/>
    <w:rsid w:val="005D047E"/>
    <w:rsid w:val="005D07B3"/>
    <w:rsid w:val="005D0AE7"/>
    <w:rsid w:val="005D0B35"/>
    <w:rsid w:val="005D0BE3"/>
    <w:rsid w:val="005D0D04"/>
    <w:rsid w:val="005D0D89"/>
    <w:rsid w:val="005D2120"/>
    <w:rsid w:val="005D3116"/>
    <w:rsid w:val="005D330C"/>
    <w:rsid w:val="005D402D"/>
    <w:rsid w:val="005D4C38"/>
    <w:rsid w:val="005D5650"/>
    <w:rsid w:val="005D6210"/>
    <w:rsid w:val="005D62A6"/>
    <w:rsid w:val="005D6417"/>
    <w:rsid w:val="005D68D7"/>
    <w:rsid w:val="005D6CA0"/>
    <w:rsid w:val="005D7690"/>
    <w:rsid w:val="005D7A4B"/>
    <w:rsid w:val="005E018A"/>
    <w:rsid w:val="005E0A12"/>
    <w:rsid w:val="005E0C1F"/>
    <w:rsid w:val="005E1031"/>
    <w:rsid w:val="005E1422"/>
    <w:rsid w:val="005E21A1"/>
    <w:rsid w:val="005E319D"/>
    <w:rsid w:val="005E3263"/>
    <w:rsid w:val="005E3653"/>
    <w:rsid w:val="005E3D63"/>
    <w:rsid w:val="005E56FB"/>
    <w:rsid w:val="005E5B19"/>
    <w:rsid w:val="005E5C9C"/>
    <w:rsid w:val="005E6553"/>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F5F"/>
    <w:rsid w:val="00603B05"/>
    <w:rsid w:val="006040C3"/>
    <w:rsid w:val="0060413D"/>
    <w:rsid w:val="006044CD"/>
    <w:rsid w:val="00604A59"/>
    <w:rsid w:val="00606C90"/>
    <w:rsid w:val="006074C7"/>
    <w:rsid w:val="0060768F"/>
    <w:rsid w:val="00607728"/>
    <w:rsid w:val="00607743"/>
    <w:rsid w:val="006078B3"/>
    <w:rsid w:val="0061033F"/>
    <w:rsid w:val="006103A5"/>
    <w:rsid w:val="00610941"/>
    <w:rsid w:val="00610B36"/>
    <w:rsid w:val="006110CA"/>
    <w:rsid w:val="00611B86"/>
    <w:rsid w:val="00611F19"/>
    <w:rsid w:val="00613C61"/>
    <w:rsid w:val="00614159"/>
    <w:rsid w:val="006146DE"/>
    <w:rsid w:val="00614781"/>
    <w:rsid w:val="00616468"/>
    <w:rsid w:val="00616BFC"/>
    <w:rsid w:val="00616C38"/>
    <w:rsid w:val="00617650"/>
    <w:rsid w:val="00617D99"/>
    <w:rsid w:val="006203EF"/>
    <w:rsid w:val="006217A9"/>
    <w:rsid w:val="00621923"/>
    <w:rsid w:val="00621D43"/>
    <w:rsid w:val="00621E05"/>
    <w:rsid w:val="00622332"/>
    <w:rsid w:val="0062343E"/>
    <w:rsid w:val="0062347A"/>
    <w:rsid w:val="0062406A"/>
    <w:rsid w:val="00624242"/>
    <w:rsid w:val="00624780"/>
    <w:rsid w:val="006247B0"/>
    <w:rsid w:val="00624899"/>
    <w:rsid w:val="006251E2"/>
    <w:rsid w:val="006252D9"/>
    <w:rsid w:val="006253BA"/>
    <w:rsid w:val="006258C8"/>
    <w:rsid w:val="006259E3"/>
    <w:rsid w:val="00625D6B"/>
    <w:rsid w:val="00626021"/>
    <w:rsid w:val="006260C6"/>
    <w:rsid w:val="00626524"/>
    <w:rsid w:val="00626B03"/>
    <w:rsid w:val="00626E3D"/>
    <w:rsid w:val="00627275"/>
    <w:rsid w:val="00627CA6"/>
    <w:rsid w:val="0063045E"/>
    <w:rsid w:val="00630610"/>
    <w:rsid w:val="00630E75"/>
    <w:rsid w:val="00631C6D"/>
    <w:rsid w:val="00631D12"/>
    <w:rsid w:val="00631FD1"/>
    <w:rsid w:val="006320F6"/>
    <w:rsid w:val="0063296C"/>
    <w:rsid w:val="006331BE"/>
    <w:rsid w:val="00633271"/>
    <w:rsid w:val="0063372A"/>
    <w:rsid w:val="00633A68"/>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6552"/>
    <w:rsid w:val="00647039"/>
    <w:rsid w:val="00650104"/>
    <w:rsid w:val="006507BD"/>
    <w:rsid w:val="00650836"/>
    <w:rsid w:val="00650AF1"/>
    <w:rsid w:val="00651DD4"/>
    <w:rsid w:val="0065286B"/>
    <w:rsid w:val="0065332A"/>
    <w:rsid w:val="00653E3F"/>
    <w:rsid w:val="00653E71"/>
    <w:rsid w:val="00655183"/>
    <w:rsid w:val="0065535A"/>
    <w:rsid w:val="006556A3"/>
    <w:rsid w:val="00655CB4"/>
    <w:rsid w:val="00655FAE"/>
    <w:rsid w:val="0065613D"/>
    <w:rsid w:val="00656490"/>
    <w:rsid w:val="0065683E"/>
    <w:rsid w:val="00656A54"/>
    <w:rsid w:val="00656C5E"/>
    <w:rsid w:val="00656CAC"/>
    <w:rsid w:val="00656E9C"/>
    <w:rsid w:val="00657047"/>
    <w:rsid w:val="00657A26"/>
    <w:rsid w:val="00657F87"/>
    <w:rsid w:val="00660681"/>
    <w:rsid w:val="00660765"/>
    <w:rsid w:val="00660A1A"/>
    <w:rsid w:val="00661EF8"/>
    <w:rsid w:val="00663746"/>
    <w:rsid w:val="00663894"/>
    <w:rsid w:val="00664A67"/>
    <w:rsid w:val="00664EC4"/>
    <w:rsid w:val="00664F26"/>
    <w:rsid w:val="006650A8"/>
    <w:rsid w:val="00666C16"/>
    <w:rsid w:val="00666F41"/>
    <w:rsid w:val="00666FEB"/>
    <w:rsid w:val="006675EE"/>
    <w:rsid w:val="00667E91"/>
    <w:rsid w:val="00670C81"/>
    <w:rsid w:val="00671D5C"/>
    <w:rsid w:val="00672456"/>
    <w:rsid w:val="00672A9F"/>
    <w:rsid w:val="00672D17"/>
    <w:rsid w:val="00672DCA"/>
    <w:rsid w:val="00673267"/>
    <w:rsid w:val="006738C0"/>
    <w:rsid w:val="00673E9A"/>
    <w:rsid w:val="00673EEA"/>
    <w:rsid w:val="006745CD"/>
    <w:rsid w:val="006750DB"/>
    <w:rsid w:val="006753B2"/>
    <w:rsid w:val="00675416"/>
    <w:rsid w:val="00675653"/>
    <w:rsid w:val="0067570B"/>
    <w:rsid w:val="0067770C"/>
    <w:rsid w:val="00677BFF"/>
    <w:rsid w:val="00677D98"/>
    <w:rsid w:val="00677E9E"/>
    <w:rsid w:val="00677FC2"/>
    <w:rsid w:val="0068007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90610"/>
    <w:rsid w:val="00690A0A"/>
    <w:rsid w:val="006910CA"/>
    <w:rsid w:val="0069131C"/>
    <w:rsid w:val="00691595"/>
    <w:rsid w:val="0069162D"/>
    <w:rsid w:val="006928FC"/>
    <w:rsid w:val="00692C2B"/>
    <w:rsid w:val="00692D4D"/>
    <w:rsid w:val="0069317E"/>
    <w:rsid w:val="006931E9"/>
    <w:rsid w:val="006932B7"/>
    <w:rsid w:val="00693A7D"/>
    <w:rsid w:val="00693D07"/>
    <w:rsid w:val="00694EDA"/>
    <w:rsid w:val="00695841"/>
    <w:rsid w:val="00695F9C"/>
    <w:rsid w:val="006967F1"/>
    <w:rsid w:val="00697834"/>
    <w:rsid w:val="00697CC6"/>
    <w:rsid w:val="006A0894"/>
    <w:rsid w:val="006A114E"/>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70EA"/>
    <w:rsid w:val="006A7522"/>
    <w:rsid w:val="006A7713"/>
    <w:rsid w:val="006B052C"/>
    <w:rsid w:val="006B06ED"/>
    <w:rsid w:val="006B0973"/>
    <w:rsid w:val="006B0D14"/>
    <w:rsid w:val="006B2D7D"/>
    <w:rsid w:val="006B3284"/>
    <w:rsid w:val="006B3328"/>
    <w:rsid w:val="006B3944"/>
    <w:rsid w:val="006B39FB"/>
    <w:rsid w:val="006B3BF5"/>
    <w:rsid w:val="006B47CA"/>
    <w:rsid w:val="006B487B"/>
    <w:rsid w:val="006B4E5A"/>
    <w:rsid w:val="006B523A"/>
    <w:rsid w:val="006B5555"/>
    <w:rsid w:val="006B6917"/>
    <w:rsid w:val="006B7466"/>
    <w:rsid w:val="006C1045"/>
    <w:rsid w:val="006C1C64"/>
    <w:rsid w:val="006C282F"/>
    <w:rsid w:val="006C3A7C"/>
    <w:rsid w:val="006C3D5A"/>
    <w:rsid w:val="006C42BD"/>
    <w:rsid w:val="006C44CA"/>
    <w:rsid w:val="006C45B1"/>
    <w:rsid w:val="006C4F52"/>
    <w:rsid w:val="006C5213"/>
    <w:rsid w:val="006C527D"/>
    <w:rsid w:val="006C52C7"/>
    <w:rsid w:val="006C6720"/>
    <w:rsid w:val="006C6D71"/>
    <w:rsid w:val="006C7033"/>
    <w:rsid w:val="006C783A"/>
    <w:rsid w:val="006D07EF"/>
    <w:rsid w:val="006D0ACA"/>
    <w:rsid w:val="006D0D5C"/>
    <w:rsid w:val="006D0E30"/>
    <w:rsid w:val="006D129F"/>
    <w:rsid w:val="006D15F8"/>
    <w:rsid w:val="006D1E81"/>
    <w:rsid w:val="006D1F0E"/>
    <w:rsid w:val="006D2B79"/>
    <w:rsid w:val="006D2DAD"/>
    <w:rsid w:val="006D3ABD"/>
    <w:rsid w:val="006D40C5"/>
    <w:rsid w:val="006D42DB"/>
    <w:rsid w:val="006D4F5C"/>
    <w:rsid w:val="006D5AAB"/>
    <w:rsid w:val="006D61B3"/>
    <w:rsid w:val="006D6B78"/>
    <w:rsid w:val="006D7119"/>
    <w:rsid w:val="006D72D6"/>
    <w:rsid w:val="006D76C4"/>
    <w:rsid w:val="006D7D1F"/>
    <w:rsid w:val="006E0635"/>
    <w:rsid w:val="006E1872"/>
    <w:rsid w:val="006E19F5"/>
    <w:rsid w:val="006E1BFE"/>
    <w:rsid w:val="006E29FC"/>
    <w:rsid w:val="006E36B3"/>
    <w:rsid w:val="006E4489"/>
    <w:rsid w:val="006E45EA"/>
    <w:rsid w:val="006E49C2"/>
    <w:rsid w:val="006E49F5"/>
    <w:rsid w:val="006E5190"/>
    <w:rsid w:val="006E53F3"/>
    <w:rsid w:val="006E5870"/>
    <w:rsid w:val="006E702E"/>
    <w:rsid w:val="006E72BA"/>
    <w:rsid w:val="006E7DF2"/>
    <w:rsid w:val="006E7EFC"/>
    <w:rsid w:val="006F007D"/>
    <w:rsid w:val="006F062D"/>
    <w:rsid w:val="006F0821"/>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89"/>
    <w:rsid w:val="007030BD"/>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43A"/>
    <w:rsid w:val="00711BA2"/>
    <w:rsid w:val="007127E7"/>
    <w:rsid w:val="00712E07"/>
    <w:rsid w:val="00713640"/>
    <w:rsid w:val="007143C2"/>
    <w:rsid w:val="007149B9"/>
    <w:rsid w:val="00714AD3"/>
    <w:rsid w:val="00714BA5"/>
    <w:rsid w:val="00715BF8"/>
    <w:rsid w:val="00715DB7"/>
    <w:rsid w:val="0071633F"/>
    <w:rsid w:val="007163E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4027"/>
    <w:rsid w:val="007244FE"/>
    <w:rsid w:val="00724A74"/>
    <w:rsid w:val="00724ED6"/>
    <w:rsid w:val="00725002"/>
    <w:rsid w:val="00725026"/>
    <w:rsid w:val="00725135"/>
    <w:rsid w:val="0072545F"/>
    <w:rsid w:val="007263CF"/>
    <w:rsid w:val="00726828"/>
    <w:rsid w:val="00726EDB"/>
    <w:rsid w:val="00731028"/>
    <w:rsid w:val="007311D5"/>
    <w:rsid w:val="00731B1C"/>
    <w:rsid w:val="00732593"/>
    <w:rsid w:val="007329A5"/>
    <w:rsid w:val="00732FD5"/>
    <w:rsid w:val="00733171"/>
    <w:rsid w:val="007336F1"/>
    <w:rsid w:val="00733E60"/>
    <w:rsid w:val="00734198"/>
    <w:rsid w:val="00734B41"/>
    <w:rsid w:val="007351AE"/>
    <w:rsid w:val="00735A98"/>
    <w:rsid w:val="00735F1A"/>
    <w:rsid w:val="00735FF3"/>
    <w:rsid w:val="00736155"/>
    <w:rsid w:val="00737BFF"/>
    <w:rsid w:val="007405D4"/>
    <w:rsid w:val="00740D8C"/>
    <w:rsid w:val="00741349"/>
    <w:rsid w:val="00741432"/>
    <w:rsid w:val="007414AF"/>
    <w:rsid w:val="00741D58"/>
    <w:rsid w:val="00741FF2"/>
    <w:rsid w:val="007423E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FD5"/>
    <w:rsid w:val="00750803"/>
    <w:rsid w:val="00751447"/>
    <w:rsid w:val="007521D0"/>
    <w:rsid w:val="00752632"/>
    <w:rsid w:val="00752768"/>
    <w:rsid w:val="0075311E"/>
    <w:rsid w:val="007539D2"/>
    <w:rsid w:val="00753C21"/>
    <w:rsid w:val="00753E48"/>
    <w:rsid w:val="0075481C"/>
    <w:rsid w:val="00755417"/>
    <w:rsid w:val="00755A31"/>
    <w:rsid w:val="00755D87"/>
    <w:rsid w:val="00755D9E"/>
    <w:rsid w:val="00755E27"/>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4E69"/>
    <w:rsid w:val="00765E4A"/>
    <w:rsid w:val="0076687D"/>
    <w:rsid w:val="007670F3"/>
    <w:rsid w:val="007705E2"/>
    <w:rsid w:val="0077088A"/>
    <w:rsid w:val="00770C29"/>
    <w:rsid w:val="00770E04"/>
    <w:rsid w:val="00770F74"/>
    <w:rsid w:val="00771F22"/>
    <w:rsid w:val="00772448"/>
    <w:rsid w:val="00772EB3"/>
    <w:rsid w:val="00773367"/>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EDA"/>
    <w:rsid w:val="00790FE0"/>
    <w:rsid w:val="00791C62"/>
    <w:rsid w:val="00791D61"/>
    <w:rsid w:val="007924D2"/>
    <w:rsid w:val="007929DB"/>
    <w:rsid w:val="00793831"/>
    <w:rsid w:val="00793F69"/>
    <w:rsid w:val="007943BC"/>
    <w:rsid w:val="0079477B"/>
    <w:rsid w:val="00794DE6"/>
    <w:rsid w:val="007954E4"/>
    <w:rsid w:val="00795565"/>
    <w:rsid w:val="00795C9B"/>
    <w:rsid w:val="00795D0D"/>
    <w:rsid w:val="00796D51"/>
    <w:rsid w:val="00797864"/>
    <w:rsid w:val="007A08AF"/>
    <w:rsid w:val="007A093A"/>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140"/>
    <w:rsid w:val="007B22AF"/>
    <w:rsid w:val="007B2376"/>
    <w:rsid w:val="007B35E3"/>
    <w:rsid w:val="007B3BCA"/>
    <w:rsid w:val="007B49A4"/>
    <w:rsid w:val="007B4A3C"/>
    <w:rsid w:val="007B4E66"/>
    <w:rsid w:val="007B50D2"/>
    <w:rsid w:val="007B5B02"/>
    <w:rsid w:val="007B5B1B"/>
    <w:rsid w:val="007B5D00"/>
    <w:rsid w:val="007B5D71"/>
    <w:rsid w:val="007B5F66"/>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86C"/>
    <w:rsid w:val="007C7894"/>
    <w:rsid w:val="007D078B"/>
    <w:rsid w:val="007D0981"/>
    <w:rsid w:val="007D1304"/>
    <w:rsid w:val="007D1363"/>
    <w:rsid w:val="007D1875"/>
    <w:rsid w:val="007D1ECE"/>
    <w:rsid w:val="007D1F1E"/>
    <w:rsid w:val="007D2062"/>
    <w:rsid w:val="007D2087"/>
    <w:rsid w:val="007D2C03"/>
    <w:rsid w:val="007D3497"/>
    <w:rsid w:val="007D37DD"/>
    <w:rsid w:val="007D450D"/>
    <w:rsid w:val="007D4E9E"/>
    <w:rsid w:val="007D5043"/>
    <w:rsid w:val="007D5876"/>
    <w:rsid w:val="007D680C"/>
    <w:rsid w:val="007D6866"/>
    <w:rsid w:val="007D6CBF"/>
    <w:rsid w:val="007D71B5"/>
    <w:rsid w:val="007D794F"/>
    <w:rsid w:val="007D7BDD"/>
    <w:rsid w:val="007E0059"/>
    <w:rsid w:val="007E02EB"/>
    <w:rsid w:val="007E15B9"/>
    <w:rsid w:val="007E1B8F"/>
    <w:rsid w:val="007E2B2C"/>
    <w:rsid w:val="007E2CA2"/>
    <w:rsid w:val="007E36D2"/>
    <w:rsid w:val="007E39D9"/>
    <w:rsid w:val="007E3FD4"/>
    <w:rsid w:val="007E47FC"/>
    <w:rsid w:val="007E4C0F"/>
    <w:rsid w:val="007E5A70"/>
    <w:rsid w:val="007E5D9A"/>
    <w:rsid w:val="007E5EB8"/>
    <w:rsid w:val="007E61DD"/>
    <w:rsid w:val="007E657F"/>
    <w:rsid w:val="007E7800"/>
    <w:rsid w:val="007F0104"/>
    <w:rsid w:val="007F03B2"/>
    <w:rsid w:val="007F03DC"/>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A4"/>
    <w:rsid w:val="00800185"/>
    <w:rsid w:val="00800689"/>
    <w:rsid w:val="00800E7B"/>
    <w:rsid w:val="008017F6"/>
    <w:rsid w:val="008018C8"/>
    <w:rsid w:val="00801B45"/>
    <w:rsid w:val="00801BE3"/>
    <w:rsid w:val="00801E6A"/>
    <w:rsid w:val="00802589"/>
    <w:rsid w:val="0080295D"/>
    <w:rsid w:val="00802C4B"/>
    <w:rsid w:val="008038D7"/>
    <w:rsid w:val="00803ACE"/>
    <w:rsid w:val="00803D6C"/>
    <w:rsid w:val="00803F8A"/>
    <w:rsid w:val="0080400A"/>
    <w:rsid w:val="00804AB3"/>
    <w:rsid w:val="00805456"/>
    <w:rsid w:val="00805801"/>
    <w:rsid w:val="008068BD"/>
    <w:rsid w:val="00807526"/>
    <w:rsid w:val="00810814"/>
    <w:rsid w:val="00810924"/>
    <w:rsid w:val="0081140A"/>
    <w:rsid w:val="008116A4"/>
    <w:rsid w:val="008130B9"/>
    <w:rsid w:val="008131D0"/>
    <w:rsid w:val="00813B3C"/>
    <w:rsid w:val="00813CDA"/>
    <w:rsid w:val="00813F88"/>
    <w:rsid w:val="00814899"/>
    <w:rsid w:val="00814AC5"/>
    <w:rsid w:val="00814D8B"/>
    <w:rsid w:val="008150C6"/>
    <w:rsid w:val="008151F2"/>
    <w:rsid w:val="00815AB0"/>
    <w:rsid w:val="00815D46"/>
    <w:rsid w:val="0081619D"/>
    <w:rsid w:val="0081620B"/>
    <w:rsid w:val="008163DA"/>
    <w:rsid w:val="0081651E"/>
    <w:rsid w:val="00816AA3"/>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BBF"/>
    <w:rsid w:val="00827D3D"/>
    <w:rsid w:val="00827DFE"/>
    <w:rsid w:val="00830302"/>
    <w:rsid w:val="0083081A"/>
    <w:rsid w:val="00830ED6"/>
    <w:rsid w:val="00831749"/>
    <w:rsid w:val="00832571"/>
    <w:rsid w:val="008325AF"/>
    <w:rsid w:val="00832825"/>
    <w:rsid w:val="00832920"/>
    <w:rsid w:val="00832F33"/>
    <w:rsid w:val="0083317B"/>
    <w:rsid w:val="008337F5"/>
    <w:rsid w:val="0083415B"/>
    <w:rsid w:val="00834494"/>
    <w:rsid w:val="00834D14"/>
    <w:rsid w:val="00835287"/>
    <w:rsid w:val="008358BB"/>
    <w:rsid w:val="008364F2"/>
    <w:rsid w:val="0083654C"/>
    <w:rsid w:val="008369E4"/>
    <w:rsid w:val="008373CB"/>
    <w:rsid w:val="008409A6"/>
    <w:rsid w:val="00840B3B"/>
    <w:rsid w:val="00841BC8"/>
    <w:rsid w:val="00841EB1"/>
    <w:rsid w:val="00842A9A"/>
    <w:rsid w:val="008431F6"/>
    <w:rsid w:val="0084377C"/>
    <w:rsid w:val="00843C6F"/>
    <w:rsid w:val="0084476D"/>
    <w:rsid w:val="00844A6D"/>
    <w:rsid w:val="00844A8A"/>
    <w:rsid w:val="00844C25"/>
    <w:rsid w:val="00845022"/>
    <w:rsid w:val="00845791"/>
    <w:rsid w:val="00845919"/>
    <w:rsid w:val="00845B37"/>
    <w:rsid w:val="00845D79"/>
    <w:rsid w:val="0084743E"/>
    <w:rsid w:val="008503CB"/>
    <w:rsid w:val="0085113C"/>
    <w:rsid w:val="00851862"/>
    <w:rsid w:val="00852663"/>
    <w:rsid w:val="00852941"/>
    <w:rsid w:val="00852FCB"/>
    <w:rsid w:val="00856667"/>
    <w:rsid w:val="00856F2B"/>
    <w:rsid w:val="00857147"/>
    <w:rsid w:val="008574E8"/>
    <w:rsid w:val="00857532"/>
    <w:rsid w:val="00857D87"/>
    <w:rsid w:val="00857DD1"/>
    <w:rsid w:val="0086009B"/>
    <w:rsid w:val="00860B59"/>
    <w:rsid w:val="00861640"/>
    <w:rsid w:val="00861773"/>
    <w:rsid w:val="0086184C"/>
    <w:rsid w:val="00861988"/>
    <w:rsid w:val="00861A5D"/>
    <w:rsid w:val="00862555"/>
    <w:rsid w:val="00862E41"/>
    <w:rsid w:val="00863118"/>
    <w:rsid w:val="00863408"/>
    <w:rsid w:val="00863459"/>
    <w:rsid w:val="0086392F"/>
    <w:rsid w:val="00864E18"/>
    <w:rsid w:val="00865077"/>
    <w:rsid w:val="0086507B"/>
    <w:rsid w:val="008651AA"/>
    <w:rsid w:val="008657A7"/>
    <w:rsid w:val="00865EA3"/>
    <w:rsid w:val="0086696A"/>
    <w:rsid w:val="00866CF8"/>
    <w:rsid w:val="00866DDA"/>
    <w:rsid w:val="00867D1C"/>
    <w:rsid w:val="00867DCF"/>
    <w:rsid w:val="00870197"/>
    <w:rsid w:val="00870C1E"/>
    <w:rsid w:val="0087108E"/>
    <w:rsid w:val="00871256"/>
    <w:rsid w:val="0087129F"/>
    <w:rsid w:val="00871599"/>
    <w:rsid w:val="00871BC3"/>
    <w:rsid w:val="00872981"/>
    <w:rsid w:val="00872EBB"/>
    <w:rsid w:val="008730C7"/>
    <w:rsid w:val="0087317B"/>
    <w:rsid w:val="0087330F"/>
    <w:rsid w:val="00874E28"/>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4A3"/>
    <w:rsid w:val="00890C59"/>
    <w:rsid w:val="00891187"/>
    <w:rsid w:val="008915CE"/>
    <w:rsid w:val="00891CC0"/>
    <w:rsid w:val="0089295C"/>
    <w:rsid w:val="00892D37"/>
    <w:rsid w:val="008936DE"/>
    <w:rsid w:val="00893898"/>
    <w:rsid w:val="008938A1"/>
    <w:rsid w:val="0089390A"/>
    <w:rsid w:val="00893EB5"/>
    <w:rsid w:val="00893F42"/>
    <w:rsid w:val="00894051"/>
    <w:rsid w:val="008940E8"/>
    <w:rsid w:val="00894584"/>
    <w:rsid w:val="00894A24"/>
    <w:rsid w:val="0089529D"/>
    <w:rsid w:val="00895504"/>
    <w:rsid w:val="008955D7"/>
    <w:rsid w:val="0089581E"/>
    <w:rsid w:val="0089639E"/>
    <w:rsid w:val="00896DA0"/>
    <w:rsid w:val="00896E35"/>
    <w:rsid w:val="00897182"/>
    <w:rsid w:val="00897DFF"/>
    <w:rsid w:val="008A0390"/>
    <w:rsid w:val="008A04C6"/>
    <w:rsid w:val="008A0B53"/>
    <w:rsid w:val="008A0DBE"/>
    <w:rsid w:val="008A0E2B"/>
    <w:rsid w:val="008A1A79"/>
    <w:rsid w:val="008A1A82"/>
    <w:rsid w:val="008A2154"/>
    <w:rsid w:val="008A25C2"/>
    <w:rsid w:val="008A341C"/>
    <w:rsid w:val="008A3FDC"/>
    <w:rsid w:val="008A46AD"/>
    <w:rsid w:val="008A4A50"/>
    <w:rsid w:val="008A4C90"/>
    <w:rsid w:val="008A55FC"/>
    <w:rsid w:val="008A5EDE"/>
    <w:rsid w:val="008A65C6"/>
    <w:rsid w:val="008A670E"/>
    <w:rsid w:val="008A67B9"/>
    <w:rsid w:val="008A74E1"/>
    <w:rsid w:val="008A755F"/>
    <w:rsid w:val="008A7846"/>
    <w:rsid w:val="008A7D29"/>
    <w:rsid w:val="008A7DF4"/>
    <w:rsid w:val="008B00B1"/>
    <w:rsid w:val="008B02AD"/>
    <w:rsid w:val="008B0F81"/>
    <w:rsid w:val="008B122D"/>
    <w:rsid w:val="008B1810"/>
    <w:rsid w:val="008B1A23"/>
    <w:rsid w:val="008B1A4C"/>
    <w:rsid w:val="008B2971"/>
    <w:rsid w:val="008B3281"/>
    <w:rsid w:val="008B3DA8"/>
    <w:rsid w:val="008B41CB"/>
    <w:rsid w:val="008B4C28"/>
    <w:rsid w:val="008B5640"/>
    <w:rsid w:val="008B5659"/>
    <w:rsid w:val="008B56FE"/>
    <w:rsid w:val="008B5B44"/>
    <w:rsid w:val="008B5E91"/>
    <w:rsid w:val="008B61C1"/>
    <w:rsid w:val="008B645E"/>
    <w:rsid w:val="008B71DF"/>
    <w:rsid w:val="008B7A89"/>
    <w:rsid w:val="008C1CBD"/>
    <w:rsid w:val="008C21BF"/>
    <w:rsid w:val="008C25BE"/>
    <w:rsid w:val="008C298E"/>
    <w:rsid w:val="008C3DBC"/>
    <w:rsid w:val="008C3FEA"/>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583"/>
    <w:rsid w:val="008D272C"/>
    <w:rsid w:val="008D3765"/>
    <w:rsid w:val="008D3B92"/>
    <w:rsid w:val="008D44F6"/>
    <w:rsid w:val="008D4B7D"/>
    <w:rsid w:val="008D4D4C"/>
    <w:rsid w:val="008D5A74"/>
    <w:rsid w:val="008D5C7A"/>
    <w:rsid w:val="008D67A4"/>
    <w:rsid w:val="008D6AFF"/>
    <w:rsid w:val="008D6D48"/>
    <w:rsid w:val="008D6DD4"/>
    <w:rsid w:val="008D6EAE"/>
    <w:rsid w:val="008D6EFE"/>
    <w:rsid w:val="008D7FEF"/>
    <w:rsid w:val="008E0C7F"/>
    <w:rsid w:val="008E10A1"/>
    <w:rsid w:val="008E12A7"/>
    <w:rsid w:val="008E13CE"/>
    <w:rsid w:val="008E13D3"/>
    <w:rsid w:val="008E1D1C"/>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40F4"/>
    <w:rsid w:val="008F468B"/>
    <w:rsid w:val="008F4EDB"/>
    <w:rsid w:val="008F5167"/>
    <w:rsid w:val="008F51F6"/>
    <w:rsid w:val="008F5401"/>
    <w:rsid w:val="008F55B4"/>
    <w:rsid w:val="008F5C0C"/>
    <w:rsid w:val="008F617F"/>
    <w:rsid w:val="008F6CC8"/>
    <w:rsid w:val="008F6F7D"/>
    <w:rsid w:val="008F706F"/>
    <w:rsid w:val="008F77D2"/>
    <w:rsid w:val="008F7919"/>
    <w:rsid w:val="008F7B64"/>
    <w:rsid w:val="00900261"/>
    <w:rsid w:val="009002B8"/>
    <w:rsid w:val="00900826"/>
    <w:rsid w:val="00900BD7"/>
    <w:rsid w:val="0090142F"/>
    <w:rsid w:val="0090285C"/>
    <w:rsid w:val="00902CEC"/>
    <w:rsid w:val="00903CEB"/>
    <w:rsid w:val="00903CED"/>
    <w:rsid w:val="00903DE4"/>
    <w:rsid w:val="0090427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A9C"/>
    <w:rsid w:val="00914CBA"/>
    <w:rsid w:val="00914E8F"/>
    <w:rsid w:val="00914EDF"/>
    <w:rsid w:val="009152D6"/>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60D2"/>
    <w:rsid w:val="00926EF1"/>
    <w:rsid w:val="00927450"/>
    <w:rsid w:val="00927515"/>
    <w:rsid w:val="0092757E"/>
    <w:rsid w:val="00927EC5"/>
    <w:rsid w:val="0093011A"/>
    <w:rsid w:val="00930732"/>
    <w:rsid w:val="00930ACF"/>
    <w:rsid w:val="00930B66"/>
    <w:rsid w:val="0093118F"/>
    <w:rsid w:val="009312E7"/>
    <w:rsid w:val="009319AA"/>
    <w:rsid w:val="00931EC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3E1E"/>
    <w:rsid w:val="009441FE"/>
    <w:rsid w:val="00944B84"/>
    <w:rsid w:val="009453EF"/>
    <w:rsid w:val="0094610F"/>
    <w:rsid w:val="0094665F"/>
    <w:rsid w:val="009467E8"/>
    <w:rsid w:val="00946D38"/>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49C8"/>
    <w:rsid w:val="00954BA0"/>
    <w:rsid w:val="009551A6"/>
    <w:rsid w:val="00955641"/>
    <w:rsid w:val="00955E4E"/>
    <w:rsid w:val="00956319"/>
    <w:rsid w:val="009566C9"/>
    <w:rsid w:val="00956F3C"/>
    <w:rsid w:val="00957253"/>
    <w:rsid w:val="009572D4"/>
    <w:rsid w:val="00957826"/>
    <w:rsid w:val="009578B0"/>
    <w:rsid w:val="00960077"/>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70205"/>
    <w:rsid w:val="009718A0"/>
    <w:rsid w:val="00971FAB"/>
    <w:rsid w:val="00972B0D"/>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56D2"/>
    <w:rsid w:val="00985C00"/>
    <w:rsid w:val="009864AD"/>
    <w:rsid w:val="00986FB5"/>
    <w:rsid w:val="009873DE"/>
    <w:rsid w:val="00987C76"/>
    <w:rsid w:val="00990125"/>
    <w:rsid w:val="0099060A"/>
    <w:rsid w:val="0099093B"/>
    <w:rsid w:val="00990DF2"/>
    <w:rsid w:val="00991763"/>
    <w:rsid w:val="0099229C"/>
    <w:rsid w:val="0099286A"/>
    <w:rsid w:val="00992891"/>
    <w:rsid w:val="00992CA8"/>
    <w:rsid w:val="00992D61"/>
    <w:rsid w:val="00993651"/>
    <w:rsid w:val="00994147"/>
    <w:rsid w:val="009941F3"/>
    <w:rsid w:val="009944DC"/>
    <w:rsid w:val="00994C17"/>
    <w:rsid w:val="00995A39"/>
    <w:rsid w:val="00995D81"/>
    <w:rsid w:val="0099711D"/>
    <w:rsid w:val="009972A7"/>
    <w:rsid w:val="00997625"/>
    <w:rsid w:val="009A0161"/>
    <w:rsid w:val="009A03BD"/>
    <w:rsid w:val="009A0534"/>
    <w:rsid w:val="009A0C6D"/>
    <w:rsid w:val="009A1026"/>
    <w:rsid w:val="009A142A"/>
    <w:rsid w:val="009A1806"/>
    <w:rsid w:val="009A1AB1"/>
    <w:rsid w:val="009A1E97"/>
    <w:rsid w:val="009A207C"/>
    <w:rsid w:val="009A314A"/>
    <w:rsid w:val="009A4648"/>
    <w:rsid w:val="009A4726"/>
    <w:rsid w:val="009A4BEB"/>
    <w:rsid w:val="009A5B38"/>
    <w:rsid w:val="009A624F"/>
    <w:rsid w:val="009A63AD"/>
    <w:rsid w:val="009A6719"/>
    <w:rsid w:val="009A6AC1"/>
    <w:rsid w:val="009A6F22"/>
    <w:rsid w:val="009A70FC"/>
    <w:rsid w:val="009A7210"/>
    <w:rsid w:val="009A7A9F"/>
    <w:rsid w:val="009B2A1A"/>
    <w:rsid w:val="009B2B57"/>
    <w:rsid w:val="009B3213"/>
    <w:rsid w:val="009B34B0"/>
    <w:rsid w:val="009B364D"/>
    <w:rsid w:val="009B3C12"/>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9DC"/>
    <w:rsid w:val="009C45F8"/>
    <w:rsid w:val="009C4802"/>
    <w:rsid w:val="009C4C30"/>
    <w:rsid w:val="009C4E4F"/>
    <w:rsid w:val="009C5072"/>
    <w:rsid w:val="009C5A66"/>
    <w:rsid w:val="009C5CAE"/>
    <w:rsid w:val="009C6AA3"/>
    <w:rsid w:val="009C6C59"/>
    <w:rsid w:val="009C7EE9"/>
    <w:rsid w:val="009D06EA"/>
    <w:rsid w:val="009D1AE3"/>
    <w:rsid w:val="009D2231"/>
    <w:rsid w:val="009D23C9"/>
    <w:rsid w:val="009D27D6"/>
    <w:rsid w:val="009D2C9A"/>
    <w:rsid w:val="009D3790"/>
    <w:rsid w:val="009D3958"/>
    <w:rsid w:val="009D473D"/>
    <w:rsid w:val="009D4FC6"/>
    <w:rsid w:val="009D5693"/>
    <w:rsid w:val="009D5DE5"/>
    <w:rsid w:val="009D6C08"/>
    <w:rsid w:val="009D6ED5"/>
    <w:rsid w:val="009D7288"/>
    <w:rsid w:val="009D7F70"/>
    <w:rsid w:val="009E0AF2"/>
    <w:rsid w:val="009E186D"/>
    <w:rsid w:val="009E209E"/>
    <w:rsid w:val="009E259C"/>
    <w:rsid w:val="009E27B7"/>
    <w:rsid w:val="009E2AFD"/>
    <w:rsid w:val="009E2BE1"/>
    <w:rsid w:val="009E32F7"/>
    <w:rsid w:val="009E3520"/>
    <w:rsid w:val="009E35AD"/>
    <w:rsid w:val="009E35B8"/>
    <w:rsid w:val="009E374C"/>
    <w:rsid w:val="009E3BB5"/>
    <w:rsid w:val="009E4350"/>
    <w:rsid w:val="009E4652"/>
    <w:rsid w:val="009E5599"/>
    <w:rsid w:val="009E5BD4"/>
    <w:rsid w:val="009E662B"/>
    <w:rsid w:val="009E6681"/>
    <w:rsid w:val="009E679B"/>
    <w:rsid w:val="009E7668"/>
    <w:rsid w:val="009E7E4A"/>
    <w:rsid w:val="009F018B"/>
    <w:rsid w:val="009F0CD6"/>
    <w:rsid w:val="009F0EE4"/>
    <w:rsid w:val="009F130F"/>
    <w:rsid w:val="009F1360"/>
    <w:rsid w:val="009F13B6"/>
    <w:rsid w:val="009F174B"/>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9BB"/>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2F11"/>
    <w:rsid w:val="00A137CA"/>
    <w:rsid w:val="00A14148"/>
    <w:rsid w:val="00A141AC"/>
    <w:rsid w:val="00A14709"/>
    <w:rsid w:val="00A14B57"/>
    <w:rsid w:val="00A14E1C"/>
    <w:rsid w:val="00A153D5"/>
    <w:rsid w:val="00A15FC8"/>
    <w:rsid w:val="00A1600F"/>
    <w:rsid w:val="00A16123"/>
    <w:rsid w:val="00A16F60"/>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91F"/>
    <w:rsid w:val="00A32057"/>
    <w:rsid w:val="00A3221C"/>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B06"/>
    <w:rsid w:val="00A42C8D"/>
    <w:rsid w:val="00A43B9F"/>
    <w:rsid w:val="00A45052"/>
    <w:rsid w:val="00A45082"/>
    <w:rsid w:val="00A450AD"/>
    <w:rsid w:val="00A452DD"/>
    <w:rsid w:val="00A46558"/>
    <w:rsid w:val="00A47013"/>
    <w:rsid w:val="00A4709D"/>
    <w:rsid w:val="00A471BD"/>
    <w:rsid w:val="00A474C0"/>
    <w:rsid w:val="00A475F7"/>
    <w:rsid w:val="00A47763"/>
    <w:rsid w:val="00A477C5"/>
    <w:rsid w:val="00A47BC4"/>
    <w:rsid w:val="00A50393"/>
    <w:rsid w:val="00A5047A"/>
    <w:rsid w:val="00A50621"/>
    <w:rsid w:val="00A509D1"/>
    <w:rsid w:val="00A50F08"/>
    <w:rsid w:val="00A51638"/>
    <w:rsid w:val="00A52D4B"/>
    <w:rsid w:val="00A5320C"/>
    <w:rsid w:val="00A53CDB"/>
    <w:rsid w:val="00A544D5"/>
    <w:rsid w:val="00A54515"/>
    <w:rsid w:val="00A54A74"/>
    <w:rsid w:val="00A54AE0"/>
    <w:rsid w:val="00A54D12"/>
    <w:rsid w:val="00A54F01"/>
    <w:rsid w:val="00A55015"/>
    <w:rsid w:val="00A55194"/>
    <w:rsid w:val="00A556D1"/>
    <w:rsid w:val="00A5622C"/>
    <w:rsid w:val="00A56D2C"/>
    <w:rsid w:val="00A56ED6"/>
    <w:rsid w:val="00A57331"/>
    <w:rsid w:val="00A573F2"/>
    <w:rsid w:val="00A600AD"/>
    <w:rsid w:val="00A60CCF"/>
    <w:rsid w:val="00A62766"/>
    <w:rsid w:val="00A62D33"/>
    <w:rsid w:val="00A62EE1"/>
    <w:rsid w:val="00A63A42"/>
    <w:rsid w:val="00A6452F"/>
    <w:rsid w:val="00A64849"/>
    <w:rsid w:val="00A65D43"/>
    <w:rsid w:val="00A664D7"/>
    <w:rsid w:val="00A668F8"/>
    <w:rsid w:val="00A66F42"/>
    <w:rsid w:val="00A6784F"/>
    <w:rsid w:val="00A70748"/>
    <w:rsid w:val="00A70C71"/>
    <w:rsid w:val="00A716B5"/>
    <w:rsid w:val="00A718B5"/>
    <w:rsid w:val="00A71A4F"/>
    <w:rsid w:val="00A72D0E"/>
    <w:rsid w:val="00A73457"/>
    <w:rsid w:val="00A739F8"/>
    <w:rsid w:val="00A75848"/>
    <w:rsid w:val="00A7584E"/>
    <w:rsid w:val="00A76E0D"/>
    <w:rsid w:val="00A77B5A"/>
    <w:rsid w:val="00A77F07"/>
    <w:rsid w:val="00A77F15"/>
    <w:rsid w:val="00A80342"/>
    <w:rsid w:val="00A807D4"/>
    <w:rsid w:val="00A80BCA"/>
    <w:rsid w:val="00A81663"/>
    <w:rsid w:val="00A81C62"/>
    <w:rsid w:val="00A8213A"/>
    <w:rsid w:val="00A825FE"/>
    <w:rsid w:val="00A82BFA"/>
    <w:rsid w:val="00A837AB"/>
    <w:rsid w:val="00A837CC"/>
    <w:rsid w:val="00A84051"/>
    <w:rsid w:val="00A8406D"/>
    <w:rsid w:val="00A842FD"/>
    <w:rsid w:val="00A84859"/>
    <w:rsid w:val="00A848AF"/>
    <w:rsid w:val="00A84A9C"/>
    <w:rsid w:val="00A84E39"/>
    <w:rsid w:val="00A85502"/>
    <w:rsid w:val="00A858F4"/>
    <w:rsid w:val="00A85A7D"/>
    <w:rsid w:val="00A87688"/>
    <w:rsid w:val="00A87B46"/>
    <w:rsid w:val="00A90021"/>
    <w:rsid w:val="00A90273"/>
    <w:rsid w:val="00A917D9"/>
    <w:rsid w:val="00A91835"/>
    <w:rsid w:val="00A9195A"/>
    <w:rsid w:val="00A92397"/>
    <w:rsid w:val="00A92A4D"/>
    <w:rsid w:val="00A92AB9"/>
    <w:rsid w:val="00A9390F"/>
    <w:rsid w:val="00A93A80"/>
    <w:rsid w:val="00A93D3A"/>
    <w:rsid w:val="00A9449A"/>
    <w:rsid w:val="00A94DA4"/>
    <w:rsid w:val="00A958A0"/>
    <w:rsid w:val="00A95E39"/>
    <w:rsid w:val="00A9731E"/>
    <w:rsid w:val="00AA002E"/>
    <w:rsid w:val="00AA0344"/>
    <w:rsid w:val="00AA0CB9"/>
    <w:rsid w:val="00AA109C"/>
    <w:rsid w:val="00AA1364"/>
    <w:rsid w:val="00AA1399"/>
    <w:rsid w:val="00AA186A"/>
    <w:rsid w:val="00AA1E2B"/>
    <w:rsid w:val="00AA229E"/>
    <w:rsid w:val="00AA2BC3"/>
    <w:rsid w:val="00AA2CB3"/>
    <w:rsid w:val="00AA33D3"/>
    <w:rsid w:val="00AA4086"/>
    <w:rsid w:val="00AA4739"/>
    <w:rsid w:val="00AA56D1"/>
    <w:rsid w:val="00AA6601"/>
    <w:rsid w:val="00AA7113"/>
    <w:rsid w:val="00AB0475"/>
    <w:rsid w:val="00AB0A1B"/>
    <w:rsid w:val="00AB102C"/>
    <w:rsid w:val="00AB103B"/>
    <w:rsid w:val="00AB140A"/>
    <w:rsid w:val="00AB142E"/>
    <w:rsid w:val="00AB1877"/>
    <w:rsid w:val="00AB1ADB"/>
    <w:rsid w:val="00AB236C"/>
    <w:rsid w:val="00AB2710"/>
    <w:rsid w:val="00AB30BC"/>
    <w:rsid w:val="00AB47F3"/>
    <w:rsid w:val="00AB4961"/>
    <w:rsid w:val="00AB4BCF"/>
    <w:rsid w:val="00AB55AB"/>
    <w:rsid w:val="00AB58F4"/>
    <w:rsid w:val="00AB6C9A"/>
    <w:rsid w:val="00AB794A"/>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654B"/>
    <w:rsid w:val="00AC6954"/>
    <w:rsid w:val="00AC6D37"/>
    <w:rsid w:val="00AD0766"/>
    <w:rsid w:val="00AD08FD"/>
    <w:rsid w:val="00AD26EA"/>
    <w:rsid w:val="00AD30EF"/>
    <w:rsid w:val="00AD3A38"/>
    <w:rsid w:val="00AD567E"/>
    <w:rsid w:val="00AD66FF"/>
    <w:rsid w:val="00AD7743"/>
    <w:rsid w:val="00AE0044"/>
    <w:rsid w:val="00AE0FCF"/>
    <w:rsid w:val="00AE105C"/>
    <w:rsid w:val="00AE1560"/>
    <w:rsid w:val="00AE270A"/>
    <w:rsid w:val="00AE29E1"/>
    <w:rsid w:val="00AE2ACE"/>
    <w:rsid w:val="00AE2AED"/>
    <w:rsid w:val="00AE2B0C"/>
    <w:rsid w:val="00AE2C11"/>
    <w:rsid w:val="00AE2F2F"/>
    <w:rsid w:val="00AE31A8"/>
    <w:rsid w:val="00AE3A16"/>
    <w:rsid w:val="00AE3A6C"/>
    <w:rsid w:val="00AE3E64"/>
    <w:rsid w:val="00AE44C2"/>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740"/>
    <w:rsid w:val="00B0174D"/>
    <w:rsid w:val="00B017CD"/>
    <w:rsid w:val="00B01E46"/>
    <w:rsid w:val="00B02690"/>
    <w:rsid w:val="00B02907"/>
    <w:rsid w:val="00B02D25"/>
    <w:rsid w:val="00B0375C"/>
    <w:rsid w:val="00B0383B"/>
    <w:rsid w:val="00B038B2"/>
    <w:rsid w:val="00B04B33"/>
    <w:rsid w:val="00B04B59"/>
    <w:rsid w:val="00B04BFC"/>
    <w:rsid w:val="00B04C96"/>
    <w:rsid w:val="00B0516C"/>
    <w:rsid w:val="00B057BA"/>
    <w:rsid w:val="00B05AA9"/>
    <w:rsid w:val="00B06628"/>
    <w:rsid w:val="00B068F6"/>
    <w:rsid w:val="00B06AC9"/>
    <w:rsid w:val="00B06EB0"/>
    <w:rsid w:val="00B071B4"/>
    <w:rsid w:val="00B1104E"/>
    <w:rsid w:val="00B124A2"/>
    <w:rsid w:val="00B12774"/>
    <w:rsid w:val="00B13F11"/>
    <w:rsid w:val="00B143FC"/>
    <w:rsid w:val="00B148A7"/>
    <w:rsid w:val="00B148A8"/>
    <w:rsid w:val="00B14B3E"/>
    <w:rsid w:val="00B14FB4"/>
    <w:rsid w:val="00B1602E"/>
    <w:rsid w:val="00B16108"/>
    <w:rsid w:val="00B164A2"/>
    <w:rsid w:val="00B16C8E"/>
    <w:rsid w:val="00B16C9F"/>
    <w:rsid w:val="00B17F4F"/>
    <w:rsid w:val="00B20131"/>
    <w:rsid w:val="00B21546"/>
    <w:rsid w:val="00B2159E"/>
    <w:rsid w:val="00B2311C"/>
    <w:rsid w:val="00B231B3"/>
    <w:rsid w:val="00B23796"/>
    <w:rsid w:val="00B238C8"/>
    <w:rsid w:val="00B23A3E"/>
    <w:rsid w:val="00B23C33"/>
    <w:rsid w:val="00B243ED"/>
    <w:rsid w:val="00B24423"/>
    <w:rsid w:val="00B254B0"/>
    <w:rsid w:val="00B254D6"/>
    <w:rsid w:val="00B259FE"/>
    <w:rsid w:val="00B25C84"/>
    <w:rsid w:val="00B25E99"/>
    <w:rsid w:val="00B26D14"/>
    <w:rsid w:val="00B2730F"/>
    <w:rsid w:val="00B30405"/>
    <w:rsid w:val="00B30889"/>
    <w:rsid w:val="00B30CBC"/>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3BF6"/>
    <w:rsid w:val="00B34135"/>
    <w:rsid w:val="00B3413B"/>
    <w:rsid w:val="00B3426A"/>
    <w:rsid w:val="00B346DB"/>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3053"/>
    <w:rsid w:val="00B43AC4"/>
    <w:rsid w:val="00B444BD"/>
    <w:rsid w:val="00B44D9E"/>
    <w:rsid w:val="00B44F97"/>
    <w:rsid w:val="00B45F94"/>
    <w:rsid w:val="00B46204"/>
    <w:rsid w:val="00B46B52"/>
    <w:rsid w:val="00B46B8E"/>
    <w:rsid w:val="00B47266"/>
    <w:rsid w:val="00B4790A"/>
    <w:rsid w:val="00B5006C"/>
    <w:rsid w:val="00B504B6"/>
    <w:rsid w:val="00B506B6"/>
    <w:rsid w:val="00B50887"/>
    <w:rsid w:val="00B5163A"/>
    <w:rsid w:val="00B518D1"/>
    <w:rsid w:val="00B51B72"/>
    <w:rsid w:val="00B51E6E"/>
    <w:rsid w:val="00B52439"/>
    <w:rsid w:val="00B5345B"/>
    <w:rsid w:val="00B5391B"/>
    <w:rsid w:val="00B53B27"/>
    <w:rsid w:val="00B53E0F"/>
    <w:rsid w:val="00B54174"/>
    <w:rsid w:val="00B5468D"/>
    <w:rsid w:val="00B54C10"/>
    <w:rsid w:val="00B54C9F"/>
    <w:rsid w:val="00B55113"/>
    <w:rsid w:val="00B55121"/>
    <w:rsid w:val="00B55245"/>
    <w:rsid w:val="00B56035"/>
    <w:rsid w:val="00B56F16"/>
    <w:rsid w:val="00B56F72"/>
    <w:rsid w:val="00B57787"/>
    <w:rsid w:val="00B60120"/>
    <w:rsid w:val="00B6020B"/>
    <w:rsid w:val="00B60B97"/>
    <w:rsid w:val="00B61155"/>
    <w:rsid w:val="00B6148E"/>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7007"/>
    <w:rsid w:val="00B671CA"/>
    <w:rsid w:val="00B67259"/>
    <w:rsid w:val="00B677DA"/>
    <w:rsid w:val="00B67B8B"/>
    <w:rsid w:val="00B70935"/>
    <w:rsid w:val="00B70A5C"/>
    <w:rsid w:val="00B713FB"/>
    <w:rsid w:val="00B7174D"/>
    <w:rsid w:val="00B71DAE"/>
    <w:rsid w:val="00B720F9"/>
    <w:rsid w:val="00B72899"/>
    <w:rsid w:val="00B72E2D"/>
    <w:rsid w:val="00B73F1A"/>
    <w:rsid w:val="00B74444"/>
    <w:rsid w:val="00B74B8C"/>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B78"/>
    <w:rsid w:val="00B82D57"/>
    <w:rsid w:val="00B834CA"/>
    <w:rsid w:val="00B83BAA"/>
    <w:rsid w:val="00B83CF8"/>
    <w:rsid w:val="00B84C56"/>
    <w:rsid w:val="00B85366"/>
    <w:rsid w:val="00B85724"/>
    <w:rsid w:val="00B85B54"/>
    <w:rsid w:val="00B866C4"/>
    <w:rsid w:val="00B86ABA"/>
    <w:rsid w:val="00B86FEF"/>
    <w:rsid w:val="00B872DF"/>
    <w:rsid w:val="00B875A7"/>
    <w:rsid w:val="00B8790A"/>
    <w:rsid w:val="00B87C49"/>
    <w:rsid w:val="00B906B2"/>
    <w:rsid w:val="00B90C3E"/>
    <w:rsid w:val="00B920B8"/>
    <w:rsid w:val="00B92130"/>
    <w:rsid w:val="00B93D45"/>
    <w:rsid w:val="00B94043"/>
    <w:rsid w:val="00B94777"/>
    <w:rsid w:val="00B94856"/>
    <w:rsid w:val="00B94CEC"/>
    <w:rsid w:val="00B9506C"/>
    <w:rsid w:val="00B9543E"/>
    <w:rsid w:val="00B959F9"/>
    <w:rsid w:val="00B95FFF"/>
    <w:rsid w:val="00B96178"/>
    <w:rsid w:val="00B96849"/>
    <w:rsid w:val="00B96D91"/>
    <w:rsid w:val="00B971B4"/>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CD"/>
    <w:rsid w:val="00BA44B2"/>
    <w:rsid w:val="00BA4DE2"/>
    <w:rsid w:val="00BA517E"/>
    <w:rsid w:val="00BA6E70"/>
    <w:rsid w:val="00BA6E92"/>
    <w:rsid w:val="00BA7112"/>
    <w:rsid w:val="00BB0335"/>
    <w:rsid w:val="00BB1726"/>
    <w:rsid w:val="00BB24AF"/>
    <w:rsid w:val="00BB27A7"/>
    <w:rsid w:val="00BB28FC"/>
    <w:rsid w:val="00BB2E7A"/>
    <w:rsid w:val="00BB33E8"/>
    <w:rsid w:val="00BB3A5A"/>
    <w:rsid w:val="00BB5508"/>
    <w:rsid w:val="00BB55EC"/>
    <w:rsid w:val="00BB562D"/>
    <w:rsid w:val="00BB60B4"/>
    <w:rsid w:val="00BB60EB"/>
    <w:rsid w:val="00BC016F"/>
    <w:rsid w:val="00BC0317"/>
    <w:rsid w:val="00BC0332"/>
    <w:rsid w:val="00BC0937"/>
    <w:rsid w:val="00BC16C1"/>
    <w:rsid w:val="00BC1897"/>
    <w:rsid w:val="00BC1E5D"/>
    <w:rsid w:val="00BC1F51"/>
    <w:rsid w:val="00BC226F"/>
    <w:rsid w:val="00BC2A13"/>
    <w:rsid w:val="00BC2FA9"/>
    <w:rsid w:val="00BC3045"/>
    <w:rsid w:val="00BC30FA"/>
    <w:rsid w:val="00BC325E"/>
    <w:rsid w:val="00BC3C10"/>
    <w:rsid w:val="00BC3C63"/>
    <w:rsid w:val="00BC40E0"/>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11F6"/>
    <w:rsid w:val="00BD1A78"/>
    <w:rsid w:val="00BD3868"/>
    <w:rsid w:val="00BD3969"/>
    <w:rsid w:val="00BD458D"/>
    <w:rsid w:val="00BD494E"/>
    <w:rsid w:val="00BD49A3"/>
    <w:rsid w:val="00BD5BF9"/>
    <w:rsid w:val="00BD60EB"/>
    <w:rsid w:val="00BD6263"/>
    <w:rsid w:val="00BD6407"/>
    <w:rsid w:val="00BD68AA"/>
    <w:rsid w:val="00BD6D9A"/>
    <w:rsid w:val="00BD75F2"/>
    <w:rsid w:val="00BD79ED"/>
    <w:rsid w:val="00BD7A43"/>
    <w:rsid w:val="00BE090B"/>
    <w:rsid w:val="00BE10BC"/>
    <w:rsid w:val="00BE138B"/>
    <w:rsid w:val="00BE18E9"/>
    <w:rsid w:val="00BE1DFB"/>
    <w:rsid w:val="00BE1EF9"/>
    <w:rsid w:val="00BE24CC"/>
    <w:rsid w:val="00BE2B92"/>
    <w:rsid w:val="00BE2F2B"/>
    <w:rsid w:val="00BE3B8F"/>
    <w:rsid w:val="00BE4423"/>
    <w:rsid w:val="00BE46A9"/>
    <w:rsid w:val="00BE46F5"/>
    <w:rsid w:val="00BE5BA8"/>
    <w:rsid w:val="00BE60A8"/>
    <w:rsid w:val="00BE688D"/>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A06"/>
    <w:rsid w:val="00BF532B"/>
    <w:rsid w:val="00BF5A50"/>
    <w:rsid w:val="00BF676D"/>
    <w:rsid w:val="00BF694B"/>
    <w:rsid w:val="00BF6E5F"/>
    <w:rsid w:val="00BF739C"/>
    <w:rsid w:val="00BF784C"/>
    <w:rsid w:val="00BF7A76"/>
    <w:rsid w:val="00BF7FD8"/>
    <w:rsid w:val="00C00B2C"/>
    <w:rsid w:val="00C012A7"/>
    <w:rsid w:val="00C0263D"/>
    <w:rsid w:val="00C027FA"/>
    <w:rsid w:val="00C0282F"/>
    <w:rsid w:val="00C03989"/>
    <w:rsid w:val="00C039BF"/>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4518"/>
    <w:rsid w:val="00C14958"/>
    <w:rsid w:val="00C14E52"/>
    <w:rsid w:val="00C15276"/>
    <w:rsid w:val="00C1570A"/>
    <w:rsid w:val="00C16509"/>
    <w:rsid w:val="00C1672E"/>
    <w:rsid w:val="00C16AB9"/>
    <w:rsid w:val="00C1767F"/>
    <w:rsid w:val="00C17AD8"/>
    <w:rsid w:val="00C17E8D"/>
    <w:rsid w:val="00C20919"/>
    <w:rsid w:val="00C20ACC"/>
    <w:rsid w:val="00C210B0"/>
    <w:rsid w:val="00C2124C"/>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3370"/>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50C0F"/>
    <w:rsid w:val="00C50E12"/>
    <w:rsid w:val="00C50F9A"/>
    <w:rsid w:val="00C516D8"/>
    <w:rsid w:val="00C52590"/>
    <w:rsid w:val="00C53879"/>
    <w:rsid w:val="00C54072"/>
    <w:rsid w:val="00C54C99"/>
    <w:rsid w:val="00C55021"/>
    <w:rsid w:val="00C55F9C"/>
    <w:rsid w:val="00C56996"/>
    <w:rsid w:val="00C56BBF"/>
    <w:rsid w:val="00C56D91"/>
    <w:rsid w:val="00C571DB"/>
    <w:rsid w:val="00C577FD"/>
    <w:rsid w:val="00C57D06"/>
    <w:rsid w:val="00C601FB"/>
    <w:rsid w:val="00C606A7"/>
    <w:rsid w:val="00C61186"/>
    <w:rsid w:val="00C61DA3"/>
    <w:rsid w:val="00C61F77"/>
    <w:rsid w:val="00C61FC5"/>
    <w:rsid w:val="00C62028"/>
    <w:rsid w:val="00C62731"/>
    <w:rsid w:val="00C634FE"/>
    <w:rsid w:val="00C63AEB"/>
    <w:rsid w:val="00C64270"/>
    <w:rsid w:val="00C6469E"/>
    <w:rsid w:val="00C658B2"/>
    <w:rsid w:val="00C65A75"/>
    <w:rsid w:val="00C66AE8"/>
    <w:rsid w:val="00C67012"/>
    <w:rsid w:val="00C6743F"/>
    <w:rsid w:val="00C6749E"/>
    <w:rsid w:val="00C677CE"/>
    <w:rsid w:val="00C67DBC"/>
    <w:rsid w:val="00C70107"/>
    <w:rsid w:val="00C70D10"/>
    <w:rsid w:val="00C70D77"/>
    <w:rsid w:val="00C71644"/>
    <w:rsid w:val="00C71649"/>
    <w:rsid w:val="00C71BC6"/>
    <w:rsid w:val="00C71C06"/>
    <w:rsid w:val="00C74213"/>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611"/>
    <w:rsid w:val="00C84D77"/>
    <w:rsid w:val="00C850DD"/>
    <w:rsid w:val="00C867A2"/>
    <w:rsid w:val="00C868BF"/>
    <w:rsid w:val="00C87492"/>
    <w:rsid w:val="00C8762D"/>
    <w:rsid w:val="00C87C0D"/>
    <w:rsid w:val="00C9072E"/>
    <w:rsid w:val="00C908EE"/>
    <w:rsid w:val="00C90C05"/>
    <w:rsid w:val="00C90C2D"/>
    <w:rsid w:val="00C912C0"/>
    <w:rsid w:val="00C914DD"/>
    <w:rsid w:val="00C9212F"/>
    <w:rsid w:val="00C926DB"/>
    <w:rsid w:val="00C9281C"/>
    <w:rsid w:val="00C92E9B"/>
    <w:rsid w:val="00C9365F"/>
    <w:rsid w:val="00C93A1A"/>
    <w:rsid w:val="00C941FE"/>
    <w:rsid w:val="00C943B5"/>
    <w:rsid w:val="00C94426"/>
    <w:rsid w:val="00C952A6"/>
    <w:rsid w:val="00C95B75"/>
    <w:rsid w:val="00C96766"/>
    <w:rsid w:val="00C96F1E"/>
    <w:rsid w:val="00CA08E0"/>
    <w:rsid w:val="00CA0B96"/>
    <w:rsid w:val="00CA0F18"/>
    <w:rsid w:val="00CA160A"/>
    <w:rsid w:val="00CA21E7"/>
    <w:rsid w:val="00CA2380"/>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465"/>
    <w:rsid w:val="00CB1504"/>
    <w:rsid w:val="00CB1996"/>
    <w:rsid w:val="00CB1FB6"/>
    <w:rsid w:val="00CB23A5"/>
    <w:rsid w:val="00CB2671"/>
    <w:rsid w:val="00CB299F"/>
    <w:rsid w:val="00CB2EE3"/>
    <w:rsid w:val="00CB2F57"/>
    <w:rsid w:val="00CB327E"/>
    <w:rsid w:val="00CB3339"/>
    <w:rsid w:val="00CB433E"/>
    <w:rsid w:val="00CB4B84"/>
    <w:rsid w:val="00CB4DD3"/>
    <w:rsid w:val="00CB59C4"/>
    <w:rsid w:val="00CB6119"/>
    <w:rsid w:val="00CB6522"/>
    <w:rsid w:val="00CB7101"/>
    <w:rsid w:val="00CB725F"/>
    <w:rsid w:val="00CB7A73"/>
    <w:rsid w:val="00CC0387"/>
    <w:rsid w:val="00CC03F9"/>
    <w:rsid w:val="00CC0B6B"/>
    <w:rsid w:val="00CC0FE1"/>
    <w:rsid w:val="00CC18EA"/>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9C3"/>
    <w:rsid w:val="00CC6B14"/>
    <w:rsid w:val="00CC6BB5"/>
    <w:rsid w:val="00CC6F44"/>
    <w:rsid w:val="00CC7B4C"/>
    <w:rsid w:val="00CC7B6B"/>
    <w:rsid w:val="00CC7E72"/>
    <w:rsid w:val="00CD032B"/>
    <w:rsid w:val="00CD0443"/>
    <w:rsid w:val="00CD0DE4"/>
    <w:rsid w:val="00CD13AF"/>
    <w:rsid w:val="00CD1836"/>
    <w:rsid w:val="00CD19C0"/>
    <w:rsid w:val="00CD1A2A"/>
    <w:rsid w:val="00CD281B"/>
    <w:rsid w:val="00CD3A75"/>
    <w:rsid w:val="00CD3C6F"/>
    <w:rsid w:val="00CD4148"/>
    <w:rsid w:val="00CD5579"/>
    <w:rsid w:val="00CD5B6A"/>
    <w:rsid w:val="00CD6FDD"/>
    <w:rsid w:val="00CD7040"/>
    <w:rsid w:val="00CD7A3A"/>
    <w:rsid w:val="00CD7A57"/>
    <w:rsid w:val="00CD7D53"/>
    <w:rsid w:val="00CE0239"/>
    <w:rsid w:val="00CE0993"/>
    <w:rsid w:val="00CE09B2"/>
    <w:rsid w:val="00CE0C4E"/>
    <w:rsid w:val="00CE2479"/>
    <w:rsid w:val="00CE327C"/>
    <w:rsid w:val="00CE3806"/>
    <w:rsid w:val="00CE3B10"/>
    <w:rsid w:val="00CE3C8F"/>
    <w:rsid w:val="00CE459B"/>
    <w:rsid w:val="00CE48CA"/>
    <w:rsid w:val="00CE4934"/>
    <w:rsid w:val="00CE5124"/>
    <w:rsid w:val="00CE5D95"/>
    <w:rsid w:val="00CE5EC6"/>
    <w:rsid w:val="00CE688B"/>
    <w:rsid w:val="00CE6F26"/>
    <w:rsid w:val="00CE73FB"/>
    <w:rsid w:val="00CE758A"/>
    <w:rsid w:val="00CE7649"/>
    <w:rsid w:val="00CE7C85"/>
    <w:rsid w:val="00CF02A7"/>
    <w:rsid w:val="00CF0393"/>
    <w:rsid w:val="00CF0FD0"/>
    <w:rsid w:val="00CF1AA0"/>
    <w:rsid w:val="00CF2379"/>
    <w:rsid w:val="00CF2484"/>
    <w:rsid w:val="00CF40F9"/>
    <w:rsid w:val="00CF4E00"/>
    <w:rsid w:val="00CF501C"/>
    <w:rsid w:val="00CF5575"/>
    <w:rsid w:val="00CF6BC7"/>
    <w:rsid w:val="00CF6EE3"/>
    <w:rsid w:val="00CF7C1D"/>
    <w:rsid w:val="00D0046E"/>
    <w:rsid w:val="00D00E6E"/>
    <w:rsid w:val="00D01B43"/>
    <w:rsid w:val="00D020C2"/>
    <w:rsid w:val="00D027B3"/>
    <w:rsid w:val="00D027CD"/>
    <w:rsid w:val="00D04389"/>
    <w:rsid w:val="00D04508"/>
    <w:rsid w:val="00D04679"/>
    <w:rsid w:val="00D04D12"/>
    <w:rsid w:val="00D04E6B"/>
    <w:rsid w:val="00D05D22"/>
    <w:rsid w:val="00D05E62"/>
    <w:rsid w:val="00D06041"/>
    <w:rsid w:val="00D062A0"/>
    <w:rsid w:val="00D0788E"/>
    <w:rsid w:val="00D07AF4"/>
    <w:rsid w:val="00D07F21"/>
    <w:rsid w:val="00D101AA"/>
    <w:rsid w:val="00D105EF"/>
    <w:rsid w:val="00D10C69"/>
    <w:rsid w:val="00D113D4"/>
    <w:rsid w:val="00D1144A"/>
    <w:rsid w:val="00D11D37"/>
    <w:rsid w:val="00D126BB"/>
    <w:rsid w:val="00D13307"/>
    <w:rsid w:val="00D13B4E"/>
    <w:rsid w:val="00D13FB8"/>
    <w:rsid w:val="00D140D3"/>
    <w:rsid w:val="00D14151"/>
    <w:rsid w:val="00D143E2"/>
    <w:rsid w:val="00D14729"/>
    <w:rsid w:val="00D14BDA"/>
    <w:rsid w:val="00D153A3"/>
    <w:rsid w:val="00D1566E"/>
    <w:rsid w:val="00D158AE"/>
    <w:rsid w:val="00D15931"/>
    <w:rsid w:val="00D159DE"/>
    <w:rsid w:val="00D15EEA"/>
    <w:rsid w:val="00D161E7"/>
    <w:rsid w:val="00D1750B"/>
    <w:rsid w:val="00D200F5"/>
    <w:rsid w:val="00D20570"/>
    <w:rsid w:val="00D20608"/>
    <w:rsid w:val="00D216F8"/>
    <w:rsid w:val="00D223A2"/>
    <w:rsid w:val="00D225A7"/>
    <w:rsid w:val="00D22EB6"/>
    <w:rsid w:val="00D22F2D"/>
    <w:rsid w:val="00D241B7"/>
    <w:rsid w:val="00D243AF"/>
    <w:rsid w:val="00D24649"/>
    <w:rsid w:val="00D248DC"/>
    <w:rsid w:val="00D24D23"/>
    <w:rsid w:val="00D26070"/>
    <w:rsid w:val="00D26165"/>
    <w:rsid w:val="00D2622E"/>
    <w:rsid w:val="00D2646B"/>
    <w:rsid w:val="00D265A8"/>
    <w:rsid w:val="00D27400"/>
    <w:rsid w:val="00D27C8C"/>
    <w:rsid w:val="00D27E3B"/>
    <w:rsid w:val="00D27E7C"/>
    <w:rsid w:val="00D3012F"/>
    <w:rsid w:val="00D30864"/>
    <w:rsid w:val="00D309F9"/>
    <w:rsid w:val="00D30A15"/>
    <w:rsid w:val="00D327AA"/>
    <w:rsid w:val="00D32849"/>
    <w:rsid w:val="00D33204"/>
    <w:rsid w:val="00D3327B"/>
    <w:rsid w:val="00D33503"/>
    <w:rsid w:val="00D3383E"/>
    <w:rsid w:val="00D3587D"/>
    <w:rsid w:val="00D35B39"/>
    <w:rsid w:val="00D35ED3"/>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E7E"/>
    <w:rsid w:val="00D43F7C"/>
    <w:rsid w:val="00D44BF7"/>
    <w:rsid w:val="00D44DB6"/>
    <w:rsid w:val="00D450E9"/>
    <w:rsid w:val="00D456E8"/>
    <w:rsid w:val="00D456EC"/>
    <w:rsid w:val="00D457E6"/>
    <w:rsid w:val="00D467AB"/>
    <w:rsid w:val="00D50182"/>
    <w:rsid w:val="00D5031E"/>
    <w:rsid w:val="00D5051E"/>
    <w:rsid w:val="00D50582"/>
    <w:rsid w:val="00D50960"/>
    <w:rsid w:val="00D50C4D"/>
    <w:rsid w:val="00D51145"/>
    <w:rsid w:val="00D51690"/>
    <w:rsid w:val="00D51D38"/>
    <w:rsid w:val="00D52469"/>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3105"/>
    <w:rsid w:val="00D6322C"/>
    <w:rsid w:val="00D63BD9"/>
    <w:rsid w:val="00D64591"/>
    <w:rsid w:val="00D64954"/>
    <w:rsid w:val="00D64C7F"/>
    <w:rsid w:val="00D6682A"/>
    <w:rsid w:val="00D66999"/>
    <w:rsid w:val="00D67AC3"/>
    <w:rsid w:val="00D70483"/>
    <w:rsid w:val="00D706BC"/>
    <w:rsid w:val="00D7176A"/>
    <w:rsid w:val="00D71CFB"/>
    <w:rsid w:val="00D71D4E"/>
    <w:rsid w:val="00D72A62"/>
    <w:rsid w:val="00D72C91"/>
    <w:rsid w:val="00D7301C"/>
    <w:rsid w:val="00D7317A"/>
    <w:rsid w:val="00D738F9"/>
    <w:rsid w:val="00D75AB7"/>
    <w:rsid w:val="00D7618C"/>
    <w:rsid w:val="00D761A2"/>
    <w:rsid w:val="00D76DA0"/>
    <w:rsid w:val="00D774B9"/>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4E"/>
    <w:rsid w:val="00DA559B"/>
    <w:rsid w:val="00DA6CC0"/>
    <w:rsid w:val="00DA6FCB"/>
    <w:rsid w:val="00DA7511"/>
    <w:rsid w:val="00DA7597"/>
    <w:rsid w:val="00DA7B68"/>
    <w:rsid w:val="00DB055B"/>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63F3"/>
    <w:rsid w:val="00DB6D95"/>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DD6"/>
    <w:rsid w:val="00DD0765"/>
    <w:rsid w:val="00DD14FA"/>
    <w:rsid w:val="00DD1857"/>
    <w:rsid w:val="00DD38C9"/>
    <w:rsid w:val="00DD3BFD"/>
    <w:rsid w:val="00DD4308"/>
    <w:rsid w:val="00DD43A5"/>
    <w:rsid w:val="00DD550E"/>
    <w:rsid w:val="00DD597F"/>
    <w:rsid w:val="00DD5D13"/>
    <w:rsid w:val="00DD5E66"/>
    <w:rsid w:val="00DD6060"/>
    <w:rsid w:val="00DD632C"/>
    <w:rsid w:val="00DD6B50"/>
    <w:rsid w:val="00DD6D9E"/>
    <w:rsid w:val="00DD7343"/>
    <w:rsid w:val="00DD7576"/>
    <w:rsid w:val="00DD7C69"/>
    <w:rsid w:val="00DE01D3"/>
    <w:rsid w:val="00DE0972"/>
    <w:rsid w:val="00DE098D"/>
    <w:rsid w:val="00DE0E43"/>
    <w:rsid w:val="00DE18D2"/>
    <w:rsid w:val="00DE1B3D"/>
    <w:rsid w:val="00DE1B8D"/>
    <w:rsid w:val="00DE1BFB"/>
    <w:rsid w:val="00DE1C11"/>
    <w:rsid w:val="00DE1E9C"/>
    <w:rsid w:val="00DE39AF"/>
    <w:rsid w:val="00DE40FF"/>
    <w:rsid w:val="00DE46AC"/>
    <w:rsid w:val="00DE4B06"/>
    <w:rsid w:val="00DE4BE9"/>
    <w:rsid w:val="00DE4C63"/>
    <w:rsid w:val="00DE5996"/>
    <w:rsid w:val="00DE66B5"/>
    <w:rsid w:val="00DE7861"/>
    <w:rsid w:val="00DF0490"/>
    <w:rsid w:val="00DF0E80"/>
    <w:rsid w:val="00DF154E"/>
    <w:rsid w:val="00DF164B"/>
    <w:rsid w:val="00DF1EE4"/>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ED4"/>
    <w:rsid w:val="00E01339"/>
    <w:rsid w:val="00E01416"/>
    <w:rsid w:val="00E01CCC"/>
    <w:rsid w:val="00E01D3D"/>
    <w:rsid w:val="00E0253E"/>
    <w:rsid w:val="00E02755"/>
    <w:rsid w:val="00E027EC"/>
    <w:rsid w:val="00E02CF7"/>
    <w:rsid w:val="00E02F8F"/>
    <w:rsid w:val="00E033F2"/>
    <w:rsid w:val="00E03655"/>
    <w:rsid w:val="00E03CB4"/>
    <w:rsid w:val="00E04012"/>
    <w:rsid w:val="00E04022"/>
    <w:rsid w:val="00E041F0"/>
    <w:rsid w:val="00E0455F"/>
    <w:rsid w:val="00E04CE3"/>
    <w:rsid w:val="00E051F3"/>
    <w:rsid w:val="00E0525A"/>
    <w:rsid w:val="00E053B6"/>
    <w:rsid w:val="00E05832"/>
    <w:rsid w:val="00E062C6"/>
    <w:rsid w:val="00E064F9"/>
    <w:rsid w:val="00E06A52"/>
    <w:rsid w:val="00E06AEE"/>
    <w:rsid w:val="00E06FF3"/>
    <w:rsid w:val="00E076F4"/>
    <w:rsid w:val="00E11A45"/>
    <w:rsid w:val="00E1231A"/>
    <w:rsid w:val="00E12768"/>
    <w:rsid w:val="00E12B87"/>
    <w:rsid w:val="00E13064"/>
    <w:rsid w:val="00E131A7"/>
    <w:rsid w:val="00E13A6A"/>
    <w:rsid w:val="00E13FA9"/>
    <w:rsid w:val="00E14032"/>
    <w:rsid w:val="00E14896"/>
    <w:rsid w:val="00E156A1"/>
    <w:rsid w:val="00E15A30"/>
    <w:rsid w:val="00E16B1C"/>
    <w:rsid w:val="00E16E8F"/>
    <w:rsid w:val="00E178A0"/>
    <w:rsid w:val="00E20071"/>
    <w:rsid w:val="00E20EEA"/>
    <w:rsid w:val="00E218DB"/>
    <w:rsid w:val="00E21E9E"/>
    <w:rsid w:val="00E227FC"/>
    <w:rsid w:val="00E22E2C"/>
    <w:rsid w:val="00E23E26"/>
    <w:rsid w:val="00E244E5"/>
    <w:rsid w:val="00E248BF"/>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FC"/>
    <w:rsid w:val="00E31ACB"/>
    <w:rsid w:val="00E3235C"/>
    <w:rsid w:val="00E324A7"/>
    <w:rsid w:val="00E3268B"/>
    <w:rsid w:val="00E32D53"/>
    <w:rsid w:val="00E33331"/>
    <w:rsid w:val="00E33518"/>
    <w:rsid w:val="00E3457B"/>
    <w:rsid w:val="00E347DF"/>
    <w:rsid w:val="00E349E9"/>
    <w:rsid w:val="00E34B38"/>
    <w:rsid w:val="00E35ADC"/>
    <w:rsid w:val="00E35AE6"/>
    <w:rsid w:val="00E35DBF"/>
    <w:rsid w:val="00E35E02"/>
    <w:rsid w:val="00E362A8"/>
    <w:rsid w:val="00E36A3D"/>
    <w:rsid w:val="00E36ABF"/>
    <w:rsid w:val="00E374AE"/>
    <w:rsid w:val="00E3772E"/>
    <w:rsid w:val="00E400E5"/>
    <w:rsid w:val="00E405F0"/>
    <w:rsid w:val="00E41387"/>
    <w:rsid w:val="00E41A4A"/>
    <w:rsid w:val="00E42023"/>
    <w:rsid w:val="00E420F3"/>
    <w:rsid w:val="00E4218B"/>
    <w:rsid w:val="00E42C43"/>
    <w:rsid w:val="00E42EEC"/>
    <w:rsid w:val="00E43474"/>
    <w:rsid w:val="00E435EC"/>
    <w:rsid w:val="00E437F3"/>
    <w:rsid w:val="00E4400E"/>
    <w:rsid w:val="00E442F3"/>
    <w:rsid w:val="00E452F9"/>
    <w:rsid w:val="00E45574"/>
    <w:rsid w:val="00E45840"/>
    <w:rsid w:val="00E45E38"/>
    <w:rsid w:val="00E46D79"/>
    <w:rsid w:val="00E4753D"/>
    <w:rsid w:val="00E47D21"/>
    <w:rsid w:val="00E47D93"/>
    <w:rsid w:val="00E51823"/>
    <w:rsid w:val="00E51B22"/>
    <w:rsid w:val="00E52351"/>
    <w:rsid w:val="00E52CFC"/>
    <w:rsid w:val="00E5376F"/>
    <w:rsid w:val="00E54658"/>
    <w:rsid w:val="00E548D3"/>
    <w:rsid w:val="00E549E8"/>
    <w:rsid w:val="00E5616A"/>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4547"/>
    <w:rsid w:val="00E65185"/>
    <w:rsid w:val="00E65209"/>
    <w:rsid w:val="00E65750"/>
    <w:rsid w:val="00E65838"/>
    <w:rsid w:val="00E65969"/>
    <w:rsid w:val="00E65AE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D3C"/>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845"/>
    <w:rsid w:val="00E9202D"/>
    <w:rsid w:val="00E92218"/>
    <w:rsid w:val="00E925C1"/>
    <w:rsid w:val="00E929A4"/>
    <w:rsid w:val="00E92DB1"/>
    <w:rsid w:val="00E940D1"/>
    <w:rsid w:val="00E94228"/>
    <w:rsid w:val="00E94890"/>
    <w:rsid w:val="00E94D3E"/>
    <w:rsid w:val="00E95985"/>
    <w:rsid w:val="00E961E6"/>
    <w:rsid w:val="00E9632D"/>
    <w:rsid w:val="00E96902"/>
    <w:rsid w:val="00E96ACB"/>
    <w:rsid w:val="00E97436"/>
    <w:rsid w:val="00E97AAB"/>
    <w:rsid w:val="00E97C61"/>
    <w:rsid w:val="00EA08AE"/>
    <w:rsid w:val="00EA0A49"/>
    <w:rsid w:val="00EA26A3"/>
    <w:rsid w:val="00EA2AD0"/>
    <w:rsid w:val="00EA3D20"/>
    <w:rsid w:val="00EA4AB0"/>
    <w:rsid w:val="00EA4B46"/>
    <w:rsid w:val="00EA52ED"/>
    <w:rsid w:val="00EA5838"/>
    <w:rsid w:val="00EA585C"/>
    <w:rsid w:val="00EA5932"/>
    <w:rsid w:val="00EA5E41"/>
    <w:rsid w:val="00EA6288"/>
    <w:rsid w:val="00EA7505"/>
    <w:rsid w:val="00EA799A"/>
    <w:rsid w:val="00EA7C6A"/>
    <w:rsid w:val="00EB0004"/>
    <w:rsid w:val="00EB175D"/>
    <w:rsid w:val="00EB226D"/>
    <w:rsid w:val="00EB2626"/>
    <w:rsid w:val="00EB26B7"/>
    <w:rsid w:val="00EB2F5A"/>
    <w:rsid w:val="00EB3AB8"/>
    <w:rsid w:val="00EB455D"/>
    <w:rsid w:val="00EB5508"/>
    <w:rsid w:val="00EB55FC"/>
    <w:rsid w:val="00EB5716"/>
    <w:rsid w:val="00EB6025"/>
    <w:rsid w:val="00EB6253"/>
    <w:rsid w:val="00EB63CF"/>
    <w:rsid w:val="00EB6A84"/>
    <w:rsid w:val="00EB6C84"/>
    <w:rsid w:val="00EC0165"/>
    <w:rsid w:val="00EC111A"/>
    <w:rsid w:val="00EC1614"/>
    <w:rsid w:val="00EC20FD"/>
    <w:rsid w:val="00EC2EEC"/>
    <w:rsid w:val="00EC371C"/>
    <w:rsid w:val="00EC399C"/>
    <w:rsid w:val="00EC3C4A"/>
    <w:rsid w:val="00EC4894"/>
    <w:rsid w:val="00EC5A37"/>
    <w:rsid w:val="00EC6A47"/>
    <w:rsid w:val="00EC6D12"/>
    <w:rsid w:val="00EC705A"/>
    <w:rsid w:val="00EC75D9"/>
    <w:rsid w:val="00EC7691"/>
    <w:rsid w:val="00EC790A"/>
    <w:rsid w:val="00EC7B3E"/>
    <w:rsid w:val="00ED09DE"/>
    <w:rsid w:val="00ED0F6A"/>
    <w:rsid w:val="00ED13A2"/>
    <w:rsid w:val="00ED1CB5"/>
    <w:rsid w:val="00ED2821"/>
    <w:rsid w:val="00ED33BC"/>
    <w:rsid w:val="00ED34C7"/>
    <w:rsid w:val="00ED3663"/>
    <w:rsid w:val="00ED3D6E"/>
    <w:rsid w:val="00ED4702"/>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11D8"/>
    <w:rsid w:val="00EF14BF"/>
    <w:rsid w:val="00EF1FEE"/>
    <w:rsid w:val="00EF2BDB"/>
    <w:rsid w:val="00EF307B"/>
    <w:rsid w:val="00EF33DA"/>
    <w:rsid w:val="00EF4695"/>
    <w:rsid w:val="00EF4B1F"/>
    <w:rsid w:val="00EF51EC"/>
    <w:rsid w:val="00EF5985"/>
    <w:rsid w:val="00EF5FBF"/>
    <w:rsid w:val="00EF60CD"/>
    <w:rsid w:val="00EF65B8"/>
    <w:rsid w:val="00EF669F"/>
    <w:rsid w:val="00EF7F15"/>
    <w:rsid w:val="00F0063A"/>
    <w:rsid w:val="00F014F5"/>
    <w:rsid w:val="00F01691"/>
    <w:rsid w:val="00F01B08"/>
    <w:rsid w:val="00F01B6A"/>
    <w:rsid w:val="00F01DE5"/>
    <w:rsid w:val="00F02341"/>
    <w:rsid w:val="00F02639"/>
    <w:rsid w:val="00F02B8B"/>
    <w:rsid w:val="00F03AC6"/>
    <w:rsid w:val="00F0436A"/>
    <w:rsid w:val="00F055FE"/>
    <w:rsid w:val="00F06BF2"/>
    <w:rsid w:val="00F07AC4"/>
    <w:rsid w:val="00F07BC6"/>
    <w:rsid w:val="00F07E1E"/>
    <w:rsid w:val="00F10891"/>
    <w:rsid w:val="00F10E32"/>
    <w:rsid w:val="00F1124B"/>
    <w:rsid w:val="00F11369"/>
    <w:rsid w:val="00F12147"/>
    <w:rsid w:val="00F124B3"/>
    <w:rsid w:val="00F1280F"/>
    <w:rsid w:val="00F12F99"/>
    <w:rsid w:val="00F1349D"/>
    <w:rsid w:val="00F1378E"/>
    <w:rsid w:val="00F13856"/>
    <w:rsid w:val="00F13A89"/>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6D1"/>
    <w:rsid w:val="00F20F42"/>
    <w:rsid w:val="00F211C8"/>
    <w:rsid w:val="00F220E5"/>
    <w:rsid w:val="00F22E02"/>
    <w:rsid w:val="00F23A04"/>
    <w:rsid w:val="00F24BC8"/>
    <w:rsid w:val="00F25202"/>
    <w:rsid w:val="00F25B0F"/>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5143"/>
    <w:rsid w:val="00F4537A"/>
    <w:rsid w:val="00F45459"/>
    <w:rsid w:val="00F454A9"/>
    <w:rsid w:val="00F45591"/>
    <w:rsid w:val="00F45B33"/>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007D"/>
    <w:rsid w:val="00F615F1"/>
    <w:rsid w:val="00F61FBC"/>
    <w:rsid w:val="00F622A6"/>
    <w:rsid w:val="00F62D72"/>
    <w:rsid w:val="00F62F83"/>
    <w:rsid w:val="00F63502"/>
    <w:rsid w:val="00F64123"/>
    <w:rsid w:val="00F64F72"/>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5D"/>
    <w:rsid w:val="00F75ACA"/>
    <w:rsid w:val="00F75FEC"/>
    <w:rsid w:val="00F7699F"/>
    <w:rsid w:val="00F76A15"/>
    <w:rsid w:val="00F76D74"/>
    <w:rsid w:val="00F770B9"/>
    <w:rsid w:val="00F77EBD"/>
    <w:rsid w:val="00F77EE7"/>
    <w:rsid w:val="00F80307"/>
    <w:rsid w:val="00F80C3C"/>
    <w:rsid w:val="00F815E5"/>
    <w:rsid w:val="00F81635"/>
    <w:rsid w:val="00F825FA"/>
    <w:rsid w:val="00F827D4"/>
    <w:rsid w:val="00F83A74"/>
    <w:rsid w:val="00F84231"/>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3A5A"/>
    <w:rsid w:val="00F93F77"/>
    <w:rsid w:val="00F94750"/>
    <w:rsid w:val="00F94D47"/>
    <w:rsid w:val="00F94E94"/>
    <w:rsid w:val="00F94F33"/>
    <w:rsid w:val="00F951D1"/>
    <w:rsid w:val="00F95214"/>
    <w:rsid w:val="00F95453"/>
    <w:rsid w:val="00F96318"/>
    <w:rsid w:val="00FA06B1"/>
    <w:rsid w:val="00FA1639"/>
    <w:rsid w:val="00FA1E5F"/>
    <w:rsid w:val="00FA1F12"/>
    <w:rsid w:val="00FA2952"/>
    <w:rsid w:val="00FA3120"/>
    <w:rsid w:val="00FA3281"/>
    <w:rsid w:val="00FA461B"/>
    <w:rsid w:val="00FA4683"/>
    <w:rsid w:val="00FA4C0D"/>
    <w:rsid w:val="00FA4D1C"/>
    <w:rsid w:val="00FA50FF"/>
    <w:rsid w:val="00FA5711"/>
    <w:rsid w:val="00FA5A15"/>
    <w:rsid w:val="00FA5EEE"/>
    <w:rsid w:val="00FA6BD4"/>
    <w:rsid w:val="00FA6BDC"/>
    <w:rsid w:val="00FA7A47"/>
    <w:rsid w:val="00FB02D6"/>
    <w:rsid w:val="00FB03EC"/>
    <w:rsid w:val="00FB096B"/>
    <w:rsid w:val="00FB1689"/>
    <w:rsid w:val="00FB1EF9"/>
    <w:rsid w:val="00FB3AC7"/>
    <w:rsid w:val="00FB478F"/>
    <w:rsid w:val="00FB488B"/>
    <w:rsid w:val="00FB4B57"/>
    <w:rsid w:val="00FB4CD9"/>
    <w:rsid w:val="00FB5165"/>
    <w:rsid w:val="00FB665B"/>
    <w:rsid w:val="00FC024C"/>
    <w:rsid w:val="00FC0373"/>
    <w:rsid w:val="00FC0435"/>
    <w:rsid w:val="00FC0651"/>
    <w:rsid w:val="00FC092D"/>
    <w:rsid w:val="00FC09C2"/>
    <w:rsid w:val="00FC15B3"/>
    <w:rsid w:val="00FC1767"/>
    <w:rsid w:val="00FC1C2C"/>
    <w:rsid w:val="00FC2076"/>
    <w:rsid w:val="00FC2102"/>
    <w:rsid w:val="00FC2C37"/>
    <w:rsid w:val="00FC2D5F"/>
    <w:rsid w:val="00FC30CB"/>
    <w:rsid w:val="00FC4CA7"/>
    <w:rsid w:val="00FC4F61"/>
    <w:rsid w:val="00FC4F9F"/>
    <w:rsid w:val="00FC51F3"/>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1704"/>
    <w:rsid w:val="00FD1BAC"/>
    <w:rsid w:val="00FD233F"/>
    <w:rsid w:val="00FD2727"/>
    <w:rsid w:val="00FD2810"/>
    <w:rsid w:val="00FD2968"/>
    <w:rsid w:val="00FD3403"/>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2D1"/>
    <w:rsid w:val="00FE2A85"/>
    <w:rsid w:val="00FE2CCB"/>
    <w:rsid w:val="00FE2D1A"/>
    <w:rsid w:val="00FE2D4E"/>
    <w:rsid w:val="00FE354A"/>
    <w:rsid w:val="00FE37DD"/>
    <w:rsid w:val="00FE3B07"/>
    <w:rsid w:val="00FE44C9"/>
    <w:rsid w:val="00FE4EB4"/>
    <w:rsid w:val="00FE501C"/>
    <w:rsid w:val="00FE530B"/>
    <w:rsid w:val="00FE55A6"/>
    <w:rsid w:val="00FE7DCA"/>
    <w:rsid w:val="00FE7E2D"/>
    <w:rsid w:val="00FF135D"/>
    <w:rsid w:val="00FF13B3"/>
    <w:rsid w:val="00FF146C"/>
    <w:rsid w:val="00FF34A2"/>
    <w:rsid w:val="00FF395D"/>
    <w:rsid w:val="00FF3FFB"/>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481"/>
    <o:shapelayout v:ext="edit">
      <o:idmap v:ext="edit" data="1"/>
    </o:shapelayout>
  </w:shapeDefaults>
  <w:decimalSymbol w:val="."/>
  <w:listSeparator w:val=","/>
  <w14:docId w14:val="7FAE4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2">
    <w:name w:val="heading 2"/>
    <w:basedOn w:val="Normal"/>
    <w:next w:val="Normal"/>
    <w:link w:val="Heading2Char"/>
    <w:qFormat/>
    <w:rsid w:val="00393C3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character" w:customStyle="1" w:styleId="Heading2Char">
    <w:name w:val="Heading 2 Char"/>
    <w:basedOn w:val="DefaultParagraphFont"/>
    <w:link w:val="Heading2"/>
    <w:locked/>
    <w:rsid w:val="00393C3A"/>
    <w:rPr>
      <w:rFonts w:ascii="Cambria" w:eastAsia="MS Mincho" w:hAnsi="Cambria"/>
      <w:b/>
      <w:bCs/>
      <w:i/>
      <w:iCs/>
      <w:sz w:val="28"/>
      <w:szCs w:val="28"/>
      <w:lang w:val="en-US" w:eastAsia="ja-JP" w:bidi="ar-SA"/>
    </w:rPr>
  </w:style>
  <w:style w:type="paragraph" w:styleId="ListParagraph">
    <w:name w:val="List Paragraph"/>
    <w:basedOn w:val="Normal"/>
    <w:uiPriority w:val="34"/>
    <w:qFormat/>
    <w:rsid w:val="000E4835"/>
    <w:pPr>
      <w:ind w:left="720"/>
    </w:pPr>
  </w:style>
  <w:style w:type="character" w:customStyle="1" w:styleId="HeaderChar">
    <w:name w:val="Header Char"/>
    <w:basedOn w:val="DefaultParagraphFont"/>
    <w:link w:val="Header"/>
    <w:uiPriority w:val="99"/>
    <w:rsid w:val="003F0189"/>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2">
    <w:name w:val="heading 2"/>
    <w:basedOn w:val="Normal"/>
    <w:next w:val="Normal"/>
    <w:link w:val="Heading2Char"/>
    <w:qFormat/>
    <w:rsid w:val="00393C3A"/>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character" w:customStyle="1" w:styleId="Heading2Char">
    <w:name w:val="Heading 2 Char"/>
    <w:basedOn w:val="DefaultParagraphFont"/>
    <w:link w:val="Heading2"/>
    <w:locked/>
    <w:rsid w:val="00393C3A"/>
    <w:rPr>
      <w:rFonts w:ascii="Cambria" w:eastAsia="MS Mincho" w:hAnsi="Cambria"/>
      <w:b/>
      <w:bCs/>
      <w:i/>
      <w:iCs/>
      <w:sz w:val="28"/>
      <w:szCs w:val="28"/>
      <w:lang w:val="en-US" w:eastAsia="ja-JP" w:bidi="ar-SA"/>
    </w:rPr>
  </w:style>
  <w:style w:type="paragraph" w:styleId="ListParagraph">
    <w:name w:val="List Paragraph"/>
    <w:basedOn w:val="Normal"/>
    <w:uiPriority w:val="34"/>
    <w:qFormat/>
    <w:rsid w:val="000E4835"/>
    <w:pPr>
      <w:ind w:left="720"/>
    </w:pPr>
  </w:style>
  <w:style w:type="character" w:customStyle="1" w:styleId="HeaderChar">
    <w:name w:val="Header Char"/>
    <w:basedOn w:val="DefaultParagraphFont"/>
    <w:link w:val="Header"/>
    <w:uiPriority w:val="99"/>
    <w:rsid w:val="003F0189"/>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5141">
      <w:bodyDiv w:val="1"/>
      <w:marLeft w:val="0"/>
      <w:marRight w:val="0"/>
      <w:marTop w:val="0"/>
      <w:marBottom w:val="0"/>
      <w:divBdr>
        <w:top w:val="none" w:sz="0" w:space="0" w:color="auto"/>
        <w:left w:val="none" w:sz="0" w:space="0" w:color="auto"/>
        <w:bottom w:val="none" w:sz="0" w:space="0" w:color="auto"/>
        <w:right w:val="none" w:sz="0" w:space="0" w:color="auto"/>
      </w:divBdr>
      <w:divsChild>
        <w:div w:id="518390758">
          <w:marLeft w:val="0"/>
          <w:marRight w:val="0"/>
          <w:marTop w:val="0"/>
          <w:marBottom w:val="0"/>
          <w:divBdr>
            <w:top w:val="none" w:sz="0" w:space="0" w:color="auto"/>
            <w:left w:val="none" w:sz="0" w:space="0" w:color="auto"/>
            <w:bottom w:val="none" w:sz="0" w:space="0" w:color="auto"/>
            <w:right w:val="none" w:sz="0" w:space="0" w:color="auto"/>
          </w:divBdr>
          <w:divsChild>
            <w:div w:id="175677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782191517">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ig.com/terms-of-use_3171_448885.html" TargetMode="External"/><Relationship Id="rId1" Type="http://schemas.openxmlformats.org/officeDocument/2006/relationships/hyperlink" Target="http://www.aig.com/privacy_3171_448852.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6E5F8E-921F-4603-847B-7612198DDDF3}">
  <ds:schemaRefs>
    <ds:schemaRef ds:uri="http://schemas.microsoft.com/sharepoint/v3/contenttype/forms"/>
  </ds:schemaRefs>
</ds:datastoreItem>
</file>

<file path=customXml/itemProps2.xml><?xml version="1.0" encoding="utf-8"?>
<ds:datastoreItem xmlns:ds="http://schemas.openxmlformats.org/officeDocument/2006/customXml" ds:itemID="{80CDE349-C6D0-40FB-8ACD-C6D3CB9B94B9}">
  <ds:schemaRefs>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61D647FB-2CE0-4910-8BFD-2451F901FE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1296</Words>
  <Characters>7392</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2013-03-18T18:43:00Z</cp:lastPrinted>
  <dcterms:created xsi:type="dcterms:W3CDTF">2015-12-02T20:03:00Z</dcterms:created>
  <dcterms:modified xsi:type="dcterms:W3CDTF">2015-12-02T20:03:00Z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0x010100E493FD8593A80341801924389BFE2A65</vt:lpwstr>
  </property>
</Properties>
</file>