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0" w:type="dxa"/>
        <w:tblInd w:w="-432" w:type="dxa"/>
        <w:tblLayout w:type="fixed"/>
        <w:tblLook w:val="01E0" w:firstRow="1" w:lastRow="1" w:firstColumn="1" w:lastColumn="1" w:noHBand="0" w:noVBand="0"/>
      </w:tblPr>
      <w:tblGrid>
        <w:gridCol w:w="1800"/>
        <w:gridCol w:w="4140"/>
        <w:gridCol w:w="4680"/>
      </w:tblGrid>
      <w:tr w:rsidR="00461ECF" w:rsidRPr="00EF7B2D" w14:paraId="4DD66C94" w14:textId="77777777" w:rsidTr="00EF7B2D">
        <w:tc>
          <w:tcPr>
            <w:tcW w:w="5940" w:type="dxa"/>
            <w:gridSpan w:val="2"/>
          </w:tcPr>
          <w:p w14:paraId="4DD66C8F" w14:textId="77777777" w:rsidR="00461ECF" w:rsidRPr="00EF7B2D" w:rsidRDefault="00461ECF" w:rsidP="00B96178">
            <w:pPr>
              <w:rPr>
                <w:rFonts w:ascii="Arial" w:hAnsi="Arial" w:cs="Arial"/>
                <w:b/>
                <w:sz w:val="16"/>
                <w:szCs w:val="16"/>
              </w:rPr>
            </w:pPr>
            <w:bookmarkStart w:id="0" w:name="_GoBack"/>
            <w:bookmarkEnd w:id="0"/>
            <w:r w:rsidRPr="00EF7B2D">
              <w:rPr>
                <w:rFonts w:ascii="Arial" w:hAnsi="Arial" w:cs="Arial"/>
                <w:b/>
                <w:sz w:val="16"/>
                <w:szCs w:val="16"/>
              </w:rPr>
              <w:t xml:space="preserve">Policy Title: </w:t>
            </w:r>
          </w:p>
          <w:p w14:paraId="4DD66C90" w14:textId="77777777" w:rsidR="00461ECF" w:rsidRPr="008F5680" w:rsidRDefault="001110E4" w:rsidP="00B96178">
            <w:pPr>
              <w:rPr>
                <w:rFonts w:ascii="Arial" w:hAnsi="Arial" w:cs="Arial"/>
                <w:b/>
                <w:bCs/>
                <w:color w:val="00B0F0"/>
                <w:sz w:val="16"/>
                <w:szCs w:val="16"/>
              </w:rPr>
            </w:pPr>
            <w:r w:rsidRPr="008F5680">
              <w:rPr>
                <w:rFonts w:ascii="Arial" w:hAnsi="Arial" w:cs="Arial"/>
                <w:b/>
                <w:bCs/>
                <w:color w:val="00B0F0"/>
                <w:sz w:val="20"/>
                <w:szCs w:val="20"/>
              </w:rPr>
              <w:t>Standard</w:t>
            </w:r>
            <w:r w:rsidR="00461ECF" w:rsidRPr="008F5680">
              <w:rPr>
                <w:rFonts w:ascii="Arial" w:hAnsi="Arial" w:cs="Arial"/>
                <w:b/>
                <w:bCs/>
                <w:color w:val="00B0F0"/>
                <w:sz w:val="16"/>
                <w:szCs w:val="16"/>
              </w:rPr>
              <w:t xml:space="preserve">  </w:t>
            </w:r>
          </w:p>
        </w:tc>
        <w:tc>
          <w:tcPr>
            <w:tcW w:w="4680" w:type="dxa"/>
          </w:tcPr>
          <w:p w14:paraId="4DD66C91" w14:textId="77777777" w:rsidR="00461ECF" w:rsidRPr="00EF7B2D" w:rsidRDefault="00461ECF" w:rsidP="00EF7B2D">
            <w:pPr>
              <w:jc w:val="both"/>
              <w:rPr>
                <w:rFonts w:ascii="Arial" w:hAnsi="Arial" w:cs="Arial"/>
                <w:i/>
                <w:iCs/>
                <w:sz w:val="16"/>
                <w:szCs w:val="16"/>
              </w:rPr>
            </w:pPr>
            <w:r w:rsidRPr="00EF7B2D">
              <w:rPr>
                <w:rFonts w:ascii="Arial" w:hAnsi="Arial" w:cs="Arial"/>
                <w:b/>
                <w:bCs/>
                <w:sz w:val="16"/>
                <w:szCs w:val="16"/>
              </w:rPr>
              <w:t>Functional Area</w:t>
            </w:r>
            <w:r w:rsidRPr="00EF7B2D">
              <w:rPr>
                <w:rFonts w:ascii="Arial" w:hAnsi="Arial" w:cs="Arial"/>
                <w:i/>
                <w:iCs/>
                <w:sz w:val="16"/>
                <w:szCs w:val="16"/>
              </w:rPr>
              <w:t>:</w:t>
            </w:r>
          </w:p>
          <w:p w14:paraId="4DD66C92" w14:textId="77777777" w:rsidR="00461ECF" w:rsidRPr="008F5680" w:rsidRDefault="00461ECF" w:rsidP="00EF7B2D">
            <w:pPr>
              <w:jc w:val="both"/>
              <w:rPr>
                <w:b/>
                <w:color w:val="00B0F0"/>
                <w:sz w:val="20"/>
                <w:szCs w:val="20"/>
              </w:rPr>
            </w:pPr>
            <w:r w:rsidRPr="008F5680">
              <w:rPr>
                <w:rFonts w:ascii="Arial" w:hAnsi="Arial" w:cs="Arial"/>
                <w:b/>
                <w:iCs/>
                <w:color w:val="00B0F0"/>
                <w:sz w:val="20"/>
                <w:szCs w:val="20"/>
              </w:rPr>
              <w:t xml:space="preserve">Global </w:t>
            </w:r>
            <w:r w:rsidR="003E0BC0" w:rsidRPr="008F5680">
              <w:rPr>
                <w:rFonts w:ascii="Arial" w:hAnsi="Arial" w:cs="Arial"/>
                <w:b/>
                <w:iCs/>
                <w:color w:val="00B0F0"/>
                <w:sz w:val="20"/>
                <w:szCs w:val="20"/>
              </w:rPr>
              <w:t xml:space="preserve">Commercial </w:t>
            </w:r>
            <w:r w:rsidRPr="008F5680">
              <w:rPr>
                <w:rFonts w:ascii="Arial" w:hAnsi="Arial" w:cs="Arial"/>
                <w:b/>
                <w:iCs/>
                <w:color w:val="00B0F0"/>
                <w:sz w:val="20"/>
                <w:szCs w:val="20"/>
              </w:rPr>
              <w:t>Underwriting</w:t>
            </w:r>
          </w:p>
          <w:p w14:paraId="4DD66C93" w14:textId="77777777" w:rsidR="00461ECF" w:rsidRPr="00EF7B2D" w:rsidRDefault="00461ECF" w:rsidP="00EF7B2D">
            <w:pPr>
              <w:jc w:val="both"/>
              <w:rPr>
                <w:rFonts w:ascii="Arial" w:hAnsi="Arial" w:cs="Arial"/>
                <w:i/>
                <w:iCs/>
                <w:sz w:val="16"/>
                <w:szCs w:val="16"/>
              </w:rPr>
            </w:pPr>
          </w:p>
        </w:tc>
      </w:tr>
      <w:tr w:rsidR="00461ECF" w:rsidRPr="00EF7B2D" w14:paraId="4DD66C99" w14:textId="77777777" w:rsidTr="00EF7B2D">
        <w:tc>
          <w:tcPr>
            <w:tcW w:w="5940" w:type="dxa"/>
            <w:gridSpan w:val="2"/>
          </w:tcPr>
          <w:p w14:paraId="4DD66C95" w14:textId="77777777" w:rsidR="00461ECF" w:rsidRPr="00EF7B2D" w:rsidRDefault="00461ECF" w:rsidP="00EF7B2D">
            <w:pPr>
              <w:jc w:val="both"/>
              <w:rPr>
                <w:rFonts w:ascii="Arial" w:hAnsi="Arial" w:cs="Arial"/>
                <w:i/>
                <w:iCs/>
                <w:sz w:val="16"/>
                <w:szCs w:val="16"/>
              </w:rPr>
            </w:pPr>
            <w:r w:rsidRPr="00EF7B2D">
              <w:rPr>
                <w:rFonts w:ascii="Arial" w:hAnsi="Arial" w:cs="Arial"/>
                <w:b/>
                <w:bCs/>
                <w:sz w:val="16"/>
                <w:szCs w:val="16"/>
              </w:rPr>
              <w:t>Effective Date</w:t>
            </w:r>
            <w:r w:rsidRPr="00EF7B2D">
              <w:rPr>
                <w:rFonts w:ascii="Arial" w:hAnsi="Arial" w:cs="Arial"/>
                <w:i/>
                <w:iCs/>
                <w:sz w:val="16"/>
                <w:szCs w:val="16"/>
              </w:rPr>
              <w:t xml:space="preserve">: </w:t>
            </w:r>
          </w:p>
          <w:p w14:paraId="4DD66C96" w14:textId="77777777" w:rsidR="00461ECF" w:rsidRPr="008F5680" w:rsidRDefault="00461ECF" w:rsidP="00A55B83">
            <w:pPr>
              <w:jc w:val="both"/>
              <w:rPr>
                <w:rFonts w:ascii="Arial" w:hAnsi="Arial" w:cs="Arial"/>
                <w:b/>
                <w:bCs/>
                <w:color w:val="00B0F0"/>
                <w:sz w:val="16"/>
                <w:szCs w:val="16"/>
              </w:rPr>
            </w:pPr>
            <w:r w:rsidRPr="00EF7B2D">
              <w:rPr>
                <w:rFonts w:ascii="Arial" w:hAnsi="Arial" w:cs="Arial"/>
                <w:i/>
                <w:iCs/>
                <w:sz w:val="16"/>
                <w:szCs w:val="16"/>
              </w:rPr>
              <w:t xml:space="preserve"> </w:t>
            </w:r>
            <w:r w:rsidR="00A55B83" w:rsidRPr="008F5680">
              <w:rPr>
                <w:rFonts w:ascii="Arial" w:hAnsi="Arial" w:cs="Arial"/>
                <w:b/>
                <w:i/>
                <w:iCs/>
                <w:color w:val="00B0F0"/>
                <w:sz w:val="20"/>
                <w:szCs w:val="20"/>
              </w:rPr>
              <w:t>November 1</w:t>
            </w:r>
            <w:r w:rsidRPr="008F5680">
              <w:rPr>
                <w:rFonts w:ascii="Arial" w:hAnsi="Arial" w:cs="Arial"/>
                <w:b/>
                <w:i/>
                <w:iCs/>
                <w:color w:val="00B0F0"/>
                <w:sz w:val="20"/>
                <w:szCs w:val="20"/>
              </w:rPr>
              <w:t xml:space="preserve">, </w:t>
            </w:r>
            <w:r w:rsidR="00E5359E" w:rsidRPr="008F5680">
              <w:rPr>
                <w:rFonts w:ascii="Arial" w:hAnsi="Arial" w:cs="Arial"/>
                <w:b/>
                <w:i/>
                <w:iCs/>
                <w:color w:val="00B0F0"/>
                <w:sz w:val="20"/>
                <w:szCs w:val="20"/>
              </w:rPr>
              <w:t xml:space="preserve">2013 </w:t>
            </w:r>
          </w:p>
        </w:tc>
        <w:tc>
          <w:tcPr>
            <w:tcW w:w="4680" w:type="dxa"/>
          </w:tcPr>
          <w:p w14:paraId="4DD66C97" w14:textId="77777777" w:rsidR="00461ECF" w:rsidRPr="00EF7B2D" w:rsidRDefault="00461ECF" w:rsidP="00B96178">
            <w:pPr>
              <w:rPr>
                <w:rFonts w:ascii="Arial" w:hAnsi="Arial" w:cs="Arial"/>
                <w:i/>
                <w:iCs/>
                <w:sz w:val="16"/>
                <w:szCs w:val="16"/>
              </w:rPr>
            </w:pPr>
            <w:r w:rsidRPr="00EF7B2D">
              <w:rPr>
                <w:rFonts w:ascii="Arial" w:hAnsi="Arial" w:cs="Arial"/>
                <w:b/>
                <w:bCs/>
                <w:sz w:val="16"/>
                <w:szCs w:val="16"/>
              </w:rPr>
              <w:t>Date Issued</w:t>
            </w:r>
            <w:r w:rsidRPr="00EF7B2D">
              <w:rPr>
                <w:rFonts w:ascii="Arial" w:hAnsi="Arial" w:cs="Arial"/>
                <w:i/>
                <w:iCs/>
                <w:sz w:val="16"/>
                <w:szCs w:val="16"/>
              </w:rPr>
              <w:t xml:space="preserve">: </w:t>
            </w:r>
          </w:p>
          <w:p w14:paraId="4DD66C98" w14:textId="77777777" w:rsidR="00461ECF" w:rsidRPr="008F5680" w:rsidRDefault="00461ECF" w:rsidP="00A55B83">
            <w:pPr>
              <w:rPr>
                <w:rFonts w:ascii="Arial" w:hAnsi="Arial" w:cs="Arial"/>
                <w:b/>
                <w:i/>
                <w:iCs/>
                <w:color w:val="00B0F0"/>
                <w:sz w:val="20"/>
                <w:szCs w:val="20"/>
              </w:rPr>
            </w:pPr>
            <w:r w:rsidRPr="00EF7B2D">
              <w:rPr>
                <w:rFonts w:ascii="Arial" w:hAnsi="Arial" w:cs="Arial"/>
                <w:i/>
                <w:iCs/>
                <w:sz w:val="16"/>
                <w:szCs w:val="16"/>
              </w:rPr>
              <w:t xml:space="preserve"> </w:t>
            </w:r>
            <w:r w:rsidR="00A55B83" w:rsidRPr="008F5680">
              <w:rPr>
                <w:rFonts w:ascii="Arial" w:hAnsi="Arial" w:cs="Arial"/>
                <w:b/>
                <w:i/>
                <w:iCs/>
                <w:color w:val="00B0F0"/>
                <w:sz w:val="20"/>
                <w:szCs w:val="20"/>
              </w:rPr>
              <w:t>November 1</w:t>
            </w:r>
            <w:r w:rsidR="00A67A10" w:rsidRPr="008F5680">
              <w:rPr>
                <w:rFonts w:ascii="Arial" w:hAnsi="Arial" w:cs="Arial"/>
                <w:b/>
                <w:i/>
                <w:iCs/>
                <w:color w:val="00B0F0"/>
                <w:sz w:val="20"/>
                <w:szCs w:val="20"/>
              </w:rPr>
              <w:t>, 2013</w:t>
            </w:r>
            <w:r w:rsidRPr="008F5680">
              <w:rPr>
                <w:rFonts w:ascii="Arial" w:hAnsi="Arial" w:cs="Arial"/>
                <w:b/>
                <w:bCs/>
                <w:color w:val="00B0F0"/>
                <w:sz w:val="20"/>
                <w:szCs w:val="20"/>
              </w:rPr>
              <w:br/>
            </w:r>
          </w:p>
        </w:tc>
      </w:tr>
      <w:tr w:rsidR="00461ECF" w:rsidRPr="00EF7B2D" w14:paraId="4DD66C9F" w14:textId="77777777" w:rsidTr="00EF7B2D">
        <w:trPr>
          <w:trHeight w:val="522"/>
        </w:trPr>
        <w:tc>
          <w:tcPr>
            <w:tcW w:w="5940" w:type="dxa"/>
            <w:gridSpan w:val="2"/>
          </w:tcPr>
          <w:p w14:paraId="4DD66C9A" w14:textId="77777777" w:rsidR="00461ECF" w:rsidRPr="00EF7B2D" w:rsidRDefault="00461ECF" w:rsidP="00CE0239">
            <w:pPr>
              <w:rPr>
                <w:rFonts w:ascii="Arial" w:hAnsi="Arial" w:cs="Arial"/>
                <w:i/>
                <w:iCs/>
                <w:color w:val="FF0000"/>
                <w:sz w:val="16"/>
                <w:szCs w:val="20"/>
              </w:rPr>
            </w:pPr>
            <w:r w:rsidRPr="00EF7B2D">
              <w:rPr>
                <w:rFonts w:ascii="Arial" w:hAnsi="Arial" w:cs="Arial"/>
                <w:b/>
                <w:bCs/>
                <w:sz w:val="16"/>
                <w:szCs w:val="16"/>
              </w:rPr>
              <w:t>Owner:</w:t>
            </w:r>
            <w:r w:rsidRPr="00EF7B2D">
              <w:rPr>
                <w:rFonts w:ascii="Arial" w:hAnsi="Arial" w:cs="Arial"/>
                <w:i/>
                <w:iCs/>
                <w:color w:val="FF0000"/>
                <w:sz w:val="16"/>
                <w:szCs w:val="20"/>
              </w:rPr>
              <w:t xml:space="preserve"> </w:t>
            </w:r>
          </w:p>
          <w:p w14:paraId="4DD66C9B" w14:textId="77777777" w:rsidR="00461ECF" w:rsidRPr="008F5680" w:rsidRDefault="00461ECF" w:rsidP="00CE0239">
            <w:pPr>
              <w:rPr>
                <w:rFonts w:ascii="Arial" w:hAnsi="Arial" w:cs="Arial"/>
                <w:b/>
                <w:bCs/>
                <w:color w:val="00B0F0"/>
                <w:sz w:val="20"/>
                <w:szCs w:val="20"/>
              </w:rPr>
            </w:pPr>
            <w:r w:rsidRPr="008F5680">
              <w:rPr>
                <w:rFonts w:ascii="Arial" w:hAnsi="Arial" w:cs="Arial"/>
                <w:b/>
                <w:bCs/>
                <w:color w:val="00B0F0"/>
                <w:sz w:val="20"/>
                <w:szCs w:val="20"/>
              </w:rPr>
              <w:t xml:space="preserve">Global </w:t>
            </w:r>
            <w:r w:rsidR="003E0BC0" w:rsidRPr="008F5680">
              <w:rPr>
                <w:rFonts w:ascii="Arial" w:hAnsi="Arial" w:cs="Arial"/>
                <w:b/>
                <w:bCs/>
                <w:color w:val="00B0F0"/>
                <w:sz w:val="20"/>
                <w:szCs w:val="20"/>
              </w:rPr>
              <w:t xml:space="preserve">Commercial </w:t>
            </w:r>
            <w:r w:rsidRPr="008F5680">
              <w:rPr>
                <w:rFonts w:ascii="Arial" w:hAnsi="Arial" w:cs="Arial"/>
                <w:b/>
                <w:bCs/>
                <w:color w:val="00B0F0"/>
                <w:sz w:val="20"/>
                <w:szCs w:val="20"/>
              </w:rPr>
              <w:t>Underwriting Committee</w:t>
            </w:r>
          </w:p>
          <w:p w14:paraId="4DD66C9C" w14:textId="77777777" w:rsidR="00461ECF" w:rsidRPr="00EF7B2D" w:rsidRDefault="00461ECF" w:rsidP="00EF7B2D">
            <w:pPr>
              <w:jc w:val="both"/>
              <w:rPr>
                <w:rFonts w:ascii="Arial" w:hAnsi="Arial" w:cs="Arial"/>
                <w:i/>
                <w:iCs/>
                <w:sz w:val="16"/>
                <w:szCs w:val="16"/>
              </w:rPr>
            </w:pPr>
            <w:r w:rsidRPr="008F5680">
              <w:rPr>
                <w:rFonts w:ascii="Arial" w:hAnsi="Arial" w:cs="Arial"/>
                <w:i/>
                <w:iCs/>
                <w:color w:val="00B0F0"/>
                <w:sz w:val="16"/>
                <w:szCs w:val="16"/>
              </w:rPr>
              <w:br/>
            </w:r>
            <w:r w:rsidRPr="00EF7B2D">
              <w:rPr>
                <w:rFonts w:ascii="Arial" w:hAnsi="Arial" w:cs="Arial"/>
                <w:i/>
                <w:iCs/>
                <w:sz w:val="16"/>
                <w:szCs w:val="16"/>
              </w:rPr>
              <w:t xml:space="preserve"> </w:t>
            </w:r>
          </w:p>
        </w:tc>
        <w:tc>
          <w:tcPr>
            <w:tcW w:w="4680" w:type="dxa"/>
          </w:tcPr>
          <w:p w14:paraId="4DD66C9D" w14:textId="77777777" w:rsidR="00461ECF" w:rsidRPr="00EF7B2D" w:rsidRDefault="00461ECF" w:rsidP="00B96178">
            <w:pPr>
              <w:rPr>
                <w:rFonts w:ascii="Arial" w:hAnsi="Arial" w:cs="Arial"/>
                <w:sz w:val="16"/>
                <w:szCs w:val="16"/>
              </w:rPr>
            </w:pPr>
            <w:r w:rsidRPr="00EF7B2D">
              <w:rPr>
                <w:rFonts w:ascii="Arial" w:hAnsi="Arial" w:cs="Arial"/>
                <w:b/>
                <w:bCs/>
                <w:sz w:val="16"/>
                <w:szCs w:val="16"/>
              </w:rPr>
              <w:t>Contact</w:t>
            </w:r>
            <w:r w:rsidRPr="00EF7B2D">
              <w:rPr>
                <w:rFonts w:ascii="Arial" w:hAnsi="Arial" w:cs="Arial"/>
                <w:sz w:val="16"/>
                <w:szCs w:val="16"/>
              </w:rPr>
              <w:t>:</w:t>
            </w:r>
            <w:r w:rsidRPr="00EF7B2D">
              <w:rPr>
                <w:rFonts w:ascii="Arial" w:hAnsi="Arial" w:cs="Arial"/>
                <w:i/>
                <w:iCs/>
                <w:color w:val="FF0000"/>
                <w:sz w:val="16"/>
                <w:szCs w:val="16"/>
              </w:rPr>
              <w:t xml:space="preserve"> </w:t>
            </w:r>
          </w:p>
          <w:p w14:paraId="4DD66C9E" w14:textId="77777777" w:rsidR="00461ECF" w:rsidRPr="008F5680" w:rsidRDefault="00AC79CE" w:rsidP="00B96178">
            <w:pPr>
              <w:rPr>
                <w:rFonts w:ascii="Arial" w:hAnsi="Arial" w:cs="Arial"/>
                <w:b/>
                <w:bCs/>
                <w:color w:val="00B0F0"/>
                <w:sz w:val="20"/>
                <w:szCs w:val="20"/>
              </w:rPr>
            </w:pPr>
            <w:r w:rsidRPr="008F5680">
              <w:rPr>
                <w:rFonts w:ascii="Arial" w:hAnsi="Arial" w:cs="Arial"/>
                <w:b/>
                <w:bCs/>
                <w:color w:val="00B0F0"/>
                <w:sz w:val="20"/>
                <w:szCs w:val="20"/>
              </w:rPr>
              <w:t xml:space="preserve">Global Commercial </w:t>
            </w:r>
            <w:r w:rsidR="00461ECF" w:rsidRPr="008F5680">
              <w:rPr>
                <w:rFonts w:ascii="Arial" w:hAnsi="Arial" w:cs="Arial"/>
                <w:b/>
                <w:bCs/>
                <w:color w:val="00B0F0"/>
                <w:sz w:val="20"/>
                <w:szCs w:val="20"/>
              </w:rPr>
              <w:t>Head of Technical Underwriting</w:t>
            </w:r>
          </w:p>
        </w:tc>
      </w:tr>
      <w:tr w:rsidR="00461ECF" w:rsidRPr="00EF7B2D" w14:paraId="4DD66CA3" w14:textId="77777777" w:rsidTr="00EF7B2D">
        <w:trPr>
          <w:trHeight w:val="522"/>
        </w:trPr>
        <w:tc>
          <w:tcPr>
            <w:tcW w:w="10620" w:type="dxa"/>
            <w:gridSpan w:val="3"/>
          </w:tcPr>
          <w:p w14:paraId="4DD66CA0" w14:textId="77777777" w:rsidR="00461ECF" w:rsidRPr="00EF7B2D" w:rsidRDefault="00461ECF" w:rsidP="00EF7B2D">
            <w:pPr>
              <w:spacing w:before="60" w:after="60"/>
              <w:rPr>
                <w:rFonts w:ascii="Arial" w:hAnsi="Arial" w:cs="Arial"/>
                <w:sz w:val="16"/>
                <w:szCs w:val="16"/>
              </w:rPr>
            </w:pPr>
            <w:r w:rsidRPr="00EF7B2D">
              <w:rPr>
                <w:rFonts w:ascii="Arial" w:hAnsi="Arial" w:cs="Arial"/>
                <w:b/>
                <w:bCs/>
                <w:sz w:val="16"/>
                <w:szCs w:val="16"/>
              </w:rPr>
              <w:t>Approver</w:t>
            </w:r>
            <w:r w:rsidRPr="00EF7B2D">
              <w:rPr>
                <w:rFonts w:ascii="Arial" w:hAnsi="Arial" w:cs="Arial"/>
                <w:sz w:val="16"/>
                <w:szCs w:val="16"/>
              </w:rPr>
              <w:t>:</w:t>
            </w:r>
          </w:p>
          <w:p w14:paraId="4DD66CA1" w14:textId="77777777" w:rsidR="00461ECF" w:rsidRPr="008F5680" w:rsidRDefault="003E0BC0" w:rsidP="00EF7B2D">
            <w:pPr>
              <w:spacing w:before="60" w:after="60"/>
              <w:rPr>
                <w:rFonts w:ascii="Arial" w:hAnsi="Arial" w:cs="Arial"/>
                <w:b/>
                <w:bCs/>
                <w:color w:val="00B0F0"/>
                <w:sz w:val="20"/>
                <w:szCs w:val="20"/>
              </w:rPr>
            </w:pPr>
            <w:r w:rsidRPr="008F5680">
              <w:rPr>
                <w:rFonts w:ascii="Arial" w:hAnsi="Arial" w:cs="Arial"/>
                <w:b/>
                <w:bCs/>
                <w:color w:val="00B0F0"/>
                <w:sz w:val="20"/>
                <w:szCs w:val="20"/>
              </w:rPr>
              <w:t xml:space="preserve">Global </w:t>
            </w:r>
            <w:r w:rsidR="00461ECF" w:rsidRPr="008F5680">
              <w:rPr>
                <w:rFonts w:ascii="Arial" w:hAnsi="Arial" w:cs="Arial"/>
                <w:b/>
                <w:bCs/>
                <w:color w:val="00B0F0"/>
                <w:sz w:val="20"/>
                <w:szCs w:val="20"/>
              </w:rPr>
              <w:t>Commercial Chief Underwriting Officer</w:t>
            </w:r>
          </w:p>
          <w:p w14:paraId="4DD66CA2" w14:textId="77777777" w:rsidR="00F65110" w:rsidRPr="00EF7B2D" w:rsidRDefault="00F65110" w:rsidP="00EF7B2D">
            <w:pPr>
              <w:spacing w:before="60" w:after="60"/>
              <w:rPr>
                <w:rFonts w:ascii="Arial" w:hAnsi="Arial" w:cs="Arial"/>
                <w:b/>
                <w:sz w:val="16"/>
                <w:szCs w:val="16"/>
              </w:rPr>
            </w:pPr>
          </w:p>
        </w:tc>
      </w:tr>
      <w:tr w:rsidR="00461ECF" w:rsidRPr="00EF7B2D" w14:paraId="4DD66CA8" w14:textId="77777777" w:rsidTr="00EF7B2D">
        <w:tc>
          <w:tcPr>
            <w:tcW w:w="1800" w:type="dxa"/>
          </w:tcPr>
          <w:p w14:paraId="4DD66CA4" w14:textId="77777777" w:rsidR="00461ECF" w:rsidRPr="00EF7B2D" w:rsidRDefault="00461ECF" w:rsidP="00EF7B2D">
            <w:pPr>
              <w:spacing w:before="60" w:after="60"/>
              <w:jc w:val="both"/>
              <w:rPr>
                <w:rFonts w:ascii="Arial" w:hAnsi="Arial" w:cs="Arial"/>
                <w:b/>
                <w:sz w:val="20"/>
                <w:szCs w:val="20"/>
              </w:rPr>
            </w:pPr>
            <w:r w:rsidRPr="00EF7B2D">
              <w:rPr>
                <w:rFonts w:ascii="Arial" w:hAnsi="Arial" w:cs="Arial"/>
                <w:b/>
                <w:sz w:val="20"/>
                <w:szCs w:val="20"/>
              </w:rPr>
              <w:t>Purpose</w:t>
            </w:r>
          </w:p>
        </w:tc>
        <w:tc>
          <w:tcPr>
            <w:tcW w:w="8820" w:type="dxa"/>
            <w:gridSpan w:val="2"/>
          </w:tcPr>
          <w:p w14:paraId="4DD66CA5" w14:textId="77777777" w:rsidR="00461ECF" w:rsidRPr="00EF7B2D" w:rsidRDefault="00461ECF" w:rsidP="00427A89">
            <w:pPr>
              <w:rPr>
                <w:rFonts w:ascii="Arial" w:hAnsi="Arial" w:cs="Arial"/>
                <w:i/>
                <w:iCs/>
                <w:color w:val="FF0000"/>
                <w:sz w:val="16"/>
                <w:szCs w:val="16"/>
              </w:rPr>
            </w:pPr>
          </w:p>
          <w:p w14:paraId="4DD66CA6" w14:textId="77777777" w:rsidR="00461ECF" w:rsidRPr="00EF7B2D" w:rsidRDefault="003E7761" w:rsidP="00427A89">
            <w:pPr>
              <w:rPr>
                <w:rFonts w:ascii="Arial" w:hAnsi="Arial" w:cs="Arial"/>
                <w:color w:val="000000"/>
                <w:sz w:val="20"/>
                <w:szCs w:val="20"/>
              </w:rPr>
            </w:pPr>
            <w:r>
              <w:rPr>
                <w:rFonts w:ascii="Arial" w:hAnsi="Arial" w:cs="Arial"/>
                <w:color w:val="000000"/>
                <w:sz w:val="20"/>
                <w:szCs w:val="20"/>
              </w:rPr>
              <w:t>The Bridging</w:t>
            </w:r>
            <w:r w:rsidR="00043CAB">
              <w:rPr>
                <w:rFonts w:ascii="Arial" w:hAnsi="Arial" w:cs="Arial"/>
                <w:color w:val="000000"/>
                <w:sz w:val="20"/>
                <w:szCs w:val="20"/>
              </w:rPr>
              <w:t xml:space="preserve"> Analysis</w:t>
            </w:r>
            <w:r>
              <w:rPr>
                <w:rFonts w:ascii="Arial" w:hAnsi="Arial" w:cs="Arial"/>
                <w:color w:val="000000"/>
                <w:sz w:val="20"/>
                <w:szCs w:val="20"/>
              </w:rPr>
              <w:t xml:space="preserve"> is</w:t>
            </w:r>
            <w:r w:rsidR="00B521E4">
              <w:rPr>
                <w:rFonts w:ascii="Arial" w:hAnsi="Arial" w:cs="Arial"/>
                <w:color w:val="000000"/>
                <w:sz w:val="20"/>
                <w:szCs w:val="20"/>
              </w:rPr>
              <w:t xml:space="preserve"> </w:t>
            </w:r>
            <w:r w:rsidR="00841986">
              <w:rPr>
                <w:rFonts w:ascii="Arial" w:hAnsi="Arial" w:cs="Arial"/>
                <w:color w:val="000000"/>
                <w:sz w:val="20"/>
                <w:szCs w:val="20"/>
              </w:rPr>
              <w:t xml:space="preserve">a key tool </w:t>
            </w:r>
            <w:r>
              <w:rPr>
                <w:rFonts w:ascii="Arial" w:hAnsi="Arial" w:cs="Arial"/>
                <w:color w:val="000000"/>
                <w:sz w:val="20"/>
                <w:szCs w:val="20"/>
              </w:rPr>
              <w:t xml:space="preserve">used </w:t>
            </w:r>
            <w:r w:rsidR="00841986">
              <w:rPr>
                <w:rFonts w:ascii="Arial" w:hAnsi="Arial" w:cs="Arial"/>
                <w:color w:val="000000"/>
                <w:sz w:val="20"/>
                <w:szCs w:val="20"/>
              </w:rPr>
              <w:t>in evaluating</w:t>
            </w:r>
            <w:r w:rsidR="00B521E4">
              <w:rPr>
                <w:rFonts w:ascii="Arial" w:hAnsi="Arial" w:cs="Arial"/>
                <w:color w:val="000000"/>
                <w:sz w:val="20"/>
                <w:szCs w:val="20"/>
              </w:rPr>
              <w:t xml:space="preserve"> </w:t>
            </w:r>
            <w:r>
              <w:rPr>
                <w:rFonts w:ascii="Arial" w:hAnsi="Arial" w:cs="Arial"/>
                <w:color w:val="000000"/>
                <w:sz w:val="20"/>
                <w:szCs w:val="20"/>
              </w:rPr>
              <w:t>the</w:t>
            </w:r>
            <w:r w:rsidR="001162DB">
              <w:rPr>
                <w:rFonts w:ascii="Arial" w:hAnsi="Arial" w:cs="Arial"/>
                <w:color w:val="000000"/>
                <w:sz w:val="20"/>
                <w:szCs w:val="20"/>
              </w:rPr>
              <w:t xml:space="preserve"> potential</w:t>
            </w:r>
            <w:r>
              <w:rPr>
                <w:rFonts w:ascii="Arial" w:hAnsi="Arial" w:cs="Arial"/>
                <w:color w:val="000000"/>
                <w:sz w:val="20"/>
                <w:szCs w:val="20"/>
              </w:rPr>
              <w:t xml:space="preserve"> </w:t>
            </w:r>
            <w:r w:rsidR="00B137AB">
              <w:rPr>
                <w:rFonts w:ascii="Arial" w:hAnsi="Arial" w:cs="Arial"/>
                <w:color w:val="000000"/>
                <w:sz w:val="20"/>
                <w:szCs w:val="20"/>
              </w:rPr>
              <w:t>differences</w:t>
            </w:r>
            <w:r w:rsidR="001162DB">
              <w:rPr>
                <w:rFonts w:ascii="Arial" w:hAnsi="Arial" w:cs="Arial"/>
                <w:color w:val="000000"/>
                <w:sz w:val="20"/>
                <w:szCs w:val="20"/>
              </w:rPr>
              <w:t xml:space="preserve"> between the </w:t>
            </w:r>
            <w:r w:rsidR="00CD0FEB">
              <w:rPr>
                <w:rFonts w:ascii="Arial" w:hAnsi="Arial" w:cs="Arial"/>
                <w:color w:val="000000"/>
                <w:sz w:val="20"/>
                <w:szCs w:val="20"/>
              </w:rPr>
              <w:t xml:space="preserve">analysis </w:t>
            </w:r>
            <w:r w:rsidR="00FA4F5E">
              <w:rPr>
                <w:rFonts w:ascii="Arial" w:hAnsi="Arial" w:cs="Arial"/>
                <w:color w:val="000000"/>
                <w:sz w:val="20"/>
                <w:szCs w:val="20"/>
              </w:rPr>
              <w:t>of current accident year loss ratio analysi</w:t>
            </w:r>
            <w:r w:rsidR="00FD3700">
              <w:rPr>
                <w:rFonts w:ascii="Arial" w:hAnsi="Arial" w:cs="Arial"/>
                <w:color w:val="000000"/>
                <w:sz w:val="20"/>
                <w:szCs w:val="20"/>
              </w:rPr>
              <w:t>s</w:t>
            </w:r>
            <w:r w:rsidR="00FA4F5E">
              <w:rPr>
                <w:rFonts w:ascii="Arial" w:hAnsi="Arial" w:cs="Arial"/>
                <w:color w:val="000000"/>
                <w:sz w:val="20"/>
                <w:szCs w:val="20"/>
              </w:rPr>
              <w:t xml:space="preserve"> conducted by the busi</w:t>
            </w:r>
            <w:r w:rsidR="00FD3700">
              <w:rPr>
                <w:rFonts w:ascii="Arial" w:hAnsi="Arial" w:cs="Arial"/>
                <w:color w:val="000000"/>
                <w:sz w:val="20"/>
                <w:szCs w:val="20"/>
              </w:rPr>
              <w:t>ness</w:t>
            </w:r>
            <w:r w:rsidR="00FA4F5E">
              <w:rPr>
                <w:rFonts w:ascii="Arial" w:hAnsi="Arial" w:cs="Arial"/>
                <w:color w:val="000000"/>
                <w:sz w:val="20"/>
                <w:szCs w:val="20"/>
              </w:rPr>
              <w:t xml:space="preserve"> unit </w:t>
            </w:r>
            <w:r w:rsidR="001162DB">
              <w:rPr>
                <w:rFonts w:ascii="Arial" w:hAnsi="Arial" w:cs="Arial"/>
                <w:color w:val="000000"/>
                <w:sz w:val="20"/>
                <w:szCs w:val="20"/>
              </w:rPr>
              <w:t xml:space="preserve">and </w:t>
            </w:r>
            <w:r w:rsidR="00B137AB">
              <w:rPr>
                <w:rFonts w:ascii="Arial" w:hAnsi="Arial" w:cs="Arial"/>
                <w:color w:val="000000"/>
                <w:sz w:val="20"/>
                <w:szCs w:val="20"/>
              </w:rPr>
              <w:t xml:space="preserve">the </w:t>
            </w:r>
            <w:r w:rsidR="00FA4F5E">
              <w:rPr>
                <w:rFonts w:ascii="Arial" w:hAnsi="Arial" w:cs="Arial"/>
                <w:color w:val="000000"/>
                <w:sz w:val="20"/>
                <w:szCs w:val="20"/>
              </w:rPr>
              <w:t xml:space="preserve">current accident year loss ratio </w:t>
            </w:r>
            <w:r w:rsidR="00CD0FEB">
              <w:rPr>
                <w:rFonts w:ascii="Arial" w:hAnsi="Arial" w:cs="Arial"/>
                <w:color w:val="000000"/>
                <w:sz w:val="20"/>
                <w:szCs w:val="20"/>
              </w:rPr>
              <w:t xml:space="preserve">analysis </w:t>
            </w:r>
            <w:r w:rsidR="00FA4F5E">
              <w:rPr>
                <w:rFonts w:ascii="Arial" w:hAnsi="Arial" w:cs="Arial"/>
                <w:color w:val="000000"/>
                <w:sz w:val="20"/>
                <w:szCs w:val="20"/>
              </w:rPr>
              <w:t xml:space="preserve">conducted by </w:t>
            </w:r>
            <w:r w:rsidR="00CD0FEB">
              <w:rPr>
                <w:rFonts w:ascii="Arial" w:hAnsi="Arial" w:cs="Arial"/>
                <w:color w:val="000000"/>
                <w:sz w:val="20"/>
                <w:szCs w:val="20"/>
              </w:rPr>
              <w:t xml:space="preserve">the </w:t>
            </w:r>
            <w:r w:rsidR="004417FE">
              <w:rPr>
                <w:rFonts w:ascii="Arial" w:hAnsi="Arial" w:cs="Arial"/>
                <w:color w:val="000000"/>
                <w:sz w:val="20"/>
                <w:szCs w:val="20"/>
              </w:rPr>
              <w:t>f</w:t>
            </w:r>
            <w:r w:rsidR="001162DB">
              <w:rPr>
                <w:rFonts w:ascii="Arial" w:hAnsi="Arial" w:cs="Arial"/>
                <w:color w:val="000000"/>
                <w:sz w:val="20"/>
                <w:szCs w:val="20"/>
              </w:rPr>
              <w:t xml:space="preserve">inance </w:t>
            </w:r>
            <w:r w:rsidR="004417FE">
              <w:rPr>
                <w:rFonts w:ascii="Arial" w:hAnsi="Arial" w:cs="Arial"/>
                <w:color w:val="000000"/>
                <w:sz w:val="20"/>
                <w:szCs w:val="20"/>
              </w:rPr>
              <w:t>a</w:t>
            </w:r>
            <w:r w:rsidR="001162DB">
              <w:rPr>
                <w:rFonts w:ascii="Arial" w:hAnsi="Arial" w:cs="Arial"/>
                <w:color w:val="000000"/>
                <w:sz w:val="20"/>
                <w:szCs w:val="20"/>
              </w:rPr>
              <w:t>ctuaries</w:t>
            </w:r>
            <w:r w:rsidR="00841986">
              <w:rPr>
                <w:rFonts w:ascii="Arial" w:hAnsi="Arial" w:cs="Arial"/>
                <w:color w:val="000000"/>
                <w:sz w:val="20"/>
                <w:szCs w:val="20"/>
              </w:rPr>
              <w:t>.</w:t>
            </w:r>
            <w:r w:rsidR="0087643C">
              <w:rPr>
                <w:rFonts w:ascii="Arial" w:hAnsi="Arial" w:cs="Arial"/>
                <w:color w:val="000000"/>
                <w:sz w:val="20"/>
                <w:szCs w:val="20"/>
              </w:rPr>
              <w:t xml:space="preserve"> The analyses</w:t>
            </w:r>
            <w:r>
              <w:rPr>
                <w:rFonts w:ascii="Arial" w:hAnsi="Arial" w:cs="Arial"/>
                <w:color w:val="000000"/>
                <w:sz w:val="20"/>
                <w:szCs w:val="20"/>
              </w:rPr>
              <w:t xml:space="preserve"> </w:t>
            </w:r>
            <w:r w:rsidR="00CD0FEB">
              <w:rPr>
                <w:rFonts w:ascii="Arial" w:hAnsi="Arial" w:cs="Arial"/>
                <w:color w:val="000000"/>
                <w:sz w:val="20"/>
                <w:szCs w:val="20"/>
              </w:rPr>
              <w:t>developed</w:t>
            </w:r>
            <w:r>
              <w:rPr>
                <w:rFonts w:ascii="Arial" w:hAnsi="Arial" w:cs="Arial"/>
                <w:color w:val="000000"/>
                <w:sz w:val="20"/>
                <w:szCs w:val="20"/>
              </w:rPr>
              <w:t xml:space="preserve"> by both the </w:t>
            </w:r>
            <w:r w:rsidR="005B25B9">
              <w:rPr>
                <w:rFonts w:ascii="Arial" w:hAnsi="Arial" w:cs="Arial"/>
                <w:color w:val="000000"/>
                <w:sz w:val="20"/>
                <w:szCs w:val="20"/>
              </w:rPr>
              <w:t>business</w:t>
            </w:r>
            <w:r w:rsidR="00FA4F5E">
              <w:rPr>
                <w:rFonts w:ascii="Arial" w:hAnsi="Arial" w:cs="Arial"/>
                <w:color w:val="000000"/>
                <w:sz w:val="20"/>
                <w:szCs w:val="20"/>
              </w:rPr>
              <w:t xml:space="preserve"> unit (with assistance from </w:t>
            </w:r>
            <w:r w:rsidR="00FD3700">
              <w:rPr>
                <w:rFonts w:ascii="Arial" w:hAnsi="Arial" w:cs="Arial"/>
                <w:color w:val="000000"/>
                <w:sz w:val="20"/>
                <w:szCs w:val="20"/>
              </w:rPr>
              <w:t>its</w:t>
            </w:r>
            <w:r w:rsidR="00FA4F5E">
              <w:rPr>
                <w:rFonts w:ascii="Arial" w:hAnsi="Arial" w:cs="Arial"/>
                <w:color w:val="000000"/>
                <w:sz w:val="20"/>
                <w:szCs w:val="20"/>
              </w:rPr>
              <w:t xml:space="preserve"> portfolio </w:t>
            </w:r>
            <w:r>
              <w:rPr>
                <w:rFonts w:ascii="Arial" w:hAnsi="Arial" w:cs="Arial"/>
                <w:color w:val="000000"/>
                <w:sz w:val="20"/>
                <w:szCs w:val="20"/>
              </w:rPr>
              <w:t>actuarie</w:t>
            </w:r>
            <w:r w:rsidR="0087643C">
              <w:rPr>
                <w:rFonts w:ascii="Arial" w:hAnsi="Arial" w:cs="Arial"/>
                <w:color w:val="000000"/>
                <w:sz w:val="20"/>
                <w:szCs w:val="20"/>
              </w:rPr>
              <w:t>s</w:t>
            </w:r>
            <w:r w:rsidR="00FA4F5E">
              <w:rPr>
                <w:rFonts w:ascii="Arial" w:hAnsi="Arial" w:cs="Arial"/>
                <w:color w:val="000000"/>
                <w:sz w:val="20"/>
                <w:szCs w:val="20"/>
              </w:rPr>
              <w:t>,)</w:t>
            </w:r>
            <w:r w:rsidR="0087643C">
              <w:rPr>
                <w:rFonts w:ascii="Arial" w:hAnsi="Arial" w:cs="Arial"/>
                <w:color w:val="000000"/>
                <w:sz w:val="20"/>
                <w:szCs w:val="20"/>
              </w:rPr>
              <w:t xml:space="preserve"> and the </w:t>
            </w:r>
            <w:r w:rsidR="004417FE">
              <w:rPr>
                <w:rFonts w:ascii="Arial" w:hAnsi="Arial" w:cs="Arial"/>
                <w:color w:val="000000"/>
                <w:sz w:val="20"/>
                <w:szCs w:val="20"/>
              </w:rPr>
              <w:t xml:space="preserve">finance </w:t>
            </w:r>
            <w:r w:rsidR="0087643C">
              <w:rPr>
                <w:rFonts w:ascii="Arial" w:hAnsi="Arial" w:cs="Arial"/>
                <w:color w:val="000000"/>
                <w:sz w:val="20"/>
                <w:szCs w:val="20"/>
              </w:rPr>
              <w:t xml:space="preserve">actuaries, </w:t>
            </w:r>
            <w:r w:rsidR="00CD0FEB">
              <w:rPr>
                <w:rFonts w:ascii="Arial" w:hAnsi="Arial" w:cs="Arial"/>
                <w:color w:val="000000"/>
                <w:sz w:val="20"/>
                <w:szCs w:val="20"/>
              </w:rPr>
              <w:t>are provided</w:t>
            </w:r>
            <w:r>
              <w:rPr>
                <w:rFonts w:ascii="Arial" w:hAnsi="Arial" w:cs="Arial"/>
                <w:color w:val="000000"/>
                <w:sz w:val="20"/>
                <w:szCs w:val="20"/>
              </w:rPr>
              <w:t xml:space="preserve"> to senior management. Th</w:t>
            </w:r>
            <w:r w:rsidR="00CD0FEB">
              <w:rPr>
                <w:rFonts w:ascii="Arial" w:hAnsi="Arial" w:cs="Arial"/>
                <w:color w:val="000000"/>
                <w:sz w:val="20"/>
                <w:szCs w:val="20"/>
              </w:rPr>
              <w:t xml:space="preserve">e </w:t>
            </w:r>
            <w:r w:rsidR="00043CAB">
              <w:rPr>
                <w:rFonts w:ascii="Arial" w:hAnsi="Arial" w:cs="Arial"/>
                <w:color w:val="000000"/>
                <w:sz w:val="20"/>
                <w:szCs w:val="20"/>
              </w:rPr>
              <w:t>Bridging Analysis</w:t>
            </w:r>
            <w:r>
              <w:rPr>
                <w:rFonts w:ascii="Arial" w:hAnsi="Arial" w:cs="Arial"/>
                <w:color w:val="000000"/>
                <w:sz w:val="20"/>
                <w:szCs w:val="20"/>
              </w:rPr>
              <w:t xml:space="preserve"> </w:t>
            </w:r>
            <w:r w:rsidR="00FA4F5E">
              <w:rPr>
                <w:rFonts w:ascii="Arial" w:hAnsi="Arial" w:cs="Arial"/>
                <w:color w:val="000000"/>
                <w:sz w:val="20"/>
                <w:szCs w:val="20"/>
              </w:rPr>
              <w:t>must also be provided to senior management</w:t>
            </w:r>
            <w:r w:rsidR="0087643C">
              <w:rPr>
                <w:rFonts w:ascii="Arial" w:hAnsi="Arial" w:cs="Arial"/>
                <w:color w:val="000000"/>
                <w:sz w:val="20"/>
                <w:szCs w:val="20"/>
              </w:rPr>
              <w:t xml:space="preserve">, on a quarterly basis, </w:t>
            </w:r>
            <w:r w:rsidR="00CD0FEB">
              <w:rPr>
                <w:rFonts w:ascii="Arial" w:hAnsi="Arial" w:cs="Arial"/>
                <w:color w:val="000000"/>
                <w:sz w:val="20"/>
                <w:szCs w:val="20"/>
              </w:rPr>
              <w:t xml:space="preserve">to </w:t>
            </w:r>
            <w:r w:rsidR="00FA4F5E">
              <w:rPr>
                <w:rFonts w:ascii="Arial" w:hAnsi="Arial" w:cs="Arial"/>
                <w:color w:val="000000"/>
                <w:sz w:val="20"/>
                <w:szCs w:val="20"/>
              </w:rPr>
              <w:t>enable senior management to understand the differences between the analyses of the business unit and the finance actuaries</w:t>
            </w:r>
            <w:r w:rsidR="0087643C">
              <w:rPr>
                <w:rFonts w:ascii="Arial" w:hAnsi="Arial" w:cs="Arial"/>
                <w:color w:val="000000"/>
                <w:sz w:val="20"/>
                <w:szCs w:val="20"/>
              </w:rPr>
              <w:t>. T</w:t>
            </w:r>
            <w:r w:rsidR="00306650">
              <w:rPr>
                <w:rFonts w:ascii="Arial" w:hAnsi="Arial" w:cs="Arial"/>
                <w:color w:val="000000"/>
                <w:sz w:val="20"/>
                <w:szCs w:val="20"/>
              </w:rPr>
              <w:t xml:space="preserve">his </w:t>
            </w:r>
            <w:r w:rsidR="00CD0FEB">
              <w:rPr>
                <w:rFonts w:ascii="Arial" w:hAnsi="Arial" w:cs="Arial"/>
                <w:color w:val="000000"/>
                <w:sz w:val="20"/>
                <w:szCs w:val="20"/>
              </w:rPr>
              <w:t>S</w:t>
            </w:r>
            <w:r w:rsidR="004417FE">
              <w:rPr>
                <w:rFonts w:ascii="Arial" w:hAnsi="Arial" w:cs="Arial"/>
                <w:color w:val="000000"/>
                <w:sz w:val="20"/>
                <w:szCs w:val="20"/>
              </w:rPr>
              <w:t xml:space="preserve">tandard </w:t>
            </w:r>
            <w:r w:rsidR="00306650">
              <w:rPr>
                <w:rFonts w:ascii="Arial" w:hAnsi="Arial" w:cs="Arial"/>
                <w:color w:val="000000"/>
                <w:sz w:val="20"/>
                <w:szCs w:val="20"/>
              </w:rPr>
              <w:t>e</w:t>
            </w:r>
            <w:r w:rsidR="00841986">
              <w:rPr>
                <w:rFonts w:ascii="Arial" w:hAnsi="Arial" w:cs="Arial"/>
                <w:color w:val="000000"/>
                <w:sz w:val="20"/>
                <w:szCs w:val="20"/>
              </w:rPr>
              <w:t>stablishes</w:t>
            </w:r>
            <w:r w:rsidR="00306650">
              <w:rPr>
                <w:rFonts w:ascii="Arial" w:hAnsi="Arial" w:cs="Arial"/>
                <w:color w:val="000000"/>
                <w:sz w:val="20"/>
                <w:szCs w:val="20"/>
              </w:rPr>
              <w:t xml:space="preserve"> the</w:t>
            </w:r>
            <w:r w:rsidR="00841986">
              <w:rPr>
                <w:rFonts w:ascii="Arial" w:hAnsi="Arial" w:cs="Arial"/>
                <w:color w:val="000000"/>
                <w:sz w:val="20"/>
                <w:szCs w:val="20"/>
              </w:rPr>
              <w:t xml:space="preserve"> </w:t>
            </w:r>
            <w:r w:rsidR="00CD0FEB">
              <w:rPr>
                <w:rFonts w:ascii="Arial" w:hAnsi="Arial" w:cs="Arial"/>
                <w:color w:val="000000"/>
                <w:sz w:val="20"/>
                <w:szCs w:val="20"/>
              </w:rPr>
              <w:t xml:space="preserve">minimum </w:t>
            </w:r>
            <w:r w:rsidR="00841986">
              <w:rPr>
                <w:rFonts w:ascii="Arial" w:hAnsi="Arial" w:cs="Arial"/>
                <w:color w:val="000000"/>
                <w:sz w:val="20"/>
                <w:szCs w:val="20"/>
              </w:rPr>
              <w:t>reporting requi</w:t>
            </w:r>
            <w:r w:rsidR="00CD0FEB">
              <w:rPr>
                <w:rFonts w:ascii="Arial" w:hAnsi="Arial" w:cs="Arial"/>
                <w:color w:val="000000"/>
                <w:sz w:val="20"/>
                <w:szCs w:val="20"/>
              </w:rPr>
              <w:t xml:space="preserve">rements </w:t>
            </w:r>
            <w:r w:rsidR="00841986">
              <w:rPr>
                <w:rFonts w:ascii="Arial" w:hAnsi="Arial" w:cs="Arial"/>
                <w:color w:val="000000"/>
                <w:sz w:val="20"/>
                <w:szCs w:val="20"/>
              </w:rPr>
              <w:t>f</w:t>
            </w:r>
            <w:r w:rsidR="00CD0FEB">
              <w:rPr>
                <w:rFonts w:ascii="Arial" w:hAnsi="Arial" w:cs="Arial"/>
                <w:color w:val="000000"/>
                <w:sz w:val="20"/>
                <w:szCs w:val="20"/>
              </w:rPr>
              <w:t>or</w:t>
            </w:r>
            <w:r w:rsidR="00841986">
              <w:rPr>
                <w:rFonts w:ascii="Arial" w:hAnsi="Arial" w:cs="Arial"/>
                <w:color w:val="000000"/>
                <w:sz w:val="20"/>
                <w:szCs w:val="20"/>
              </w:rPr>
              <w:t xml:space="preserve"> </w:t>
            </w:r>
            <w:r w:rsidR="0087643C">
              <w:rPr>
                <w:rFonts w:ascii="Arial" w:hAnsi="Arial" w:cs="Arial"/>
                <w:color w:val="000000"/>
                <w:sz w:val="20"/>
                <w:szCs w:val="20"/>
              </w:rPr>
              <w:t>th</w:t>
            </w:r>
            <w:r w:rsidR="00841986">
              <w:rPr>
                <w:rFonts w:ascii="Arial" w:hAnsi="Arial" w:cs="Arial"/>
                <w:color w:val="000000"/>
                <w:sz w:val="20"/>
                <w:szCs w:val="20"/>
              </w:rPr>
              <w:t>e</w:t>
            </w:r>
            <w:r w:rsidR="00CD0FEB">
              <w:rPr>
                <w:rFonts w:ascii="Arial" w:hAnsi="Arial" w:cs="Arial"/>
                <w:color w:val="000000"/>
                <w:sz w:val="20"/>
                <w:szCs w:val="20"/>
              </w:rPr>
              <w:t xml:space="preserve"> </w:t>
            </w:r>
            <w:r w:rsidR="00043CAB">
              <w:rPr>
                <w:rFonts w:ascii="Arial" w:hAnsi="Arial" w:cs="Arial"/>
                <w:color w:val="000000"/>
                <w:sz w:val="20"/>
                <w:szCs w:val="20"/>
              </w:rPr>
              <w:t>Bridging Analysis</w:t>
            </w:r>
            <w:r w:rsidR="00CD0FEB">
              <w:rPr>
                <w:rFonts w:ascii="Arial" w:hAnsi="Arial" w:cs="Arial"/>
                <w:color w:val="000000"/>
                <w:sz w:val="20"/>
                <w:szCs w:val="20"/>
              </w:rPr>
              <w:t>.</w:t>
            </w:r>
          </w:p>
          <w:p w14:paraId="4DD66CA7" w14:textId="77777777" w:rsidR="00461ECF" w:rsidRPr="00EF7B2D" w:rsidRDefault="00461ECF" w:rsidP="00427A89">
            <w:pPr>
              <w:rPr>
                <w:rFonts w:ascii="Arial" w:hAnsi="Arial" w:cs="Arial"/>
                <w:color w:val="000000"/>
                <w:sz w:val="20"/>
                <w:szCs w:val="20"/>
              </w:rPr>
            </w:pPr>
          </w:p>
        </w:tc>
      </w:tr>
      <w:tr w:rsidR="00461ECF" w:rsidRPr="00EF7B2D" w14:paraId="4DD66CAE" w14:textId="77777777" w:rsidTr="00EF7B2D">
        <w:trPr>
          <w:trHeight w:val="513"/>
        </w:trPr>
        <w:tc>
          <w:tcPr>
            <w:tcW w:w="1800" w:type="dxa"/>
          </w:tcPr>
          <w:p w14:paraId="4DD66CA9" w14:textId="77777777" w:rsidR="00461ECF" w:rsidRPr="00EF7B2D" w:rsidRDefault="00461ECF" w:rsidP="00EF7B2D">
            <w:pPr>
              <w:spacing w:before="60" w:after="60"/>
              <w:rPr>
                <w:rFonts w:ascii="Arial" w:hAnsi="Arial" w:cs="Arial"/>
                <w:b/>
                <w:sz w:val="20"/>
                <w:szCs w:val="20"/>
              </w:rPr>
            </w:pPr>
            <w:r w:rsidRPr="00EF7B2D">
              <w:rPr>
                <w:rFonts w:ascii="Arial" w:hAnsi="Arial" w:cs="Arial"/>
                <w:b/>
                <w:sz w:val="20"/>
                <w:szCs w:val="20"/>
              </w:rPr>
              <w:t>Scope</w:t>
            </w:r>
          </w:p>
        </w:tc>
        <w:tc>
          <w:tcPr>
            <w:tcW w:w="8820" w:type="dxa"/>
            <w:gridSpan w:val="2"/>
          </w:tcPr>
          <w:p w14:paraId="4DD66CAA" w14:textId="77777777" w:rsidR="009E2892" w:rsidRPr="00EF7B2D" w:rsidRDefault="009E2892" w:rsidP="00EF7B2D">
            <w:pPr>
              <w:tabs>
                <w:tab w:val="num" w:pos="612"/>
              </w:tabs>
              <w:rPr>
                <w:rFonts w:ascii="Arial" w:hAnsi="Arial" w:cs="Arial"/>
                <w:sz w:val="20"/>
                <w:szCs w:val="20"/>
              </w:rPr>
            </w:pPr>
          </w:p>
          <w:p w14:paraId="4DD66CAB" w14:textId="77777777" w:rsidR="00461ECF" w:rsidRPr="00EF7B2D" w:rsidRDefault="00461ECF" w:rsidP="00EF7B2D">
            <w:pPr>
              <w:tabs>
                <w:tab w:val="num" w:pos="612"/>
              </w:tabs>
              <w:rPr>
                <w:rFonts w:ascii="Arial" w:hAnsi="Arial" w:cs="Arial"/>
                <w:sz w:val="20"/>
                <w:szCs w:val="20"/>
              </w:rPr>
            </w:pPr>
            <w:r w:rsidRPr="00EF7B2D">
              <w:rPr>
                <w:rFonts w:ascii="Arial" w:hAnsi="Arial" w:cs="Arial"/>
                <w:sz w:val="20"/>
                <w:szCs w:val="20"/>
              </w:rPr>
              <w:t xml:space="preserve">The </w:t>
            </w:r>
            <w:r w:rsidR="00F65110" w:rsidRPr="00EF7B2D">
              <w:rPr>
                <w:rFonts w:ascii="Arial" w:hAnsi="Arial" w:cs="Arial"/>
                <w:sz w:val="20"/>
                <w:szCs w:val="20"/>
              </w:rPr>
              <w:t>requirements</w:t>
            </w:r>
            <w:r w:rsidRPr="00EF7B2D">
              <w:rPr>
                <w:rFonts w:ascii="Arial" w:hAnsi="Arial" w:cs="Arial"/>
                <w:sz w:val="20"/>
                <w:szCs w:val="20"/>
              </w:rPr>
              <w:t xml:space="preserve"> set out in this </w:t>
            </w:r>
            <w:r w:rsidR="00817B5F" w:rsidRPr="00EF7B2D">
              <w:rPr>
                <w:rFonts w:ascii="Arial" w:hAnsi="Arial" w:cs="Arial"/>
                <w:sz w:val="20"/>
                <w:szCs w:val="20"/>
              </w:rPr>
              <w:t>S</w:t>
            </w:r>
            <w:r w:rsidR="001110E4" w:rsidRPr="00EF7B2D">
              <w:rPr>
                <w:rFonts w:ascii="Arial" w:hAnsi="Arial" w:cs="Arial"/>
                <w:sz w:val="20"/>
                <w:szCs w:val="20"/>
              </w:rPr>
              <w:t>tandard</w:t>
            </w:r>
            <w:r w:rsidRPr="00EF7B2D">
              <w:rPr>
                <w:rFonts w:ascii="Arial" w:hAnsi="Arial" w:cs="Arial"/>
                <w:sz w:val="20"/>
                <w:szCs w:val="20"/>
              </w:rPr>
              <w:t xml:space="preserve"> apply to all </w:t>
            </w:r>
            <w:r w:rsidR="001162DB">
              <w:rPr>
                <w:rFonts w:ascii="Arial" w:hAnsi="Arial" w:cs="Arial"/>
                <w:sz w:val="20"/>
                <w:szCs w:val="20"/>
              </w:rPr>
              <w:t xml:space="preserve">budgeted lines of business in </w:t>
            </w:r>
            <w:r w:rsidR="00817B5F" w:rsidRPr="00EF7B2D">
              <w:rPr>
                <w:rFonts w:ascii="Arial" w:hAnsi="Arial" w:cs="Arial"/>
                <w:sz w:val="20"/>
                <w:szCs w:val="20"/>
              </w:rPr>
              <w:t>A</w:t>
            </w:r>
            <w:r w:rsidR="00CD0FEB">
              <w:rPr>
                <w:rFonts w:ascii="Arial" w:hAnsi="Arial" w:cs="Arial"/>
                <w:sz w:val="20"/>
                <w:szCs w:val="20"/>
              </w:rPr>
              <w:t>IG Property Casualty Commercial</w:t>
            </w:r>
            <w:r w:rsidR="005B25B9">
              <w:rPr>
                <w:rFonts w:ascii="Arial" w:hAnsi="Arial" w:cs="Arial"/>
                <w:sz w:val="20"/>
                <w:szCs w:val="20"/>
              </w:rPr>
              <w:t xml:space="preserve"> unless exempted by the Head of Commercial Pricing</w:t>
            </w:r>
            <w:r w:rsidR="001162DB">
              <w:rPr>
                <w:rFonts w:ascii="Arial" w:hAnsi="Arial" w:cs="Arial"/>
                <w:sz w:val="20"/>
                <w:szCs w:val="20"/>
              </w:rPr>
              <w:t xml:space="preserve">. </w:t>
            </w:r>
          </w:p>
          <w:p w14:paraId="4DD66CAC" w14:textId="77777777" w:rsidR="00817B5F" w:rsidRPr="00EF7B2D" w:rsidRDefault="00817B5F" w:rsidP="00EF7B2D">
            <w:pPr>
              <w:tabs>
                <w:tab w:val="num" w:pos="612"/>
              </w:tabs>
              <w:rPr>
                <w:rFonts w:ascii="Arial" w:hAnsi="Arial" w:cs="Arial"/>
                <w:i/>
                <w:iCs/>
                <w:sz w:val="16"/>
                <w:szCs w:val="16"/>
              </w:rPr>
            </w:pPr>
          </w:p>
          <w:p w14:paraId="4DD66CAD" w14:textId="77777777" w:rsidR="00461ECF" w:rsidRPr="00EF7B2D" w:rsidRDefault="00461ECF" w:rsidP="00EF7B2D">
            <w:pPr>
              <w:autoSpaceDE w:val="0"/>
              <w:autoSpaceDN w:val="0"/>
              <w:adjustRightInd w:val="0"/>
              <w:jc w:val="both"/>
              <w:rPr>
                <w:rFonts w:ascii="Arial" w:hAnsi="Arial" w:cs="Arial"/>
                <w:i/>
                <w:iCs/>
                <w:sz w:val="16"/>
                <w:szCs w:val="16"/>
              </w:rPr>
            </w:pPr>
          </w:p>
        </w:tc>
      </w:tr>
      <w:tr w:rsidR="00461ECF" w:rsidRPr="00EF7B2D" w14:paraId="4DD66CB4" w14:textId="77777777" w:rsidTr="00306650">
        <w:trPr>
          <w:trHeight w:val="558"/>
        </w:trPr>
        <w:tc>
          <w:tcPr>
            <w:tcW w:w="1800" w:type="dxa"/>
          </w:tcPr>
          <w:p w14:paraId="4DD66CAF" w14:textId="77777777" w:rsidR="00461ECF" w:rsidRPr="00EF7B2D" w:rsidRDefault="00461ECF" w:rsidP="00EF7B2D">
            <w:pPr>
              <w:spacing w:before="60" w:after="60"/>
              <w:rPr>
                <w:rFonts w:ascii="Arial" w:hAnsi="Arial" w:cs="Arial"/>
                <w:b/>
                <w:sz w:val="20"/>
                <w:szCs w:val="20"/>
              </w:rPr>
            </w:pPr>
            <w:bookmarkStart w:id="1" w:name="Operational"/>
            <w:r w:rsidRPr="00EF7B2D">
              <w:rPr>
                <w:rFonts w:ascii="Arial" w:hAnsi="Arial" w:cs="Arial"/>
                <w:b/>
                <w:sz w:val="20"/>
                <w:szCs w:val="20"/>
              </w:rPr>
              <w:t>Operational Standards</w:t>
            </w:r>
            <w:bookmarkEnd w:id="1"/>
          </w:p>
        </w:tc>
        <w:tc>
          <w:tcPr>
            <w:tcW w:w="8820" w:type="dxa"/>
            <w:gridSpan w:val="2"/>
          </w:tcPr>
          <w:p w14:paraId="4DD66CB0" w14:textId="77777777" w:rsidR="00461ECF" w:rsidRPr="00EF7B2D" w:rsidRDefault="00461ECF" w:rsidP="00057E48">
            <w:pPr>
              <w:rPr>
                <w:rFonts w:ascii="Arial" w:hAnsi="Arial" w:cs="Arial"/>
                <w:i/>
                <w:iCs/>
                <w:sz w:val="16"/>
                <w:szCs w:val="16"/>
              </w:rPr>
            </w:pPr>
          </w:p>
          <w:p w14:paraId="4DD66CB1" w14:textId="77777777" w:rsidR="00E41262" w:rsidRPr="00EF7B2D" w:rsidRDefault="00E41262" w:rsidP="00057E48">
            <w:pPr>
              <w:rPr>
                <w:rFonts w:ascii="Arial" w:hAnsi="Arial" w:cs="Arial"/>
                <w:i/>
                <w:iCs/>
                <w:sz w:val="16"/>
                <w:szCs w:val="16"/>
              </w:rPr>
            </w:pPr>
          </w:p>
          <w:p w14:paraId="4DD66CB2" w14:textId="77777777" w:rsidR="00E41262" w:rsidRPr="00EF7B2D" w:rsidRDefault="00E41262" w:rsidP="00057E48">
            <w:pPr>
              <w:rPr>
                <w:rFonts w:ascii="Arial" w:hAnsi="Arial" w:cs="Arial"/>
                <w:i/>
                <w:iCs/>
                <w:sz w:val="16"/>
                <w:szCs w:val="16"/>
              </w:rPr>
            </w:pPr>
          </w:p>
          <w:p w14:paraId="4DD66CB3" w14:textId="77777777" w:rsidR="00E41262" w:rsidRPr="00EF7B2D" w:rsidRDefault="00E41262" w:rsidP="00057E48">
            <w:pPr>
              <w:rPr>
                <w:rFonts w:ascii="Arial" w:hAnsi="Arial" w:cs="Arial"/>
                <w:i/>
                <w:iCs/>
                <w:sz w:val="16"/>
                <w:szCs w:val="16"/>
              </w:rPr>
            </w:pPr>
          </w:p>
        </w:tc>
      </w:tr>
      <w:tr w:rsidR="00461ECF" w:rsidRPr="00EF7B2D" w14:paraId="4DD66CBA" w14:textId="77777777" w:rsidTr="00EF7B2D">
        <w:trPr>
          <w:trHeight w:val="387"/>
        </w:trPr>
        <w:tc>
          <w:tcPr>
            <w:tcW w:w="1800" w:type="dxa"/>
          </w:tcPr>
          <w:p w14:paraId="4DD66CB5" w14:textId="77777777" w:rsidR="00461ECF" w:rsidRPr="008F5680" w:rsidRDefault="00461ECF" w:rsidP="00EF7B2D">
            <w:pPr>
              <w:spacing w:before="60" w:after="60"/>
              <w:rPr>
                <w:rFonts w:ascii="Arial" w:hAnsi="Arial" w:cs="Arial"/>
                <w:i/>
                <w:color w:val="00B0F0"/>
                <w:sz w:val="20"/>
                <w:szCs w:val="20"/>
              </w:rPr>
            </w:pPr>
            <w:r w:rsidRPr="008F5680">
              <w:rPr>
                <w:rFonts w:ascii="Arial" w:hAnsi="Arial" w:cs="Arial"/>
                <w:i/>
                <w:color w:val="00B0F0"/>
                <w:sz w:val="20"/>
                <w:szCs w:val="20"/>
              </w:rPr>
              <w:t>General Principles</w:t>
            </w:r>
          </w:p>
          <w:p w14:paraId="4DD66CB6" w14:textId="77777777" w:rsidR="00461ECF" w:rsidRPr="008F5680" w:rsidRDefault="00461ECF" w:rsidP="00EF7B2D">
            <w:pPr>
              <w:spacing w:before="60" w:after="60"/>
              <w:rPr>
                <w:rFonts w:ascii="Arial" w:hAnsi="Arial" w:cs="Arial"/>
                <w:bCs/>
                <w:i/>
                <w:iCs/>
                <w:color w:val="00B0F0"/>
                <w:sz w:val="20"/>
                <w:szCs w:val="20"/>
                <w:highlight w:val="lightGray"/>
              </w:rPr>
            </w:pPr>
          </w:p>
        </w:tc>
        <w:tc>
          <w:tcPr>
            <w:tcW w:w="8820" w:type="dxa"/>
            <w:gridSpan w:val="2"/>
          </w:tcPr>
          <w:p w14:paraId="4DD66CB7" w14:textId="77777777" w:rsidR="00461ECF" w:rsidRPr="00EF7B2D" w:rsidRDefault="00461ECF" w:rsidP="00EF7B2D">
            <w:pPr>
              <w:jc w:val="both"/>
              <w:rPr>
                <w:rFonts w:ascii="Arial" w:hAnsi="Arial" w:cs="Arial"/>
                <w:sz w:val="20"/>
                <w:szCs w:val="20"/>
              </w:rPr>
            </w:pPr>
          </w:p>
          <w:p w14:paraId="4DD66CB8" w14:textId="77777777" w:rsidR="00080FC3" w:rsidRDefault="00080FC3" w:rsidP="006E5ADA">
            <w:pPr>
              <w:jc w:val="both"/>
              <w:rPr>
                <w:rFonts w:ascii="Arial" w:hAnsi="Arial" w:cs="Arial"/>
                <w:sz w:val="20"/>
                <w:szCs w:val="20"/>
              </w:rPr>
            </w:pPr>
            <w:r>
              <w:rPr>
                <w:rFonts w:ascii="Arial" w:hAnsi="Arial" w:cs="Arial"/>
                <w:sz w:val="20"/>
                <w:szCs w:val="20"/>
              </w:rPr>
              <w:t xml:space="preserve">There are many studies that influence the overall </w:t>
            </w:r>
            <w:r w:rsidR="004417FE">
              <w:rPr>
                <w:rFonts w:ascii="Arial" w:hAnsi="Arial" w:cs="Arial"/>
                <w:sz w:val="20"/>
                <w:szCs w:val="20"/>
              </w:rPr>
              <w:t xml:space="preserve">loss ratio projection </w:t>
            </w:r>
            <w:r>
              <w:rPr>
                <w:rFonts w:ascii="Arial" w:hAnsi="Arial" w:cs="Arial"/>
                <w:sz w:val="20"/>
                <w:szCs w:val="20"/>
              </w:rPr>
              <w:t xml:space="preserve">of the current accident year. On the </w:t>
            </w:r>
            <w:r w:rsidR="004417FE">
              <w:rPr>
                <w:rFonts w:ascii="Arial" w:hAnsi="Arial" w:cs="Arial"/>
                <w:sz w:val="20"/>
                <w:szCs w:val="20"/>
              </w:rPr>
              <w:t xml:space="preserve">business </w:t>
            </w:r>
            <w:r>
              <w:rPr>
                <w:rFonts w:ascii="Arial" w:hAnsi="Arial" w:cs="Arial"/>
                <w:sz w:val="20"/>
                <w:szCs w:val="20"/>
              </w:rPr>
              <w:t>side</w:t>
            </w:r>
            <w:r w:rsidR="00FA4F5E">
              <w:rPr>
                <w:rFonts w:ascii="Arial" w:hAnsi="Arial" w:cs="Arial"/>
                <w:sz w:val="20"/>
                <w:szCs w:val="20"/>
              </w:rPr>
              <w:t>, for example,</w:t>
            </w:r>
            <w:r w:rsidR="004417FE">
              <w:rPr>
                <w:rFonts w:ascii="Arial" w:hAnsi="Arial" w:cs="Arial"/>
                <w:sz w:val="20"/>
                <w:szCs w:val="20"/>
              </w:rPr>
              <w:t xml:space="preserve"> </w:t>
            </w:r>
            <w:r>
              <w:rPr>
                <w:rFonts w:ascii="Arial" w:hAnsi="Arial" w:cs="Arial"/>
                <w:sz w:val="20"/>
                <w:szCs w:val="20"/>
              </w:rPr>
              <w:t xml:space="preserve">there are </w:t>
            </w:r>
            <w:r w:rsidR="00A418F4">
              <w:rPr>
                <w:rFonts w:ascii="Arial" w:hAnsi="Arial" w:cs="Arial"/>
                <w:sz w:val="20"/>
                <w:szCs w:val="20"/>
              </w:rPr>
              <w:t>p</w:t>
            </w:r>
            <w:r>
              <w:rPr>
                <w:rFonts w:ascii="Arial" w:hAnsi="Arial" w:cs="Arial"/>
                <w:sz w:val="20"/>
                <w:szCs w:val="20"/>
              </w:rPr>
              <w:t xml:space="preserve">rofitability </w:t>
            </w:r>
            <w:r w:rsidR="00A418F4">
              <w:rPr>
                <w:rFonts w:ascii="Arial" w:hAnsi="Arial" w:cs="Arial"/>
                <w:sz w:val="20"/>
                <w:szCs w:val="20"/>
              </w:rPr>
              <w:t>r</w:t>
            </w:r>
            <w:r w:rsidR="004417FE">
              <w:rPr>
                <w:rFonts w:ascii="Arial" w:hAnsi="Arial" w:cs="Arial"/>
                <w:sz w:val="20"/>
                <w:szCs w:val="20"/>
              </w:rPr>
              <w:t>eview</w:t>
            </w:r>
            <w:r>
              <w:rPr>
                <w:rFonts w:ascii="Arial" w:hAnsi="Arial" w:cs="Arial"/>
                <w:sz w:val="20"/>
                <w:szCs w:val="20"/>
              </w:rPr>
              <w:t xml:space="preserve">s, </w:t>
            </w:r>
            <w:r w:rsidR="00CD0FEB">
              <w:rPr>
                <w:rFonts w:ascii="Arial" w:hAnsi="Arial" w:cs="Arial"/>
                <w:sz w:val="20"/>
                <w:szCs w:val="20"/>
              </w:rPr>
              <w:t xml:space="preserve">underwriting reviews, change in strategies, </w:t>
            </w:r>
            <w:r w:rsidR="00A31B3F">
              <w:rPr>
                <w:rFonts w:ascii="Arial" w:hAnsi="Arial" w:cs="Arial"/>
                <w:sz w:val="20"/>
                <w:szCs w:val="20"/>
              </w:rPr>
              <w:t xml:space="preserve">and </w:t>
            </w:r>
            <w:r>
              <w:rPr>
                <w:rFonts w:ascii="Arial" w:hAnsi="Arial" w:cs="Arial"/>
                <w:sz w:val="20"/>
                <w:szCs w:val="20"/>
              </w:rPr>
              <w:t xml:space="preserve">new underwriting guidelines. </w:t>
            </w:r>
            <w:r w:rsidR="00A31B3F">
              <w:rPr>
                <w:rFonts w:ascii="Arial" w:hAnsi="Arial" w:cs="Arial"/>
                <w:sz w:val="20"/>
                <w:szCs w:val="20"/>
              </w:rPr>
              <w:t xml:space="preserve">On the finance side there are updated reserves studies </w:t>
            </w:r>
            <w:r w:rsidR="00FA4F5E">
              <w:rPr>
                <w:rFonts w:ascii="Arial" w:hAnsi="Arial" w:cs="Arial"/>
                <w:sz w:val="20"/>
                <w:szCs w:val="20"/>
              </w:rPr>
              <w:t>and a</w:t>
            </w:r>
            <w:r w:rsidR="00A31B3F">
              <w:rPr>
                <w:rFonts w:ascii="Arial" w:hAnsi="Arial" w:cs="Arial"/>
                <w:sz w:val="20"/>
                <w:szCs w:val="20"/>
              </w:rPr>
              <w:t>ctual</w:t>
            </w:r>
            <w:r w:rsidR="00FA4F5E">
              <w:rPr>
                <w:rFonts w:ascii="Arial" w:hAnsi="Arial" w:cs="Arial"/>
                <w:sz w:val="20"/>
                <w:szCs w:val="20"/>
              </w:rPr>
              <w:t xml:space="preserve"> loss v. e</w:t>
            </w:r>
            <w:r w:rsidR="00A31B3F">
              <w:rPr>
                <w:rFonts w:ascii="Arial" w:hAnsi="Arial" w:cs="Arial"/>
                <w:sz w:val="20"/>
                <w:szCs w:val="20"/>
              </w:rPr>
              <w:t>xpected</w:t>
            </w:r>
            <w:r w:rsidR="00FA4F5E">
              <w:rPr>
                <w:rFonts w:ascii="Arial" w:hAnsi="Arial" w:cs="Arial"/>
                <w:sz w:val="20"/>
                <w:szCs w:val="20"/>
              </w:rPr>
              <w:t xml:space="preserve"> loss</w:t>
            </w:r>
            <w:r w:rsidR="00A31B3F">
              <w:rPr>
                <w:rFonts w:ascii="Arial" w:hAnsi="Arial" w:cs="Arial"/>
                <w:sz w:val="20"/>
                <w:szCs w:val="20"/>
              </w:rPr>
              <w:t xml:space="preserve"> studies</w:t>
            </w:r>
            <w:r>
              <w:rPr>
                <w:rFonts w:ascii="Arial" w:hAnsi="Arial" w:cs="Arial"/>
                <w:sz w:val="20"/>
                <w:szCs w:val="20"/>
              </w:rPr>
              <w:t xml:space="preserve">. </w:t>
            </w:r>
            <w:r w:rsidR="00E9199C">
              <w:rPr>
                <w:rFonts w:ascii="Arial" w:hAnsi="Arial" w:cs="Arial"/>
                <w:sz w:val="20"/>
                <w:szCs w:val="20"/>
              </w:rPr>
              <w:t xml:space="preserve">These analyses are performed throughout the year, and could have an important and immediate effect on the current accident year results. </w:t>
            </w:r>
            <w:r w:rsidR="00A31B3F">
              <w:rPr>
                <w:rFonts w:ascii="Arial" w:hAnsi="Arial" w:cs="Arial"/>
                <w:sz w:val="20"/>
                <w:szCs w:val="20"/>
              </w:rPr>
              <w:t xml:space="preserve">The </w:t>
            </w:r>
            <w:r w:rsidR="00043CAB">
              <w:rPr>
                <w:rFonts w:ascii="Arial" w:hAnsi="Arial" w:cs="Arial"/>
                <w:color w:val="000000"/>
                <w:sz w:val="20"/>
                <w:szCs w:val="20"/>
              </w:rPr>
              <w:t>Bridging Analysis</w:t>
            </w:r>
            <w:r w:rsidR="00A31B3F">
              <w:rPr>
                <w:rFonts w:ascii="Arial" w:hAnsi="Arial" w:cs="Arial"/>
                <w:sz w:val="20"/>
                <w:szCs w:val="20"/>
              </w:rPr>
              <w:t xml:space="preserve"> is used to make sure all of the most relevant information is reviewed while creating the budget and updating the current accident year results.</w:t>
            </w:r>
          </w:p>
          <w:p w14:paraId="4DD66CB9" w14:textId="77777777" w:rsidR="00461ECF" w:rsidRPr="00EF7B2D" w:rsidRDefault="00461ECF" w:rsidP="00E02DDE">
            <w:pPr>
              <w:jc w:val="both"/>
              <w:rPr>
                <w:rFonts w:ascii="Arial" w:hAnsi="Arial" w:cs="Arial"/>
                <w:sz w:val="20"/>
                <w:szCs w:val="20"/>
              </w:rPr>
            </w:pPr>
          </w:p>
        </w:tc>
      </w:tr>
      <w:tr w:rsidR="00461ECF" w:rsidRPr="00EF7B2D" w14:paraId="4DD66CBF" w14:textId="77777777" w:rsidTr="00EF7B2D">
        <w:trPr>
          <w:trHeight w:val="387"/>
        </w:trPr>
        <w:tc>
          <w:tcPr>
            <w:tcW w:w="1800" w:type="dxa"/>
          </w:tcPr>
          <w:p w14:paraId="4DD66CBB" w14:textId="77777777" w:rsidR="00461ECF" w:rsidRPr="008F5680" w:rsidRDefault="00837EA6" w:rsidP="00837EA6">
            <w:pPr>
              <w:rPr>
                <w:rFonts w:ascii="Arial" w:hAnsi="Arial" w:cs="Arial"/>
                <w:i/>
                <w:color w:val="00B0F0"/>
                <w:sz w:val="20"/>
                <w:szCs w:val="20"/>
              </w:rPr>
            </w:pPr>
            <w:r w:rsidRPr="008F5680">
              <w:rPr>
                <w:rFonts w:ascii="Arial" w:hAnsi="Arial" w:cs="Arial"/>
                <w:i/>
                <w:color w:val="00B0F0"/>
                <w:sz w:val="20"/>
                <w:szCs w:val="20"/>
              </w:rPr>
              <w:t>Definition</w:t>
            </w:r>
          </w:p>
        </w:tc>
        <w:tc>
          <w:tcPr>
            <w:tcW w:w="8820" w:type="dxa"/>
            <w:gridSpan w:val="2"/>
          </w:tcPr>
          <w:p w14:paraId="4DD66CBC" w14:textId="77777777" w:rsidR="00461ECF" w:rsidRPr="00EF7B2D" w:rsidRDefault="00461ECF" w:rsidP="00B01049">
            <w:pPr>
              <w:rPr>
                <w:rFonts w:ascii="Arial" w:hAnsi="Arial" w:cs="Arial"/>
                <w:sz w:val="20"/>
                <w:szCs w:val="20"/>
              </w:rPr>
            </w:pPr>
          </w:p>
          <w:p w14:paraId="4DD66CBD" w14:textId="77777777" w:rsidR="00D169B5" w:rsidRPr="00D169B5" w:rsidRDefault="00E60410" w:rsidP="00837EA6">
            <w:pPr>
              <w:autoSpaceDE w:val="0"/>
              <w:autoSpaceDN w:val="0"/>
              <w:rPr>
                <w:rFonts w:ascii="Arial" w:hAnsi="Arial" w:cs="Arial"/>
                <w:iCs/>
                <w:sz w:val="20"/>
                <w:szCs w:val="20"/>
              </w:rPr>
            </w:pPr>
            <w:r>
              <w:rPr>
                <w:rFonts w:ascii="Arial" w:hAnsi="Arial" w:cs="Arial"/>
                <w:b/>
                <w:iCs/>
                <w:sz w:val="20"/>
                <w:szCs w:val="20"/>
              </w:rPr>
              <w:t>Bridging</w:t>
            </w:r>
            <w:r w:rsidR="00E9199C">
              <w:rPr>
                <w:rFonts w:ascii="Arial" w:hAnsi="Arial" w:cs="Arial"/>
                <w:b/>
                <w:iCs/>
                <w:sz w:val="20"/>
                <w:szCs w:val="20"/>
              </w:rPr>
              <w:t xml:space="preserve"> Analysis</w:t>
            </w:r>
            <w:r w:rsidR="00837EA6" w:rsidRPr="00604419">
              <w:rPr>
                <w:rFonts w:ascii="Arial" w:hAnsi="Arial" w:cs="Arial"/>
                <w:sz w:val="20"/>
                <w:szCs w:val="20"/>
              </w:rPr>
              <w:t xml:space="preserve"> </w:t>
            </w:r>
            <w:r w:rsidR="00837EA6" w:rsidRPr="00604419">
              <w:rPr>
                <w:rFonts w:ascii="Arial" w:hAnsi="Arial" w:cs="Arial"/>
                <w:iCs/>
                <w:sz w:val="20"/>
                <w:szCs w:val="20"/>
              </w:rPr>
              <w:t xml:space="preserve">is </w:t>
            </w:r>
            <w:r>
              <w:rPr>
                <w:rFonts w:ascii="Arial" w:hAnsi="Arial" w:cs="Arial"/>
                <w:iCs/>
                <w:sz w:val="20"/>
                <w:szCs w:val="20"/>
              </w:rPr>
              <w:t>performed by the</w:t>
            </w:r>
            <w:r w:rsidR="005B25B9">
              <w:rPr>
                <w:rFonts w:ascii="Arial" w:hAnsi="Arial" w:cs="Arial"/>
                <w:iCs/>
                <w:sz w:val="20"/>
                <w:szCs w:val="20"/>
              </w:rPr>
              <w:t xml:space="preserve"> business </w:t>
            </w:r>
            <w:r w:rsidR="00FA4F5E">
              <w:rPr>
                <w:rFonts w:ascii="Arial" w:hAnsi="Arial" w:cs="Arial"/>
                <w:iCs/>
                <w:sz w:val="20"/>
                <w:szCs w:val="20"/>
              </w:rPr>
              <w:t xml:space="preserve">unit (with assistance from </w:t>
            </w:r>
            <w:r w:rsidR="00FD3700">
              <w:rPr>
                <w:rFonts w:ascii="Arial" w:hAnsi="Arial" w:cs="Arial"/>
                <w:iCs/>
                <w:sz w:val="20"/>
                <w:szCs w:val="20"/>
              </w:rPr>
              <w:t xml:space="preserve">its </w:t>
            </w:r>
            <w:r>
              <w:rPr>
                <w:rFonts w:ascii="Arial" w:hAnsi="Arial" w:cs="Arial"/>
                <w:iCs/>
                <w:sz w:val="20"/>
                <w:szCs w:val="20"/>
              </w:rPr>
              <w:t>portfolio actuar</w:t>
            </w:r>
            <w:r w:rsidR="00FA4F5E">
              <w:rPr>
                <w:rFonts w:ascii="Arial" w:hAnsi="Arial" w:cs="Arial"/>
                <w:iCs/>
                <w:sz w:val="20"/>
                <w:szCs w:val="20"/>
              </w:rPr>
              <w:t>ies)</w:t>
            </w:r>
            <w:r w:rsidR="005B25B9">
              <w:rPr>
                <w:rFonts w:ascii="Arial" w:hAnsi="Arial" w:cs="Arial"/>
                <w:iCs/>
                <w:sz w:val="20"/>
                <w:szCs w:val="20"/>
              </w:rPr>
              <w:t xml:space="preserve"> and the finance actuaries</w:t>
            </w:r>
            <w:r>
              <w:rPr>
                <w:rFonts w:ascii="Arial" w:hAnsi="Arial" w:cs="Arial"/>
                <w:iCs/>
                <w:sz w:val="20"/>
                <w:szCs w:val="20"/>
              </w:rPr>
              <w:t xml:space="preserve">. The purpose is to identify, analyze and explain and differences </w:t>
            </w:r>
            <w:r w:rsidR="001162DB">
              <w:rPr>
                <w:rFonts w:ascii="Arial" w:hAnsi="Arial" w:cs="Arial"/>
                <w:iCs/>
                <w:sz w:val="20"/>
                <w:szCs w:val="20"/>
              </w:rPr>
              <w:t xml:space="preserve">between the </w:t>
            </w:r>
            <w:r w:rsidR="00FA4F5E">
              <w:rPr>
                <w:rFonts w:ascii="Arial" w:hAnsi="Arial" w:cs="Arial"/>
                <w:iCs/>
                <w:sz w:val="20"/>
                <w:szCs w:val="20"/>
              </w:rPr>
              <w:t>current accident year loss ratio analysis of the business unit and the current accident year loss ratio analysis of the finance actuaries</w:t>
            </w:r>
            <w:r w:rsidR="00027039">
              <w:rPr>
                <w:rFonts w:ascii="Arial" w:hAnsi="Arial" w:cs="Arial"/>
                <w:iCs/>
                <w:sz w:val="20"/>
                <w:szCs w:val="20"/>
              </w:rPr>
              <w:t xml:space="preserve"> </w:t>
            </w:r>
            <w:r w:rsidR="001162DB">
              <w:rPr>
                <w:rFonts w:ascii="Arial" w:hAnsi="Arial" w:cs="Arial"/>
                <w:iCs/>
                <w:sz w:val="20"/>
                <w:szCs w:val="20"/>
              </w:rPr>
              <w:t xml:space="preserve">for the time frame being forecasted. </w:t>
            </w:r>
          </w:p>
          <w:p w14:paraId="4DD66CBE" w14:textId="77777777" w:rsidR="00A31ED5" w:rsidRPr="00EF7B2D" w:rsidRDefault="00A31ED5" w:rsidP="00D169B5">
            <w:pPr>
              <w:autoSpaceDE w:val="0"/>
              <w:autoSpaceDN w:val="0"/>
              <w:rPr>
                <w:rFonts w:ascii="Arial" w:hAnsi="Arial" w:cs="Arial"/>
                <w:sz w:val="20"/>
                <w:szCs w:val="20"/>
              </w:rPr>
            </w:pPr>
          </w:p>
        </w:tc>
      </w:tr>
      <w:tr w:rsidR="004F3BD8" w:rsidRPr="00EF7B2D" w14:paraId="4DD66CCB" w14:textId="77777777" w:rsidTr="00EF7B2D">
        <w:trPr>
          <w:trHeight w:val="387"/>
        </w:trPr>
        <w:tc>
          <w:tcPr>
            <w:tcW w:w="1800" w:type="dxa"/>
          </w:tcPr>
          <w:p w14:paraId="4DD66CC0" w14:textId="77777777" w:rsidR="004F3BD8" w:rsidRPr="008F5680" w:rsidRDefault="00A62442" w:rsidP="004417FE">
            <w:pPr>
              <w:rPr>
                <w:rFonts w:ascii="Arial" w:hAnsi="Arial" w:cs="Arial"/>
                <w:i/>
                <w:color w:val="00B0F0"/>
                <w:sz w:val="20"/>
                <w:szCs w:val="20"/>
              </w:rPr>
            </w:pPr>
            <w:r w:rsidRPr="008F5680">
              <w:rPr>
                <w:rFonts w:ascii="Arial" w:hAnsi="Arial" w:cs="Arial"/>
                <w:i/>
                <w:color w:val="00B0F0"/>
                <w:sz w:val="20"/>
                <w:szCs w:val="20"/>
              </w:rPr>
              <w:t>Process</w:t>
            </w:r>
          </w:p>
        </w:tc>
        <w:tc>
          <w:tcPr>
            <w:tcW w:w="8820" w:type="dxa"/>
            <w:gridSpan w:val="2"/>
          </w:tcPr>
          <w:p w14:paraId="4DD66CC1" w14:textId="77777777" w:rsidR="00D169B5" w:rsidRDefault="00D169B5" w:rsidP="004F3BD8">
            <w:pPr>
              <w:rPr>
                <w:rFonts w:ascii="Arial" w:hAnsi="Arial" w:cs="Arial"/>
                <w:sz w:val="20"/>
                <w:szCs w:val="20"/>
              </w:rPr>
            </w:pPr>
          </w:p>
          <w:p w14:paraId="4DD66CC2" w14:textId="77777777" w:rsidR="006027E2" w:rsidRDefault="00043CAB" w:rsidP="00FD3DFD">
            <w:pPr>
              <w:numPr>
                <w:ilvl w:val="0"/>
                <w:numId w:val="13"/>
              </w:numPr>
              <w:rPr>
                <w:rFonts w:ascii="Arial" w:hAnsi="Arial" w:cs="Arial"/>
                <w:sz w:val="20"/>
                <w:szCs w:val="20"/>
              </w:rPr>
            </w:pPr>
            <w:r>
              <w:rPr>
                <w:rFonts w:ascii="Arial" w:hAnsi="Arial" w:cs="Arial"/>
                <w:sz w:val="20"/>
                <w:szCs w:val="20"/>
              </w:rPr>
              <w:t xml:space="preserve">A </w:t>
            </w:r>
            <w:r>
              <w:rPr>
                <w:rFonts w:ascii="Arial" w:hAnsi="Arial" w:cs="Arial"/>
                <w:color w:val="000000"/>
                <w:sz w:val="20"/>
                <w:szCs w:val="20"/>
              </w:rPr>
              <w:t>Bridging Analysis</w:t>
            </w:r>
            <w:r w:rsidR="00E60410">
              <w:rPr>
                <w:rFonts w:ascii="Arial" w:hAnsi="Arial" w:cs="Arial"/>
                <w:sz w:val="20"/>
                <w:szCs w:val="20"/>
              </w:rPr>
              <w:t xml:space="preserve"> must be performed quarterly, and reported to senior management quarterly.</w:t>
            </w:r>
          </w:p>
          <w:p w14:paraId="4DD66CC3" w14:textId="77777777" w:rsidR="006027E2" w:rsidRDefault="006027E2" w:rsidP="00E007FD">
            <w:pPr>
              <w:ind w:left="720"/>
              <w:rPr>
                <w:rFonts w:ascii="Arial" w:hAnsi="Arial" w:cs="Arial"/>
                <w:sz w:val="20"/>
                <w:szCs w:val="20"/>
              </w:rPr>
            </w:pPr>
          </w:p>
          <w:p w14:paraId="4DD66CC4" w14:textId="77777777" w:rsidR="004345AD" w:rsidRDefault="006027E2" w:rsidP="00E007FD">
            <w:pPr>
              <w:numPr>
                <w:ilvl w:val="0"/>
                <w:numId w:val="13"/>
              </w:numPr>
              <w:rPr>
                <w:rFonts w:ascii="Arial" w:hAnsi="Arial" w:cs="Arial"/>
                <w:sz w:val="20"/>
                <w:szCs w:val="20"/>
              </w:rPr>
            </w:pPr>
            <w:r w:rsidRPr="006B37BC">
              <w:rPr>
                <w:rFonts w:ascii="Arial" w:hAnsi="Arial" w:cs="Arial"/>
                <w:sz w:val="20"/>
                <w:szCs w:val="20"/>
              </w:rPr>
              <w:t xml:space="preserve">The </w:t>
            </w:r>
            <w:r w:rsidR="00043CAB">
              <w:rPr>
                <w:rFonts w:ascii="Arial" w:hAnsi="Arial" w:cs="Arial"/>
                <w:color w:val="000000"/>
                <w:sz w:val="20"/>
                <w:szCs w:val="20"/>
              </w:rPr>
              <w:t>Bridging Analysis</w:t>
            </w:r>
            <w:r w:rsidRPr="006B37BC">
              <w:rPr>
                <w:rFonts w:ascii="Arial" w:hAnsi="Arial" w:cs="Arial"/>
                <w:sz w:val="20"/>
                <w:szCs w:val="20"/>
              </w:rPr>
              <w:t xml:space="preserve"> process begins with </w:t>
            </w:r>
            <w:r w:rsidR="00A62442" w:rsidRPr="006B37BC">
              <w:rPr>
                <w:rFonts w:ascii="Arial" w:hAnsi="Arial" w:cs="Arial"/>
                <w:sz w:val="20"/>
                <w:szCs w:val="20"/>
              </w:rPr>
              <w:t>a</w:t>
            </w:r>
            <w:r w:rsidRPr="006B37BC">
              <w:rPr>
                <w:rFonts w:ascii="Arial" w:hAnsi="Arial" w:cs="Arial"/>
                <w:sz w:val="20"/>
                <w:szCs w:val="20"/>
              </w:rPr>
              <w:t xml:space="preserve"> written exchange </w:t>
            </w:r>
            <w:r w:rsidR="00E60410" w:rsidRPr="006B37BC">
              <w:rPr>
                <w:rFonts w:ascii="Arial" w:hAnsi="Arial" w:cs="Arial"/>
                <w:sz w:val="20"/>
                <w:szCs w:val="20"/>
              </w:rPr>
              <w:t>between the</w:t>
            </w:r>
            <w:r w:rsidR="00A418F4" w:rsidRPr="006B37BC">
              <w:rPr>
                <w:rFonts w:ascii="Arial" w:hAnsi="Arial" w:cs="Arial"/>
                <w:sz w:val="20"/>
                <w:szCs w:val="20"/>
              </w:rPr>
              <w:t xml:space="preserve"> </w:t>
            </w:r>
            <w:r w:rsidR="00A62442" w:rsidRPr="006B37BC">
              <w:rPr>
                <w:rFonts w:ascii="Arial" w:hAnsi="Arial" w:cs="Arial"/>
                <w:sz w:val="20"/>
                <w:szCs w:val="20"/>
              </w:rPr>
              <w:t>b</w:t>
            </w:r>
            <w:r w:rsidR="00E60410" w:rsidRPr="006B37BC">
              <w:rPr>
                <w:rFonts w:ascii="Arial" w:hAnsi="Arial" w:cs="Arial"/>
                <w:sz w:val="20"/>
                <w:szCs w:val="20"/>
              </w:rPr>
              <w:t>usiness</w:t>
            </w:r>
            <w:r w:rsidRPr="006B37BC">
              <w:rPr>
                <w:rFonts w:ascii="Arial" w:hAnsi="Arial" w:cs="Arial"/>
                <w:sz w:val="20"/>
                <w:szCs w:val="20"/>
              </w:rPr>
              <w:t xml:space="preserve"> </w:t>
            </w:r>
            <w:r w:rsidR="00FD3700">
              <w:rPr>
                <w:rFonts w:ascii="Arial" w:hAnsi="Arial" w:cs="Arial"/>
                <w:sz w:val="20"/>
                <w:szCs w:val="20"/>
              </w:rPr>
              <w:t>unit</w:t>
            </w:r>
            <w:r w:rsidR="00FA4F5E">
              <w:rPr>
                <w:rFonts w:ascii="Arial" w:hAnsi="Arial" w:cs="Arial"/>
                <w:sz w:val="20"/>
                <w:szCs w:val="20"/>
              </w:rPr>
              <w:t xml:space="preserve"> </w:t>
            </w:r>
            <w:r w:rsidRPr="006B37BC">
              <w:rPr>
                <w:rFonts w:ascii="Arial" w:hAnsi="Arial" w:cs="Arial"/>
                <w:sz w:val="20"/>
                <w:szCs w:val="20"/>
              </w:rPr>
              <w:t xml:space="preserve">and </w:t>
            </w:r>
            <w:r w:rsidR="00A62442" w:rsidRPr="006B37BC">
              <w:rPr>
                <w:rFonts w:ascii="Arial" w:hAnsi="Arial" w:cs="Arial"/>
                <w:sz w:val="20"/>
                <w:szCs w:val="20"/>
              </w:rPr>
              <w:t>the f</w:t>
            </w:r>
            <w:r w:rsidRPr="006B37BC">
              <w:rPr>
                <w:rFonts w:ascii="Arial" w:hAnsi="Arial" w:cs="Arial"/>
                <w:sz w:val="20"/>
                <w:szCs w:val="20"/>
              </w:rPr>
              <w:t xml:space="preserve">inance </w:t>
            </w:r>
            <w:r w:rsidR="00A62442" w:rsidRPr="006B37BC">
              <w:rPr>
                <w:rFonts w:ascii="Arial" w:hAnsi="Arial" w:cs="Arial"/>
                <w:sz w:val="20"/>
                <w:szCs w:val="20"/>
              </w:rPr>
              <w:t>a</w:t>
            </w:r>
            <w:r w:rsidRPr="006B37BC">
              <w:rPr>
                <w:rFonts w:ascii="Arial" w:hAnsi="Arial" w:cs="Arial"/>
                <w:sz w:val="20"/>
                <w:szCs w:val="20"/>
              </w:rPr>
              <w:t>ctuaries</w:t>
            </w:r>
            <w:r w:rsidR="00A62442" w:rsidRPr="006B37BC">
              <w:rPr>
                <w:rFonts w:ascii="Arial" w:hAnsi="Arial" w:cs="Arial"/>
                <w:sz w:val="20"/>
                <w:szCs w:val="20"/>
              </w:rPr>
              <w:t xml:space="preserve"> </w:t>
            </w:r>
            <w:r w:rsidR="00E60410" w:rsidRPr="006B37BC">
              <w:rPr>
                <w:rFonts w:ascii="Arial" w:hAnsi="Arial" w:cs="Arial"/>
                <w:sz w:val="20"/>
                <w:szCs w:val="20"/>
              </w:rPr>
              <w:t xml:space="preserve">of their respective analysis </w:t>
            </w:r>
            <w:r w:rsidRPr="006B37BC">
              <w:rPr>
                <w:rFonts w:ascii="Arial" w:hAnsi="Arial" w:cs="Arial"/>
                <w:sz w:val="20"/>
                <w:szCs w:val="20"/>
              </w:rPr>
              <w:t>for the given time frame</w:t>
            </w:r>
            <w:r w:rsidR="00FA4F5E">
              <w:rPr>
                <w:rFonts w:ascii="Arial" w:hAnsi="Arial" w:cs="Arial"/>
                <w:sz w:val="20"/>
                <w:szCs w:val="20"/>
              </w:rPr>
              <w:t xml:space="preserve">, e.g. </w:t>
            </w:r>
            <w:r w:rsidRPr="006B37BC">
              <w:rPr>
                <w:rFonts w:ascii="Arial" w:hAnsi="Arial" w:cs="Arial"/>
                <w:sz w:val="20"/>
                <w:szCs w:val="20"/>
              </w:rPr>
              <w:lastRenderedPageBreak/>
              <w:t xml:space="preserve">accident year </w:t>
            </w:r>
            <w:r w:rsidR="00FA4F5E">
              <w:rPr>
                <w:rFonts w:ascii="Arial" w:hAnsi="Arial" w:cs="Arial"/>
                <w:sz w:val="20"/>
                <w:szCs w:val="20"/>
              </w:rPr>
              <w:t xml:space="preserve">or </w:t>
            </w:r>
            <w:r w:rsidRPr="006B37BC">
              <w:rPr>
                <w:rFonts w:ascii="Arial" w:hAnsi="Arial" w:cs="Arial"/>
                <w:sz w:val="20"/>
                <w:szCs w:val="20"/>
              </w:rPr>
              <w:t>accident quarter.</w:t>
            </w:r>
            <w:r w:rsidR="00027039">
              <w:rPr>
                <w:rFonts w:ascii="Arial" w:hAnsi="Arial" w:cs="Arial"/>
                <w:sz w:val="20"/>
                <w:szCs w:val="20"/>
              </w:rPr>
              <w:t xml:space="preserve"> </w:t>
            </w:r>
            <w:r w:rsidR="004345AD" w:rsidRPr="006B37BC">
              <w:rPr>
                <w:rFonts w:ascii="Arial" w:hAnsi="Arial" w:cs="Arial"/>
                <w:sz w:val="20"/>
                <w:szCs w:val="20"/>
              </w:rPr>
              <w:t xml:space="preserve">This </w:t>
            </w:r>
            <w:r w:rsidR="00E60410" w:rsidRPr="006B37BC">
              <w:rPr>
                <w:rFonts w:ascii="Arial" w:hAnsi="Arial" w:cs="Arial"/>
                <w:sz w:val="20"/>
                <w:szCs w:val="20"/>
              </w:rPr>
              <w:t xml:space="preserve">exchange </w:t>
            </w:r>
            <w:r w:rsidR="004345AD" w:rsidRPr="006B37BC">
              <w:rPr>
                <w:rFonts w:ascii="Arial" w:hAnsi="Arial" w:cs="Arial"/>
                <w:sz w:val="20"/>
                <w:szCs w:val="20"/>
              </w:rPr>
              <w:t xml:space="preserve">should </w:t>
            </w:r>
            <w:r w:rsidR="00E60410" w:rsidRPr="006B37BC">
              <w:rPr>
                <w:rFonts w:ascii="Arial" w:hAnsi="Arial" w:cs="Arial"/>
                <w:sz w:val="20"/>
                <w:szCs w:val="20"/>
              </w:rPr>
              <w:t>take place approximately two weeks</w:t>
            </w:r>
            <w:r w:rsidR="00337B06" w:rsidRPr="006B37BC">
              <w:rPr>
                <w:rFonts w:ascii="Arial" w:hAnsi="Arial" w:cs="Arial"/>
                <w:sz w:val="20"/>
                <w:szCs w:val="20"/>
              </w:rPr>
              <w:t xml:space="preserve"> prior to the </w:t>
            </w:r>
            <w:r w:rsidR="006B37BC" w:rsidRPr="006B37BC">
              <w:rPr>
                <w:rFonts w:ascii="Arial" w:hAnsi="Arial" w:cs="Arial"/>
                <w:sz w:val="20"/>
                <w:szCs w:val="20"/>
              </w:rPr>
              <w:t>budget reporting date or the date of the quarterly reserve briefing</w:t>
            </w:r>
            <w:r w:rsidR="004345AD" w:rsidRPr="006B37BC">
              <w:rPr>
                <w:rFonts w:ascii="Arial" w:hAnsi="Arial" w:cs="Arial"/>
                <w:sz w:val="20"/>
                <w:szCs w:val="20"/>
              </w:rPr>
              <w:t xml:space="preserve">. </w:t>
            </w:r>
            <w:r w:rsidR="006B37BC" w:rsidRPr="006B37BC">
              <w:rPr>
                <w:rFonts w:ascii="Arial" w:hAnsi="Arial" w:cs="Arial"/>
                <w:sz w:val="20"/>
                <w:szCs w:val="20"/>
              </w:rPr>
              <w:t xml:space="preserve">The two teams must meet to discuss their respective views. </w:t>
            </w:r>
          </w:p>
          <w:p w14:paraId="4DD66CC5" w14:textId="77777777" w:rsidR="006B37BC" w:rsidRDefault="006B37BC" w:rsidP="006B37BC">
            <w:pPr>
              <w:pStyle w:val="ListParagraph"/>
              <w:rPr>
                <w:rFonts w:ascii="Arial" w:hAnsi="Arial" w:cs="Arial"/>
                <w:sz w:val="20"/>
                <w:szCs w:val="20"/>
              </w:rPr>
            </w:pPr>
          </w:p>
          <w:p w14:paraId="4DD66CC6" w14:textId="77777777" w:rsidR="006B37BC" w:rsidRPr="006B37BC" w:rsidRDefault="006B37BC" w:rsidP="006B37BC">
            <w:pPr>
              <w:ind w:left="720"/>
              <w:rPr>
                <w:rFonts w:ascii="Arial" w:hAnsi="Arial" w:cs="Arial"/>
                <w:sz w:val="20"/>
                <w:szCs w:val="20"/>
              </w:rPr>
            </w:pPr>
          </w:p>
          <w:p w14:paraId="4DD66CC7" w14:textId="77777777" w:rsidR="006027E2" w:rsidRDefault="006027E2" w:rsidP="00FD3DFD">
            <w:pPr>
              <w:numPr>
                <w:ilvl w:val="0"/>
                <w:numId w:val="13"/>
              </w:numPr>
              <w:rPr>
                <w:rFonts w:ascii="Arial" w:hAnsi="Arial" w:cs="Arial"/>
                <w:sz w:val="20"/>
                <w:szCs w:val="20"/>
              </w:rPr>
            </w:pPr>
            <w:r>
              <w:rPr>
                <w:rFonts w:ascii="Arial" w:hAnsi="Arial" w:cs="Arial"/>
                <w:sz w:val="20"/>
                <w:szCs w:val="20"/>
              </w:rPr>
              <w:t>After meeting and discerning the rat</w:t>
            </w:r>
            <w:r w:rsidR="00A418F4">
              <w:rPr>
                <w:rFonts w:ascii="Arial" w:hAnsi="Arial" w:cs="Arial"/>
                <w:sz w:val="20"/>
                <w:szCs w:val="20"/>
              </w:rPr>
              <w:t>ionale of the b</w:t>
            </w:r>
            <w:r>
              <w:rPr>
                <w:rFonts w:ascii="Arial" w:hAnsi="Arial" w:cs="Arial"/>
                <w:sz w:val="20"/>
                <w:szCs w:val="20"/>
              </w:rPr>
              <w:t xml:space="preserve">usiness </w:t>
            </w:r>
            <w:r w:rsidR="00FA4F5E">
              <w:rPr>
                <w:rFonts w:ascii="Arial" w:hAnsi="Arial" w:cs="Arial"/>
                <w:sz w:val="20"/>
                <w:szCs w:val="20"/>
              </w:rPr>
              <w:t xml:space="preserve">unit </w:t>
            </w:r>
            <w:r>
              <w:rPr>
                <w:rFonts w:ascii="Arial" w:hAnsi="Arial" w:cs="Arial"/>
                <w:sz w:val="20"/>
                <w:szCs w:val="20"/>
              </w:rPr>
              <w:t xml:space="preserve">and </w:t>
            </w:r>
            <w:r w:rsidR="00A418F4">
              <w:rPr>
                <w:rFonts w:ascii="Arial" w:hAnsi="Arial" w:cs="Arial"/>
                <w:sz w:val="20"/>
                <w:szCs w:val="20"/>
              </w:rPr>
              <w:t>finance a</w:t>
            </w:r>
            <w:r>
              <w:rPr>
                <w:rFonts w:ascii="Arial" w:hAnsi="Arial" w:cs="Arial"/>
                <w:sz w:val="20"/>
                <w:szCs w:val="20"/>
              </w:rPr>
              <w:t>ctuaries</w:t>
            </w:r>
            <w:r w:rsidR="004345AD">
              <w:rPr>
                <w:rFonts w:ascii="Arial" w:hAnsi="Arial" w:cs="Arial"/>
                <w:sz w:val="20"/>
                <w:szCs w:val="20"/>
              </w:rPr>
              <w:t xml:space="preserve">, the final estimates will be </w:t>
            </w:r>
            <w:r w:rsidR="00A418F4">
              <w:rPr>
                <w:rFonts w:ascii="Arial" w:hAnsi="Arial" w:cs="Arial"/>
                <w:sz w:val="20"/>
                <w:szCs w:val="20"/>
              </w:rPr>
              <w:t>individually submitted by the b</w:t>
            </w:r>
            <w:r w:rsidR="00BA76CD">
              <w:rPr>
                <w:rFonts w:ascii="Arial" w:hAnsi="Arial" w:cs="Arial"/>
                <w:sz w:val="20"/>
                <w:szCs w:val="20"/>
              </w:rPr>
              <w:t xml:space="preserve">usiness and </w:t>
            </w:r>
            <w:r w:rsidR="00A418F4">
              <w:rPr>
                <w:rFonts w:ascii="Arial" w:hAnsi="Arial" w:cs="Arial"/>
                <w:sz w:val="20"/>
                <w:szCs w:val="20"/>
              </w:rPr>
              <w:t>finance a</w:t>
            </w:r>
            <w:r w:rsidR="00BA76CD">
              <w:rPr>
                <w:rFonts w:ascii="Arial" w:hAnsi="Arial" w:cs="Arial"/>
                <w:sz w:val="20"/>
                <w:szCs w:val="20"/>
              </w:rPr>
              <w:t>ctuaries into a predetermined format along</w:t>
            </w:r>
            <w:r w:rsidR="004345AD">
              <w:rPr>
                <w:rFonts w:ascii="Arial" w:hAnsi="Arial" w:cs="Arial"/>
                <w:sz w:val="20"/>
                <w:szCs w:val="20"/>
              </w:rPr>
              <w:t xml:space="preserve"> with the required pres</w:t>
            </w:r>
            <w:r w:rsidR="006B37BC">
              <w:rPr>
                <w:rFonts w:ascii="Arial" w:hAnsi="Arial" w:cs="Arial"/>
                <w:sz w:val="20"/>
                <w:szCs w:val="20"/>
              </w:rPr>
              <w:t>cribed written documentation by both those representing the business’ view and the finance actuaries. This</w:t>
            </w:r>
            <w:r w:rsidR="00FA4F5E">
              <w:rPr>
                <w:rFonts w:ascii="Arial" w:hAnsi="Arial" w:cs="Arial"/>
                <w:sz w:val="20"/>
                <w:szCs w:val="20"/>
              </w:rPr>
              <w:t xml:space="preserve"> Bridging Analysis</w:t>
            </w:r>
            <w:r w:rsidR="006B37BC">
              <w:rPr>
                <w:rFonts w:ascii="Arial" w:hAnsi="Arial" w:cs="Arial"/>
                <w:sz w:val="20"/>
                <w:szCs w:val="20"/>
              </w:rPr>
              <w:t xml:space="preserve"> will explain the differences </w:t>
            </w:r>
            <w:r w:rsidR="00326270">
              <w:rPr>
                <w:rFonts w:ascii="Arial" w:hAnsi="Arial" w:cs="Arial"/>
                <w:sz w:val="20"/>
                <w:szCs w:val="20"/>
              </w:rPr>
              <w:t xml:space="preserve">between the two analyses </w:t>
            </w:r>
            <w:r w:rsidR="006B37BC">
              <w:rPr>
                <w:rFonts w:ascii="Arial" w:hAnsi="Arial" w:cs="Arial"/>
                <w:sz w:val="20"/>
                <w:szCs w:val="20"/>
              </w:rPr>
              <w:t>and why they could not be reconciled. This documentation will be provided</w:t>
            </w:r>
            <w:r w:rsidR="004345AD">
              <w:rPr>
                <w:rFonts w:ascii="Arial" w:hAnsi="Arial" w:cs="Arial"/>
                <w:sz w:val="20"/>
                <w:szCs w:val="20"/>
              </w:rPr>
              <w:t xml:space="preserve"> to the Head of Commercial Pricing by the predetermined dates.</w:t>
            </w:r>
          </w:p>
          <w:p w14:paraId="4DD66CC8" w14:textId="77777777" w:rsidR="004345AD" w:rsidRDefault="004345AD" w:rsidP="00E007FD">
            <w:pPr>
              <w:ind w:left="720"/>
              <w:rPr>
                <w:rFonts w:ascii="Arial" w:hAnsi="Arial" w:cs="Arial"/>
                <w:sz w:val="20"/>
                <w:szCs w:val="20"/>
              </w:rPr>
            </w:pPr>
          </w:p>
          <w:p w14:paraId="4DD66CC9" w14:textId="77777777" w:rsidR="004345AD" w:rsidRPr="00A418F4" w:rsidRDefault="004345AD" w:rsidP="004345AD">
            <w:pPr>
              <w:numPr>
                <w:ilvl w:val="0"/>
                <w:numId w:val="13"/>
              </w:numPr>
              <w:rPr>
                <w:rFonts w:ascii="Arial" w:hAnsi="Arial" w:cs="Arial"/>
                <w:sz w:val="20"/>
                <w:szCs w:val="20"/>
              </w:rPr>
            </w:pPr>
            <w:r w:rsidRPr="00A418F4">
              <w:rPr>
                <w:rFonts w:ascii="Arial" w:hAnsi="Arial" w:cs="Arial"/>
                <w:sz w:val="20"/>
                <w:szCs w:val="20"/>
              </w:rPr>
              <w:t xml:space="preserve">The Head of Commercial Pricing, or </w:t>
            </w:r>
            <w:r w:rsidR="006B37BC">
              <w:rPr>
                <w:rFonts w:ascii="Arial" w:hAnsi="Arial" w:cs="Arial"/>
                <w:sz w:val="20"/>
                <w:szCs w:val="20"/>
              </w:rPr>
              <w:t xml:space="preserve">his/her </w:t>
            </w:r>
            <w:r w:rsidRPr="00A418F4">
              <w:rPr>
                <w:rFonts w:ascii="Arial" w:hAnsi="Arial" w:cs="Arial"/>
                <w:sz w:val="20"/>
                <w:szCs w:val="20"/>
              </w:rPr>
              <w:t>designee, will collect the reports and create a summary report t</w:t>
            </w:r>
            <w:r w:rsidR="00A418F4" w:rsidRPr="00A418F4">
              <w:rPr>
                <w:rFonts w:ascii="Arial" w:hAnsi="Arial" w:cs="Arial"/>
                <w:sz w:val="20"/>
                <w:szCs w:val="20"/>
              </w:rPr>
              <w:t>o present to senior management.</w:t>
            </w:r>
          </w:p>
          <w:p w14:paraId="4DD66CCA" w14:textId="77777777" w:rsidR="00A468A3" w:rsidRPr="00450570" w:rsidRDefault="00A468A3" w:rsidP="00E007FD">
            <w:pPr>
              <w:rPr>
                <w:rFonts w:ascii="Arial" w:hAnsi="Arial" w:cs="Arial"/>
                <w:sz w:val="20"/>
                <w:szCs w:val="20"/>
              </w:rPr>
            </w:pPr>
          </w:p>
        </w:tc>
      </w:tr>
      <w:tr w:rsidR="00CD2397" w:rsidRPr="00EF7B2D" w14:paraId="4DD66CD0" w14:textId="77777777" w:rsidTr="00EF7B2D">
        <w:trPr>
          <w:trHeight w:val="387"/>
        </w:trPr>
        <w:tc>
          <w:tcPr>
            <w:tcW w:w="1800" w:type="dxa"/>
          </w:tcPr>
          <w:p w14:paraId="4DD66CCC" w14:textId="77777777" w:rsidR="00CD2397" w:rsidRPr="008F5680" w:rsidRDefault="00E9199C" w:rsidP="00837EA6">
            <w:pPr>
              <w:rPr>
                <w:rFonts w:ascii="Arial" w:hAnsi="Arial" w:cs="Arial"/>
                <w:i/>
                <w:color w:val="00B0F0"/>
                <w:sz w:val="20"/>
                <w:szCs w:val="20"/>
              </w:rPr>
            </w:pPr>
            <w:r w:rsidRPr="008F5680">
              <w:rPr>
                <w:rFonts w:ascii="Arial" w:hAnsi="Arial" w:cs="Arial"/>
                <w:i/>
                <w:color w:val="00B0F0"/>
                <w:sz w:val="20"/>
                <w:szCs w:val="20"/>
              </w:rPr>
              <w:lastRenderedPageBreak/>
              <w:t>Frequency of the reports</w:t>
            </w:r>
          </w:p>
        </w:tc>
        <w:tc>
          <w:tcPr>
            <w:tcW w:w="8820" w:type="dxa"/>
            <w:gridSpan w:val="2"/>
          </w:tcPr>
          <w:p w14:paraId="4DD66CCD" w14:textId="77777777" w:rsidR="008C196B" w:rsidRDefault="008C196B" w:rsidP="00B01049">
            <w:pPr>
              <w:rPr>
                <w:rFonts w:ascii="Arial" w:hAnsi="Arial" w:cs="Arial"/>
                <w:sz w:val="20"/>
                <w:szCs w:val="20"/>
              </w:rPr>
            </w:pPr>
          </w:p>
          <w:p w14:paraId="4DD66CCE" w14:textId="77777777" w:rsidR="00E9199C" w:rsidRDefault="00E9199C" w:rsidP="00E9199C">
            <w:pPr>
              <w:rPr>
                <w:rFonts w:ascii="Arial" w:hAnsi="Arial" w:cs="Arial"/>
                <w:sz w:val="20"/>
                <w:szCs w:val="20"/>
              </w:rPr>
            </w:pPr>
            <w:r>
              <w:rPr>
                <w:rFonts w:ascii="Arial" w:hAnsi="Arial" w:cs="Arial"/>
                <w:iCs/>
                <w:sz w:val="20"/>
                <w:szCs w:val="20"/>
              </w:rPr>
              <w:t xml:space="preserve">The </w:t>
            </w:r>
            <w:r w:rsidR="00043CAB">
              <w:rPr>
                <w:rFonts w:ascii="Arial" w:hAnsi="Arial" w:cs="Arial"/>
                <w:color w:val="000000"/>
                <w:sz w:val="20"/>
                <w:szCs w:val="20"/>
              </w:rPr>
              <w:t>Bridging Analysis</w:t>
            </w:r>
            <w:r w:rsidR="006B37BC">
              <w:rPr>
                <w:rFonts w:ascii="Arial" w:hAnsi="Arial" w:cs="Arial"/>
                <w:iCs/>
                <w:sz w:val="20"/>
                <w:szCs w:val="20"/>
              </w:rPr>
              <w:t xml:space="preserve"> </w:t>
            </w:r>
            <w:r>
              <w:rPr>
                <w:rFonts w:ascii="Arial" w:hAnsi="Arial" w:cs="Arial"/>
                <w:iCs/>
                <w:sz w:val="20"/>
                <w:szCs w:val="20"/>
              </w:rPr>
              <w:t xml:space="preserve">process begins for each </w:t>
            </w:r>
            <w:r w:rsidR="004345AD">
              <w:rPr>
                <w:rFonts w:ascii="Arial" w:hAnsi="Arial" w:cs="Arial"/>
                <w:iCs/>
                <w:sz w:val="20"/>
                <w:szCs w:val="20"/>
              </w:rPr>
              <w:t>budgeted</w:t>
            </w:r>
            <w:r>
              <w:rPr>
                <w:rFonts w:ascii="Arial" w:hAnsi="Arial" w:cs="Arial"/>
                <w:iCs/>
                <w:sz w:val="20"/>
                <w:szCs w:val="20"/>
              </w:rPr>
              <w:t xml:space="preserve"> accident year beginning with the </w:t>
            </w:r>
            <w:r w:rsidR="004345AD">
              <w:rPr>
                <w:rFonts w:ascii="Arial" w:hAnsi="Arial" w:cs="Arial"/>
                <w:iCs/>
                <w:sz w:val="20"/>
                <w:szCs w:val="20"/>
              </w:rPr>
              <w:t xml:space="preserve">yearly </w:t>
            </w:r>
            <w:r>
              <w:rPr>
                <w:rFonts w:ascii="Arial" w:hAnsi="Arial" w:cs="Arial"/>
                <w:iCs/>
                <w:sz w:val="20"/>
                <w:szCs w:val="20"/>
              </w:rPr>
              <w:t xml:space="preserve">budget in the third quarter prior to the accident year beginning. </w:t>
            </w:r>
            <w:r w:rsidR="00A333AD">
              <w:rPr>
                <w:rFonts w:ascii="Arial" w:hAnsi="Arial" w:cs="Arial"/>
                <w:iCs/>
                <w:sz w:val="20"/>
                <w:szCs w:val="20"/>
              </w:rPr>
              <w:t xml:space="preserve">It is then updated each </w:t>
            </w:r>
            <w:r w:rsidR="004345AD">
              <w:rPr>
                <w:rFonts w:ascii="Arial" w:hAnsi="Arial" w:cs="Arial"/>
                <w:iCs/>
                <w:sz w:val="20"/>
                <w:szCs w:val="20"/>
              </w:rPr>
              <w:t xml:space="preserve">subsequent </w:t>
            </w:r>
            <w:r w:rsidR="00A333AD">
              <w:rPr>
                <w:rFonts w:ascii="Arial" w:hAnsi="Arial" w:cs="Arial"/>
                <w:iCs/>
                <w:sz w:val="20"/>
                <w:szCs w:val="20"/>
              </w:rPr>
              <w:t>quarter of the accident year as there are updates to the forecast</w:t>
            </w:r>
            <w:r w:rsidR="004345AD">
              <w:rPr>
                <w:rFonts w:ascii="Arial" w:hAnsi="Arial" w:cs="Arial"/>
                <w:iCs/>
                <w:sz w:val="20"/>
                <w:szCs w:val="20"/>
              </w:rPr>
              <w:t xml:space="preserve"> until the budgeted accident year is</w:t>
            </w:r>
            <w:r w:rsidR="00450570">
              <w:rPr>
                <w:rFonts w:ascii="Arial" w:hAnsi="Arial" w:cs="Arial"/>
                <w:iCs/>
                <w:sz w:val="20"/>
                <w:szCs w:val="20"/>
              </w:rPr>
              <w:t xml:space="preserve"> completed</w:t>
            </w:r>
          </w:p>
          <w:p w14:paraId="4DD66CCF" w14:textId="77777777" w:rsidR="00AB6847" w:rsidRPr="00EF7B2D" w:rsidRDefault="00AB6847" w:rsidP="00B01049">
            <w:pPr>
              <w:rPr>
                <w:rFonts w:ascii="Arial" w:hAnsi="Arial" w:cs="Arial"/>
                <w:sz w:val="20"/>
                <w:szCs w:val="20"/>
              </w:rPr>
            </w:pPr>
          </w:p>
        </w:tc>
      </w:tr>
      <w:tr w:rsidR="00837EA6" w:rsidRPr="00EF7B2D" w14:paraId="4DD66CD3" w14:textId="77777777" w:rsidTr="00EF7B2D">
        <w:tc>
          <w:tcPr>
            <w:tcW w:w="1800" w:type="dxa"/>
          </w:tcPr>
          <w:p w14:paraId="4DD66CD1" w14:textId="77777777" w:rsidR="00837EA6" w:rsidRPr="00EF7B2D" w:rsidRDefault="00837EA6" w:rsidP="00EF7B2D">
            <w:pPr>
              <w:spacing w:before="60" w:after="60"/>
              <w:rPr>
                <w:rFonts w:ascii="Arial" w:eastAsia="Helvetica Neue" w:hAnsi="Arial" w:cs="Arial"/>
                <w:b/>
                <w:bCs/>
                <w:iCs/>
                <w:sz w:val="20"/>
                <w:szCs w:val="20"/>
              </w:rPr>
            </w:pPr>
          </w:p>
        </w:tc>
        <w:tc>
          <w:tcPr>
            <w:tcW w:w="8820" w:type="dxa"/>
            <w:gridSpan w:val="2"/>
          </w:tcPr>
          <w:p w14:paraId="4DD66CD2" w14:textId="77777777" w:rsidR="00837EA6" w:rsidRPr="00EF7B2D" w:rsidRDefault="00837EA6" w:rsidP="00A95B8F">
            <w:pPr>
              <w:jc w:val="both"/>
              <w:rPr>
                <w:rFonts w:ascii="Arial" w:hAnsi="Arial" w:cs="Arial"/>
                <w:sz w:val="20"/>
                <w:szCs w:val="20"/>
              </w:rPr>
            </w:pPr>
          </w:p>
        </w:tc>
      </w:tr>
      <w:tr w:rsidR="00F2467F" w:rsidRPr="00EF7B2D" w14:paraId="4DD66CD7" w14:textId="77777777" w:rsidTr="00EF7B2D">
        <w:tc>
          <w:tcPr>
            <w:tcW w:w="1800" w:type="dxa"/>
          </w:tcPr>
          <w:p w14:paraId="4DD66CD4" w14:textId="77777777" w:rsidR="00F2467F" w:rsidRDefault="00F2467F" w:rsidP="00EF7B2D">
            <w:pPr>
              <w:spacing w:before="120"/>
              <w:rPr>
                <w:rFonts w:ascii="Arial" w:hAnsi="Arial" w:cs="Arial"/>
                <w:b/>
                <w:bCs/>
                <w:sz w:val="20"/>
                <w:szCs w:val="20"/>
              </w:rPr>
            </w:pPr>
            <w:r w:rsidRPr="008233E2">
              <w:rPr>
                <w:rFonts w:ascii="Arial" w:eastAsia="Helvetica Neue" w:hAnsi="Arial" w:cs="Arial"/>
                <w:b/>
                <w:bCs/>
                <w:iCs/>
                <w:sz w:val="20"/>
                <w:szCs w:val="20"/>
              </w:rPr>
              <w:t>Implementation</w:t>
            </w:r>
          </w:p>
        </w:tc>
        <w:tc>
          <w:tcPr>
            <w:tcW w:w="8820" w:type="dxa"/>
            <w:gridSpan w:val="2"/>
          </w:tcPr>
          <w:p w14:paraId="4DD66CD5" w14:textId="77777777" w:rsidR="00F2467F" w:rsidRDefault="00F2467F" w:rsidP="00BB0412">
            <w:pPr>
              <w:ind w:left="360"/>
              <w:jc w:val="both"/>
              <w:rPr>
                <w:rFonts w:ascii="Arial" w:hAnsi="Arial" w:cs="Arial"/>
                <w:sz w:val="20"/>
                <w:szCs w:val="20"/>
              </w:rPr>
            </w:pPr>
            <w:r w:rsidRPr="001119B4">
              <w:rPr>
                <w:rFonts w:ascii="Arial" w:hAnsi="Arial" w:cs="Arial"/>
                <w:sz w:val="20"/>
                <w:szCs w:val="20"/>
              </w:rPr>
              <w:t>Product Towers and Regions are required to develop a plan for implementing this Global Underwriting Standard.  This plan must be agreed with the Global Commercial CUO and set out the projected implementation timeframes and any exemptions that will be made.</w:t>
            </w:r>
          </w:p>
          <w:p w14:paraId="4DD66CD6" w14:textId="77777777" w:rsidR="00F2467F" w:rsidRPr="00EF7B2D" w:rsidRDefault="00F2467F" w:rsidP="00EF7B2D">
            <w:pPr>
              <w:spacing w:before="120"/>
              <w:jc w:val="both"/>
              <w:rPr>
                <w:rFonts w:ascii="Arial" w:hAnsi="Arial" w:cs="Arial"/>
                <w:sz w:val="16"/>
                <w:szCs w:val="16"/>
              </w:rPr>
            </w:pPr>
          </w:p>
        </w:tc>
      </w:tr>
      <w:tr w:rsidR="00F2467F" w:rsidRPr="00EF7B2D" w14:paraId="4DD66CDA" w14:textId="77777777" w:rsidTr="00EF7B2D">
        <w:tc>
          <w:tcPr>
            <w:tcW w:w="1800" w:type="dxa"/>
          </w:tcPr>
          <w:p w14:paraId="4DD66CD8" w14:textId="77777777" w:rsidR="00F2467F" w:rsidRPr="00EF7B2D" w:rsidRDefault="00F2467F" w:rsidP="00EF7B2D">
            <w:pPr>
              <w:spacing w:before="120"/>
              <w:rPr>
                <w:rFonts w:ascii="Arial" w:hAnsi="Arial" w:cs="Arial"/>
                <w:b/>
                <w:bCs/>
                <w:sz w:val="20"/>
                <w:szCs w:val="20"/>
              </w:rPr>
            </w:pPr>
            <w:r>
              <w:rPr>
                <w:rFonts w:ascii="Arial" w:hAnsi="Arial" w:cs="Arial"/>
                <w:b/>
                <w:bCs/>
                <w:sz w:val="20"/>
                <w:szCs w:val="20"/>
              </w:rPr>
              <w:t>Roles  and Responsibilities</w:t>
            </w:r>
          </w:p>
        </w:tc>
        <w:tc>
          <w:tcPr>
            <w:tcW w:w="8820" w:type="dxa"/>
            <w:gridSpan w:val="2"/>
          </w:tcPr>
          <w:p w14:paraId="4DD66CD9" w14:textId="77777777" w:rsidR="00F2467F" w:rsidRPr="00EF7B2D" w:rsidRDefault="00F2467F" w:rsidP="00EF7B2D">
            <w:pPr>
              <w:spacing w:before="120"/>
              <w:jc w:val="both"/>
              <w:rPr>
                <w:rFonts w:ascii="Arial" w:hAnsi="Arial" w:cs="Arial"/>
                <w:sz w:val="16"/>
                <w:szCs w:val="16"/>
              </w:rPr>
            </w:pPr>
          </w:p>
        </w:tc>
      </w:tr>
      <w:tr w:rsidR="00F2467F" w:rsidRPr="00EF7B2D" w14:paraId="4DD66CDD" w14:textId="77777777" w:rsidTr="00EF7B2D">
        <w:tc>
          <w:tcPr>
            <w:tcW w:w="1800" w:type="dxa"/>
          </w:tcPr>
          <w:p w14:paraId="4DD66CDB" w14:textId="77777777" w:rsidR="00F2467F" w:rsidRDefault="00F2467F" w:rsidP="00EF7B2D">
            <w:pPr>
              <w:spacing w:before="120"/>
              <w:rPr>
                <w:rFonts w:ascii="Arial" w:hAnsi="Arial" w:cs="Arial"/>
                <w:b/>
                <w:bCs/>
                <w:sz w:val="20"/>
                <w:szCs w:val="20"/>
              </w:rPr>
            </w:pPr>
          </w:p>
        </w:tc>
        <w:tc>
          <w:tcPr>
            <w:tcW w:w="8820" w:type="dxa"/>
            <w:gridSpan w:val="2"/>
          </w:tcPr>
          <w:p w14:paraId="4DD66CDC" w14:textId="77777777" w:rsidR="00F2467F" w:rsidRPr="00EF7B2D" w:rsidRDefault="00F2467F" w:rsidP="00EF7B2D">
            <w:pPr>
              <w:spacing w:before="120"/>
              <w:jc w:val="both"/>
              <w:rPr>
                <w:rFonts w:ascii="Arial" w:hAnsi="Arial" w:cs="Arial"/>
                <w:sz w:val="16"/>
                <w:szCs w:val="16"/>
              </w:rPr>
            </w:pPr>
          </w:p>
        </w:tc>
      </w:tr>
      <w:tr w:rsidR="00F2467F" w:rsidRPr="00EF7B2D" w14:paraId="4DD66CE2" w14:textId="77777777" w:rsidTr="00EF7B2D">
        <w:tc>
          <w:tcPr>
            <w:tcW w:w="1800" w:type="dxa"/>
          </w:tcPr>
          <w:p w14:paraId="4DD66CDE" w14:textId="77777777" w:rsidR="00F2467F" w:rsidRPr="00EF7B2D" w:rsidRDefault="00F2467F" w:rsidP="00EF7B2D">
            <w:pPr>
              <w:spacing w:before="120"/>
              <w:rPr>
                <w:rFonts w:ascii="Arial" w:hAnsi="Arial" w:cs="Arial"/>
                <w:b/>
                <w:bCs/>
                <w:sz w:val="20"/>
                <w:szCs w:val="20"/>
              </w:rPr>
            </w:pPr>
            <w:r>
              <w:rPr>
                <w:rFonts w:ascii="Arial" w:hAnsi="Arial" w:cs="Arial"/>
                <w:bCs/>
                <w:i/>
                <w:iCs/>
                <w:sz w:val="20"/>
                <w:szCs w:val="20"/>
              </w:rPr>
              <w:t>Global Commercial Underwriting Committee</w:t>
            </w:r>
          </w:p>
        </w:tc>
        <w:tc>
          <w:tcPr>
            <w:tcW w:w="8820" w:type="dxa"/>
            <w:gridSpan w:val="2"/>
          </w:tcPr>
          <w:p w14:paraId="4DD66CDF" w14:textId="77777777" w:rsidR="00F2467F" w:rsidRDefault="00F2467F">
            <w:pPr>
              <w:jc w:val="both"/>
              <w:rPr>
                <w:rFonts w:ascii="Arial" w:hAnsi="Arial" w:cs="Arial"/>
                <w:sz w:val="20"/>
                <w:szCs w:val="20"/>
              </w:rPr>
            </w:pPr>
          </w:p>
          <w:p w14:paraId="4DD66CE0" w14:textId="77777777" w:rsidR="00F2467F" w:rsidRDefault="00F2467F">
            <w:pPr>
              <w:jc w:val="both"/>
              <w:rPr>
                <w:rFonts w:ascii="Arial" w:hAnsi="Arial" w:cs="Arial"/>
                <w:sz w:val="20"/>
                <w:szCs w:val="20"/>
              </w:rPr>
            </w:pPr>
            <w:r>
              <w:rPr>
                <w:rFonts w:ascii="Arial" w:hAnsi="Arial" w:cs="Arial"/>
                <w:sz w:val="20"/>
                <w:szCs w:val="20"/>
              </w:rPr>
              <w:t>The Global Commercial Underwriting Committee is responsible for establishing and maintaining global underwriting policies and standards, and is accountable for ensuring that they are consistently and uniformly implemented locally.</w:t>
            </w:r>
          </w:p>
          <w:p w14:paraId="4DD66CE1" w14:textId="77777777" w:rsidR="00F2467F" w:rsidRPr="00EF7B2D" w:rsidRDefault="00F2467F" w:rsidP="00EF7B2D">
            <w:pPr>
              <w:spacing w:before="120"/>
              <w:jc w:val="both"/>
              <w:rPr>
                <w:rFonts w:ascii="Arial" w:hAnsi="Arial" w:cs="Arial"/>
                <w:i/>
                <w:iCs/>
                <w:color w:val="FF0000"/>
                <w:sz w:val="16"/>
                <w:szCs w:val="16"/>
              </w:rPr>
            </w:pPr>
          </w:p>
        </w:tc>
      </w:tr>
      <w:tr w:rsidR="00F2467F" w:rsidRPr="00EF7B2D" w14:paraId="4DD66CE7" w14:textId="77777777" w:rsidTr="00EF7B2D">
        <w:tc>
          <w:tcPr>
            <w:tcW w:w="1800" w:type="dxa"/>
          </w:tcPr>
          <w:p w14:paraId="4DD66CE3" w14:textId="77777777" w:rsidR="00F2467F" w:rsidRPr="00EF7B2D" w:rsidRDefault="00F2467F" w:rsidP="00EF7B2D">
            <w:pPr>
              <w:spacing w:before="120"/>
              <w:rPr>
                <w:rFonts w:ascii="Arial" w:hAnsi="Arial" w:cs="Arial"/>
                <w:bCs/>
                <w:i/>
                <w:iCs/>
                <w:sz w:val="20"/>
                <w:szCs w:val="20"/>
              </w:rPr>
            </w:pPr>
            <w:r>
              <w:rPr>
                <w:rFonts w:ascii="Arial" w:hAnsi="Arial" w:cs="Arial"/>
                <w:bCs/>
                <w:i/>
                <w:iCs/>
                <w:sz w:val="20"/>
                <w:szCs w:val="20"/>
              </w:rPr>
              <w:t>Global Commercial Pricing Committee</w:t>
            </w:r>
          </w:p>
        </w:tc>
        <w:tc>
          <w:tcPr>
            <w:tcW w:w="8820" w:type="dxa"/>
            <w:gridSpan w:val="2"/>
          </w:tcPr>
          <w:p w14:paraId="4DD66CE4" w14:textId="77777777" w:rsidR="00F2467F" w:rsidRDefault="00F2467F">
            <w:pPr>
              <w:jc w:val="both"/>
              <w:rPr>
                <w:rFonts w:ascii="Arial" w:hAnsi="Arial" w:cs="Arial"/>
                <w:sz w:val="20"/>
                <w:szCs w:val="20"/>
              </w:rPr>
            </w:pPr>
          </w:p>
          <w:p w14:paraId="4DD66CE5" w14:textId="77777777" w:rsidR="00F2467F" w:rsidRDefault="00F2467F">
            <w:pPr>
              <w:jc w:val="both"/>
              <w:rPr>
                <w:rFonts w:ascii="Arial" w:hAnsi="Arial" w:cs="Arial"/>
                <w:sz w:val="20"/>
                <w:szCs w:val="20"/>
              </w:rPr>
            </w:pPr>
            <w:r>
              <w:rPr>
                <w:rFonts w:ascii="Arial" w:hAnsi="Arial" w:cs="Arial"/>
                <w:sz w:val="20"/>
                <w:szCs w:val="20"/>
              </w:rPr>
              <w:t>The Global Commercial Pricing Committee is responsible for establishing and maintaining global pricing policies and standards, and is accountable for ensuring that they are consistently and uniformly implemented locally.</w:t>
            </w:r>
          </w:p>
          <w:p w14:paraId="4DD66CE6" w14:textId="77777777" w:rsidR="00F2467F" w:rsidRPr="00EF7B2D" w:rsidRDefault="00F2467F" w:rsidP="00EF7B2D">
            <w:pPr>
              <w:jc w:val="both"/>
              <w:rPr>
                <w:rFonts w:ascii="Arial" w:hAnsi="Arial" w:cs="Arial"/>
                <w:sz w:val="20"/>
                <w:szCs w:val="20"/>
              </w:rPr>
            </w:pPr>
          </w:p>
        </w:tc>
      </w:tr>
      <w:tr w:rsidR="00F2467F" w:rsidRPr="00EF7B2D" w14:paraId="4DD66CEB" w14:textId="77777777" w:rsidTr="00EF7B2D">
        <w:tc>
          <w:tcPr>
            <w:tcW w:w="1800" w:type="dxa"/>
          </w:tcPr>
          <w:p w14:paraId="4DD66CE8" w14:textId="77777777" w:rsidR="00F2467F" w:rsidRPr="00EF7B2D" w:rsidRDefault="00F2467F" w:rsidP="00EF7B2D">
            <w:pPr>
              <w:spacing w:before="120"/>
              <w:rPr>
                <w:rFonts w:ascii="Arial" w:eastAsia="Helvetica Neue" w:hAnsi="Arial" w:cs="Arial"/>
                <w:bCs/>
                <w:i/>
                <w:iCs/>
                <w:sz w:val="20"/>
                <w:szCs w:val="20"/>
              </w:rPr>
            </w:pPr>
            <w:r>
              <w:rPr>
                <w:rFonts w:ascii="Arial" w:eastAsia="Helvetica Neue" w:hAnsi="Arial" w:cs="Arial"/>
                <w:bCs/>
                <w:i/>
                <w:iCs/>
                <w:sz w:val="20"/>
                <w:szCs w:val="20"/>
              </w:rPr>
              <w:t>Heads of Product Towers Pricing</w:t>
            </w:r>
          </w:p>
        </w:tc>
        <w:tc>
          <w:tcPr>
            <w:tcW w:w="8820" w:type="dxa"/>
            <w:gridSpan w:val="2"/>
          </w:tcPr>
          <w:p w14:paraId="4DD66CE9" w14:textId="77777777" w:rsidR="00F2467F" w:rsidRDefault="00F2467F">
            <w:pPr>
              <w:jc w:val="both"/>
              <w:rPr>
                <w:rFonts w:ascii="Arial" w:eastAsia="Helvetica Neue" w:hAnsi="Arial" w:cs="Arial"/>
                <w:sz w:val="20"/>
                <w:szCs w:val="20"/>
              </w:rPr>
            </w:pPr>
          </w:p>
          <w:p w14:paraId="4DD66CEA" w14:textId="77777777" w:rsidR="00F2467F" w:rsidRPr="00EF7B2D" w:rsidRDefault="00F2467F" w:rsidP="00EF7B2D">
            <w:pPr>
              <w:jc w:val="both"/>
              <w:rPr>
                <w:rFonts w:ascii="Arial" w:eastAsia="Helvetica Neue" w:hAnsi="Arial" w:cs="Arial"/>
                <w:sz w:val="20"/>
                <w:szCs w:val="20"/>
              </w:rPr>
            </w:pPr>
            <w:r>
              <w:rPr>
                <w:rFonts w:ascii="Arial" w:eastAsia="Helvetica Neue" w:hAnsi="Arial" w:cs="Arial"/>
                <w:sz w:val="20"/>
                <w:szCs w:val="20"/>
              </w:rPr>
              <w:t xml:space="preserve">Heads of Product Towers Pricing are responsible for establishing and maintaining product pricing standards, guidelines, and procedures, and are accountable for ensuring that these are consistently and uniformly implemented in their product areas. </w:t>
            </w:r>
          </w:p>
        </w:tc>
      </w:tr>
      <w:tr w:rsidR="00F2467F" w:rsidRPr="00EF7B2D" w14:paraId="4DD66CF1" w14:textId="77777777" w:rsidTr="00EF7B2D">
        <w:tc>
          <w:tcPr>
            <w:tcW w:w="1800" w:type="dxa"/>
          </w:tcPr>
          <w:p w14:paraId="4DD66CEC" w14:textId="77777777" w:rsidR="00F2467F" w:rsidRDefault="00F2467F">
            <w:pPr>
              <w:tabs>
                <w:tab w:val="num" w:pos="1440"/>
              </w:tabs>
              <w:spacing w:line="360" w:lineRule="auto"/>
              <w:jc w:val="both"/>
              <w:rPr>
                <w:rFonts w:ascii="Arial" w:hAnsi="Arial" w:cs="Arial"/>
                <w:i/>
                <w:sz w:val="18"/>
                <w:szCs w:val="18"/>
              </w:rPr>
            </w:pPr>
          </w:p>
          <w:p w14:paraId="4DD66CED" w14:textId="77777777" w:rsidR="00F2467F" w:rsidRDefault="00F2467F">
            <w:pPr>
              <w:tabs>
                <w:tab w:val="num" w:pos="1440"/>
              </w:tabs>
              <w:spacing w:line="360" w:lineRule="auto"/>
              <w:jc w:val="both"/>
              <w:rPr>
                <w:rFonts w:ascii="Arial" w:hAnsi="Arial" w:cs="Arial"/>
                <w:i/>
                <w:sz w:val="20"/>
                <w:szCs w:val="20"/>
              </w:rPr>
            </w:pPr>
            <w:r>
              <w:rPr>
                <w:rFonts w:ascii="Arial" w:hAnsi="Arial" w:cs="Arial"/>
                <w:i/>
                <w:sz w:val="20"/>
                <w:szCs w:val="20"/>
              </w:rPr>
              <w:t xml:space="preserve">All employees </w:t>
            </w:r>
          </w:p>
          <w:p w14:paraId="4DD66CEE" w14:textId="77777777" w:rsidR="00F2467F" w:rsidRPr="00EF7B2D" w:rsidRDefault="00F2467F" w:rsidP="00EF7B2D">
            <w:pPr>
              <w:spacing w:before="120"/>
              <w:rPr>
                <w:rFonts w:ascii="Arial" w:eastAsia="Helvetica Neue" w:hAnsi="Arial" w:cs="Arial"/>
                <w:bCs/>
                <w:i/>
                <w:iCs/>
                <w:sz w:val="20"/>
                <w:szCs w:val="20"/>
              </w:rPr>
            </w:pPr>
          </w:p>
        </w:tc>
        <w:tc>
          <w:tcPr>
            <w:tcW w:w="8820" w:type="dxa"/>
            <w:gridSpan w:val="2"/>
          </w:tcPr>
          <w:p w14:paraId="4DD66CEF" w14:textId="77777777" w:rsidR="00F2467F" w:rsidRDefault="00F2467F">
            <w:pPr>
              <w:jc w:val="both"/>
              <w:rPr>
                <w:rFonts w:ascii="Arial" w:eastAsia="Helvetica Neue" w:hAnsi="Arial" w:cs="Arial"/>
                <w:sz w:val="20"/>
                <w:szCs w:val="20"/>
              </w:rPr>
            </w:pPr>
          </w:p>
          <w:p w14:paraId="4DD66CF0" w14:textId="77777777" w:rsidR="00F2467F" w:rsidRPr="00EF7B2D" w:rsidRDefault="00F2467F" w:rsidP="00EF7B2D">
            <w:pPr>
              <w:jc w:val="both"/>
              <w:rPr>
                <w:rFonts w:ascii="Arial" w:eastAsia="Helvetica Neue" w:hAnsi="Arial" w:cs="Arial"/>
                <w:sz w:val="20"/>
                <w:szCs w:val="20"/>
              </w:rPr>
            </w:pPr>
            <w:r>
              <w:rPr>
                <w:rFonts w:ascii="Arial" w:hAnsi="Arial" w:cs="Arial"/>
                <w:sz w:val="20"/>
                <w:szCs w:val="20"/>
              </w:rPr>
              <w:t>All employees performing functions subject to this Standard must adhere to its principles, as well as all other applicable standards, guidelines and procedures.</w:t>
            </w:r>
          </w:p>
        </w:tc>
      </w:tr>
      <w:tr w:rsidR="00F2467F" w:rsidRPr="00EF7B2D" w14:paraId="4DD66CF4" w14:textId="77777777" w:rsidTr="00EF7B2D">
        <w:tc>
          <w:tcPr>
            <w:tcW w:w="1800" w:type="dxa"/>
          </w:tcPr>
          <w:p w14:paraId="4DD66CF2" w14:textId="77777777" w:rsidR="00F2467F" w:rsidRPr="00EF7B2D" w:rsidRDefault="00F2467F" w:rsidP="00EF7B2D">
            <w:pPr>
              <w:tabs>
                <w:tab w:val="num" w:pos="1440"/>
              </w:tabs>
              <w:spacing w:line="360" w:lineRule="auto"/>
              <w:jc w:val="both"/>
              <w:rPr>
                <w:rFonts w:ascii="Arial" w:hAnsi="Arial" w:cs="Arial"/>
                <w:i/>
                <w:sz w:val="18"/>
                <w:szCs w:val="18"/>
              </w:rPr>
            </w:pPr>
          </w:p>
        </w:tc>
        <w:tc>
          <w:tcPr>
            <w:tcW w:w="8820" w:type="dxa"/>
            <w:gridSpan w:val="2"/>
          </w:tcPr>
          <w:p w14:paraId="4DD66CF3" w14:textId="77777777" w:rsidR="00F2467F" w:rsidRPr="00EF7B2D" w:rsidRDefault="00F2467F" w:rsidP="00EF7B2D">
            <w:pPr>
              <w:jc w:val="both"/>
              <w:rPr>
                <w:rFonts w:ascii="Arial" w:eastAsia="Helvetica Neue" w:hAnsi="Arial" w:cs="Arial"/>
                <w:sz w:val="20"/>
                <w:szCs w:val="20"/>
              </w:rPr>
            </w:pPr>
          </w:p>
        </w:tc>
      </w:tr>
      <w:tr w:rsidR="00F2467F" w:rsidRPr="00EF7B2D" w14:paraId="4DD66CF9" w14:textId="77777777" w:rsidTr="00EF7B2D">
        <w:trPr>
          <w:trHeight w:val="1260"/>
        </w:trPr>
        <w:tc>
          <w:tcPr>
            <w:tcW w:w="1800" w:type="dxa"/>
          </w:tcPr>
          <w:p w14:paraId="4DD66CF5" w14:textId="77777777" w:rsidR="00F2467F" w:rsidRPr="00EF7B2D" w:rsidRDefault="00F2467F" w:rsidP="00EF7B2D">
            <w:pPr>
              <w:spacing w:before="60" w:after="60"/>
              <w:rPr>
                <w:rFonts w:ascii="Arial" w:hAnsi="Arial" w:cs="Arial"/>
                <w:b/>
                <w:sz w:val="20"/>
                <w:szCs w:val="20"/>
              </w:rPr>
            </w:pPr>
            <w:r w:rsidRPr="00EF7B2D">
              <w:rPr>
                <w:rFonts w:ascii="Arial" w:hAnsi="Arial" w:cs="Arial"/>
                <w:b/>
                <w:sz w:val="20"/>
                <w:szCs w:val="20"/>
              </w:rPr>
              <w:t>Country Specific Requirements</w:t>
            </w:r>
          </w:p>
        </w:tc>
        <w:tc>
          <w:tcPr>
            <w:tcW w:w="8820" w:type="dxa"/>
            <w:gridSpan w:val="2"/>
          </w:tcPr>
          <w:p w14:paraId="4DD66CF6" w14:textId="77777777" w:rsidR="00F2467F" w:rsidRPr="00EF7B2D" w:rsidRDefault="00F2467F" w:rsidP="00EF7B2D">
            <w:pPr>
              <w:autoSpaceDE w:val="0"/>
              <w:autoSpaceDN w:val="0"/>
              <w:adjustRightInd w:val="0"/>
              <w:rPr>
                <w:rFonts w:ascii="Arial" w:eastAsia="Helvetica Neue" w:hAnsi="Arial" w:cs="Arial"/>
                <w:color w:val="FF0000"/>
                <w:sz w:val="16"/>
                <w:szCs w:val="16"/>
              </w:rPr>
            </w:pPr>
          </w:p>
          <w:p w14:paraId="4DD66CF7" w14:textId="77777777" w:rsidR="00F2467F" w:rsidRPr="00EF7B2D" w:rsidRDefault="00F2467F" w:rsidP="00EF7B2D">
            <w:pPr>
              <w:jc w:val="both"/>
              <w:rPr>
                <w:rFonts w:ascii="Arial" w:hAnsi="Arial" w:cs="Arial"/>
                <w:sz w:val="20"/>
                <w:szCs w:val="20"/>
              </w:rPr>
            </w:pPr>
            <w:r w:rsidRPr="00EF7B2D">
              <w:rPr>
                <w:rFonts w:ascii="Arial" w:eastAsia="Helvetica Neue" w:hAnsi="Arial" w:cs="Arial"/>
                <w:color w:val="000000"/>
                <w:sz w:val="20"/>
                <w:szCs w:val="20"/>
              </w:rPr>
              <w:t xml:space="preserve">Guidelines will be written and agreed where there is the need for distinct local clarification or to comply with local rules and regulations. </w:t>
            </w:r>
            <w:r w:rsidRPr="00EF7B2D">
              <w:rPr>
                <w:rFonts w:ascii="Arial" w:hAnsi="Arial" w:cs="Arial"/>
                <w:sz w:val="20"/>
                <w:szCs w:val="20"/>
              </w:rPr>
              <w:t>Any conflict between Global and locally required standards must be identified, documented, escalated and addressed in accordance with applicable AIG corporate policies.</w:t>
            </w:r>
          </w:p>
          <w:p w14:paraId="4DD66CF8" w14:textId="77777777" w:rsidR="00F2467F" w:rsidRPr="00EF7B2D" w:rsidRDefault="00F2467F" w:rsidP="00EF7B2D">
            <w:pPr>
              <w:autoSpaceDE w:val="0"/>
              <w:autoSpaceDN w:val="0"/>
              <w:adjustRightInd w:val="0"/>
              <w:rPr>
                <w:rFonts w:ascii="Arial" w:eastAsia="Helvetica Neue" w:hAnsi="Arial" w:cs="Arial"/>
                <w:color w:val="FF0000"/>
                <w:sz w:val="16"/>
                <w:szCs w:val="16"/>
              </w:rPr>
            </w:pPr>
          </w:p>
        </w:tc>
      </w:tr>
      <w:tr w:rsidR="00F2467F" w:rsidRPr="00EF7B2D" w14:paraId="4DD66CFC" w14:textId="77777777" w:rsidTr="00EF7B2D">
        <w:trPr>
          <w:trHeight w:val="648"/>
        </w:trPr>
        <w:tc>
          <w:tcPr>
            <w:tcW w:w="1800" w:type="dxa"/>
            <w:vAlign w:val="center"/>
          </w:tcPr>
          <w:p w14:paraId="4DD66CFA" w14:textId="77777777" w:rsidR="00F2467F" w:rsidRPr="00EF7B2D" w:rsidRDefault="00F2467F" w:rsidP="00EF7B2D">
            <w:pPr>
              <w:spacing w:before="60" w:after="60"/>
              <w:rPr>
                <w:rFonts w:ascii="Arial" w:hAnsi="Arial" w:cs="Arial"/>
                <w:b/>
                <w:sz w:val="20"/>
                <w:szCs w:val="20"/>
              </w:rPr>
            </w:pPr>
            <w:r w:rsidRPr="00EF7B2D">
              <w:rPr>
                <w:rFonts w:ascii="Arial" w:hAnsi="Arial" w:cs="Arial"/>
                <w:b/>
                <w:sz w:val="20"/>
                <w:szCs w:val="20"/>
              </w:rPr>
              <w:t>Reference to Corporate Policies</w:t>
            </w:r>
          </w:p>
        </w:tc>
        <w:tc>
          <w:tcPr>
            <w:tcW w:w="8820" w:type="dxa"/>
            <w:gridSpan w:val="2"/>
            <w:vAlign w:val="center"/>
          </w:tcPr>
          <w:p w14:paraId="4DD66CFB" w14:textId="77777777" w:rsidR="00F2467F" w:rsidRPr="00EF7B2D" w:rsidRDefault="00F2467F" w:rsidP="00EF7B2D">
            <w:pPr>
              <w:spacing w:before="100" w:beforeAutospacing="1" w:after="100" w:afterAutospacing="1"/>
              <w:rPr>
                <w:rFonts w:ascii="Arial" w:eastAsia="Helvetica Neue" w:hAnsi="Arial" w:cs="Arial"/>
                <w:color w:val="000000"/>
                <w:sz w:val="20"/>
                <w:szCs w:val="20"/>
              </w:rPr>
            </w:pPr>
            <w:r w:rsidRPr="00EF7B2D">
              <w:rPr>
                <w:rFonts w:ascii="Arial" w:eastAsia="Helvetica Neue" w:hAnsi="Arial" w:cs="Arial"/>
                <w:color w:val="000000"/>
                <w:sz w:val="20"/>
                <w:szCs w:val="20"/>
              </w:rPr>
              <w:t>This Chartis Global Commercial Underwriting policy document is subject to adherence to all relevant AIG Corporate Policies</w:t>
            </w:r>
          </w:p>
        </w:tc>
      </w:tr>
      <w:tr w:rsidR="00F2467F" w:rsidRPr="00EF7B2D" w14:paraId="4DD66CFF" w14:textId="77777777" w:rsidTr="00EF7B2D">
        <w:trPr>
          <w:trHeight w:val="603"/>
        </w:trPr>
        <w:tc>
          <w:tcPr>
            <w:tcW w:w="1800" w:type="dxa"/>
          </w:tcPr>
          <w:p w14:paraId="4DD66CFD" w14:textId="77777777" w:rsidR="00F2467F" w:rsidRPr="00EF7B2D" w:rsidRDefault="00F2467F" w:rsidP="00EF7B2D">
            <w:pPr>
              <w:spacing w:before="60" w:after="60"/>
              <w:rPr>
                <w:rFonts w:ascii="Arial" w:hAnsi="Arial" w:cs="Arial"/>
                <w:b/>
                <w:sz w:val="20"/>
                <w:szCs w:val="20"/>
              </w:rPr>
            </w:pPr>
            <w:r w:rsidRPr="00EF7B2D">
              <w:rPr>
                <w:rFonts w:ascii="Arial" w:hAnsi="Arial" w:cs="Arial"/>
                <w:b/>
                <w:sz w:val="20"/>
                <w:szCs w:val="20"/>
              </w:rPr>
              <w:t>Updates</w:t>
            </w:r>
          </w:p>
        </w:tc>
        <w:tc>
          <w:tcPr>
            <w:tcW w:w="8820" w:type="dxa"/>
            <w:gridSpan w:val="2"/>
          </w:tcPr>
          <w:p w14:paraId="0CB0CC94" w14:textId="77777777" w:rsidR="00F2467F" w:rsidRDefault="00F2467F" w:rsidP="00970B77">
            <w:pPr>
              <w:rPr>
                <w:rFonts w:ascii="Arial" w:hAnsi="Arial" w:cs="Arial"/>
                <w:i/>
                <w:iCs/>
                <w:color w:val="FF0000"/>
                <w:sz w:val="16"/>
                <w:szCs w:val="16"/>
              </w:rPr>
            </w:pPr>
            <w:r w:rsidRPr="00EF7B2D">
              <w:rPr>
                <w:rFonts w:ascii="Arial" w:hAnsi="Arial" w:cs="Arial"/>
                <w:i/>
                <w:iCs/>
                <w:color w:val="FF0000"/>
                <w:sz w:val="16"/>
                <w:szCs w:val="16"/>
              </w:rPr>
              <w:t>History of updates to the Underwriting Document</w:t>
            </w:r>
          </w:p>
          <w:p w14:paraId="4DD66CFE" w14:textId="1E27C37A" w:rsidR="00EC0DFE" w:rsidRPr="00EF7B2D" w:rsidRDefault="00EC0DFE" w:rsidP="00970B77">
            <w:pPr>
              <w:rPr>
                <w:rFonts w:ascii="Arial" w:hAnsi="Arial" w:cs="Arial"/>
                <w:i/>
                <w:iCs/>
                <w:color w:val="FF0000"/>
                <w:sz w:val="16"/>
                <w:szCs w:val="16"/>
              </w:rPr>
            </w:pPr>
            <w:r>
              <w:rPr>
                <w:rFonts w:ascii="Arial" w:hAnsi="Arial" w:cs="Arial"/>
                <w:i/>
                <w:iCs/>
                <w:color w:val="FF0000"/>
                <w:sz w:val="16"/>
                <w:szCs w:val="16"/>
              </w:rPr>
              <w:t>September 29, 2015: Template Update</w:t>
            </w:r>
          </w:p>
        </w:tc>
      </w:tr>
    </w:tbl>
    <w:p w14:paraId="4DD66D00" w14:textId="77777777" w:rsidR="00871599" w:rsidRPr="00953A18" w:rsidRDefault="00871599" w:rsidP="00281BDC"/>
    <w:sectPr w:rsidR="00871599" w:rsidRPr="00953A18" w:rsidSect="00EC0DFE">
      <w:headerReference w:type="default" r:id="rId12"/>
      <w:footerReference w:type="default" r:id="rId13"/>
      <w:pgSz w:w="12240" w:h="15840"/>
      <w:pgMar w:top="2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66D09" w14:textId="77777777" w:rsidR="0027214F" w:rsidRDefault="0027214F">
      <w:r>
        <w:separator/>
      </w:r>
    </w:p>
  </w:endnote>
  <w:endnote w:type="continuationSeparator" w:id="0">
    <w:p w14:paraId="4DD66D0A" w14:textId="77777777" w:rsidR="0027214F" w:rsidRDefault="00272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IG Futur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66D0C" w14:textId="77777777" w:rsidR="009A52BA" w:rsidRPr="008F1AD2" w:rsidRDefault="00F65110" w:rsidP="00052C27">
    <w:pPr>
      <w:pStyle w:val="BodyTextIndent3"/>
      <w:pBdr>
        <w:left w:val="single" w:sz="8" w:space="18" w:color="auto"/>
      </w:pBdr>
      <w:ind w:left="0" w:right="-1260"/>
      <w:rPr>
        <w:rStyle w:val="PageNumber"/>
        <w:rFonts w:ascii="Arial" w:eastAsia="MS Mincho" w:hAnsi="Arial" w:cs="Arial"/>
        <w:lang w:eastAsia="ja-JP"/>
      </w:rPr>
    </w:pPr>
    <w:r w:rsidRPr="00F65110">
      <w:rPr>
        <w:rStyle w:val="PageNumber"/>
        <w:rFonts w:ascii="Arial" w:eastAsia="MS Mincho" w:hAnsi="Arial" w:cs="Arial"/>
        <w:lang w:eastAsia="ja-JP"/>
      </w:rPr>
      <w:t xml:space="preserve">Page </w:t>
    </w:r>
    <w:r w:rsidR="00AA215C" w:rsidRPr="00F65110">
      <w:rPr>
        <w:rStyle w:val="PageNumber"/>
        <w:rFonts w:ascii="Arial" w:eastAsia="MS Mincho" w:hAnsi="Arial" w:cs="Arial"/>
        <w:lang w:eastAsia="ja-JP"/>
      </w:rPr>
      <w:fldChar w:fldCharType="begin"/>
    </w:r>
    <w:r w:rsidRPr="00F65110">
      <w:rPr>
        <w:rStyle w:val="PageNumber"/>
        <w:rFonts w:ascii="Arial" w:eastAsia="MS Mincho" w:hAnsi="Arial" w:cs="Arial"/>
        <w:lang w:eastAsia="ja-JP"/>
      </w:rPr>
      <w:instrText xml:space="preserve"> PAGE </w:instrText>
    </w:r>
    <w:r w:rsidR="00AA215C" w:rsidRPr="00F65110">
      <w:rPr>
        <w:rStyle w:val="PageNumber"/>
        <w:rFonts w:ascii="Arial" w:eastAsia="MS Mincho" w:hAnsi="Arial" w:cs="Arial"/>
        <w:lang w:eastAsia="ja-JP"/>
      </w:rPr>
      <w:fldChar w:fldCharType="separate"/>
    </w:r>
    <w:r w:rsidR="009902BB">
      <w:rPr>
        <w:rStyle w:val="PageNumber"/>
        <w:rFonts w:ascii="Arial" w:eastAsia="MS Mincho" w:hAnsi="Arial" w:cs="Arial"/>
        <w:noProof/>
        <w:lang w:eastAsia="ja-JP"/>
      </w:rPr>
      <w:t>1</w:t>
    </w:r>
    <w:r w:rsidR="00AA215C" w:rsidRPr="00F65110">
      <w:rPr>
        <w:rStyle w:val="PageNumber"/>
        <w:rFonts w:ascii="Arial" w:eastAsia="MS Mincho" w:hAnsi="Arial" w:cs="Arial"/>
        <w:lang w:eastAsia="ja-JP"/>
      </w:rPr>
      <w:fldChar w:fldCharType="end"/>
    </w:r>
    <w:r w:rsidRPr="00F65110">
      <w:rPr>
        <w:rStyle w:val="PageNumber"/>
        <w:rFonts w:ascii="Arial" w:eastAsia="MS Mincho" w:hAnsi="Arial" w:cs="Arial"/>
        <w:lang w:eastAsia="ja-JP"/>
      </w:rPr>
      <w:t xml:space="preserve"> of </w:t>
    </w:r>
    <w:r w:rsidR="00AA215C" w:rsidRPr="00F65110">
      <w:rPr>
        <w:rStyle w:val="PageNumber"/>
        <w:rFonts w:ascii="Arial" w:eastAsia="MS Mincho" w:hAnsi="Arial" w:cs="Arial"/>
        <w:lang w:eastAsia="ja-JP"/>
      </w:rPr>
      <w:fldChar w:fldCharType="begin"/>
    </w:r>
    <w:r w:rsidRPr="00F65110">
      <w:rPr>
        <w:rStyle w:val="PageNumber"/>
        <w:rFonts w:ascii="Arial" w:eastAsia="MS Mincho" w:hAnsi="Arial" w:cs="Arial"/>
        <w:lang w:eastAsia="ja-JP"/>
      </w:rPr>
      <w:instrText xml:space="preserve"> NUMPAGES </w:instrText>
    </w:r>
    <w:r w:rsidR="00AA215C" w:rsidRPr="00F65110">
      <w:rPr>
        <w:rStyle w:val="PageNumber"/>
        <w:rFonts w:ascii="Arial" w:eastAsia="MS Mincho" w:hAnsi="Arial" w:cs="Arial"/>
        <w:lang w:eastAsia="ja-JP"/>
      </w:rPr>
      <w:fldChar w:fldCharType="separate"/>
    </w:r>
    <w:r w:rsidR="009902BB">
      <w:rPr>
        <w:rStyle w:val="PageNumber"/>
        <w:rFonts w:ascii="Arial" w:eastAsia="MS Mincho" w:hAnsi="Arial" w:cs="Arial"/>
        <w:noProof/>
        <w:lang w:eastAsia="ja-JP"/>
      </w:rPr>
      <w:t>3</w:t>
    </w:r>
    <w:r w:rsidR="00AA215C" w:rsidRPr="00F65110">
      <w:rPr>
        <w:rStyle w:val="PageNumber"/>
        <w:rFonts w:ascii="Arial" w:eastAsia="MS Mincho" w:hAnsi="Arial" w:cs="Arial"/>
        <w:lang w:eastAsia="ja-JP"/>
      </w:rPr>
      <w:fldChar w:fldCharType="end"/>
    </w:r>
    <w:r w:rsidR="001A11EE">
      <w:rPr>
        <w:rStyle w:val="PageNumber"/>
        <w:rFonts w:ascii="Arial" w:eastAsia="MS Mincho" w:hAnsi="Arial" w:cs="Arial"/>
        <w:lang w:eastAsia="ja-JP"/>
      </w:rPr>
      <w:tab/>
    </w:r>
  </w:p>
  <w:p w14:paraId="4DD66D0D" w14:textId="77777777" w:rsidR="000666E7" w:rsidRPr="00871599" w:rsidRDefault="000666E7" w:rsidP="00052C27">
    <w:pPr>
      <w:pStyle w:val="BodyTextIndent3"/>
      <w:pBdr>
        <w:left w:val="single" w:sz="8" w:space="18" w:color="auto"/>
      </w:pBdr>
      <w:ind w:left="0" w:right="-1260"/>
      <w:rPr>
        <w:rFonts w:ascii="Arial Narrow" w:hAnsi="Arial Narrow"/>
      </w:rPr>
    </w:pPr>
    <w:r w:rsidRPr="00871599">
      <w:rPr>
        <w:rFonts w:ascii="Arial Narrow" w:hAnsi="Arial Narrow"/>
      </w:rPr>
      <w:t xml:space="preserve">The material contained herein is proprietary to </w:t>
    </w:r>
    <w:r w:rsidR="005D52F1">
      <w:rPr>
        <w:rFonts w:ascii="Arial Narrow" w:hAnsi="Arial Narrow"/>
      </w:rPr>
      <w:t>AIG</w:t>
    </w:r>
    <w:r w:rsidR="0089080C">
      <w:rPr>
        <w:rFonts w:ascii="Arial Narrow" w:hAnsi="Arial Narrow"/>
      </w:rPr>
      <w:t xml:space="preserve"> </w:t>
    </w:r>
    <w:r w:rsidRPr="00871599">
      <w:rPr>
        <w:rFonts w:ascii="Arial Narrow" w:hAnsi="Arial Narrow"/>
      </w:rPr>
      <w:t xml:space="preserve">and is intended for internal use only by </w:t>
    </w:r>
    <w:r w:rsidR="005D52F1">
      <w:rPr>
        <w:rFonts w:ascii="Arial Narrow" w:hAnsi="Arial Narrow"/>
      </w:rPr>
      <w:t>AIG</w:t>
    </w:r>
    <w:r w:rsidR="0089080C">
      <w:rPr>
        <w:rFonts w:ascii="Arial Narrow" w:hAnsi="Arial Narrow"/>
      </w:rPr>
      <w:t xml:space="preserve"> </w:t>
    </w:r>
    <w:r w:rsidRPr="00871599">
      <w:rPr>
        <w:rFonts w:ascii="Arial Narrow" w:hAnsi="Arial Narrow"/>
      </w:rPr>
      <w:t>employees.  Unauthorized disclosure, dissemination, copying, or other</w:t>
    </w:r>
    <w:r>
      <w:rPr>
        <w:rFonts w:ascii="Arial Narrow" w:hAnsi="Arial Narrow"/>
      </w:rPr>
      <w:br/>
    </w:r>
    <w:r w:rsidRPr="00871599">
      <w:rPr>
        <w:rFonts w:ascii="Arial Narrow" w:hAnsi="Arial Narrow"/>
      </w:rPr>
      <w:t xml:space="preserve">use of this material without the express written permission of </w:t>
    </w:r>
    <w:r w:rsidR="005D52F1">
      <w:rPr>
        <w:rFonts w:ascii="Arial Narrow" w:hAnsi="Arial Narrow"/>
      </w:rPr>
      <w:t>AIG</w:t>
    </w:r>
    <w:r w:rsidR="0089080C">
      <w:rPr>
        <w:rFonts w:ascii="Arial Narrow" w:hAnsi="Arial Narrow"/>
      </w:rPr>
      <w:t xml:space="preserve"> </w:t>
    </w:r>
    <w:r w:rsidRPr="00871599">
      <w:rPr>
        <w:rFonts w:ascii="Arial Narrow" w:hAnsi="Arial Narrow"/>
      </w:rPr>
      <w:t>is strictly prohibited.</w:t>
    </w:r>
    <w:r w:rsidRPr="00871599">
      <w:rPr>
        <w:rFonts w:ascii="Arial Narrow" w:hAnsi="Arial Narrow"/>
      </w:rPr>
      <w:br/>
      <w:t>Copyright © 201</w:t>
    </w:r>
    <w:r w:rsidR="00D11E73">
      <w:rPr>
        <w:rFonts w:ascii="Arial Narrow" w:hAnsi="Arial Narrow"/>
      </w:rPr>
      <w:t>3</w:t>
    </w:r>
    <w:r w:rsidRPr="00871599">
      <w:rPr>
        <w:rFonts w:ascii="Arial Narrow" w:hAnsi="Arial Narrow"/>
      </w:rPr>
      <w:t xml:space="preserve"> </w:t>
    </w:r>
    <w:r w:rsidR="00D11E73">
      <w:rPr>
        <w:rFonts w:ascii="Arial Narrow" w:hAnsi="Arial Narrow"/>
      </w:rPr>
      <w:t>AIG</w:t>
    </w:r>
    <w:r w:rsidRPr="00871599">
      <w:rPr>
        <w:rFonts w:ascii="Arial Narrow" w:hAnsi="Arial Narrow"/>
      </w:rPr>
      <w:t xml:space="preserve">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66D07" w14:textId="77777777" w:rsidR="0027214F" w:rsidRDefault="0027214F">
      <w:r>
        <w:separator/>
      </w:r>
    </w:p>
  </w:footnote>
  <w:footnote w:type="continuationSeparator" w:id="0">
    <w:p w14:paraId="4DD66D08" w14:textId="77777777" w:rsidR="0027214F" w:rsidRDefault="00272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37" w:type="pct"/>
      <w:tblInd w:w="-425" w:type="dxa"/>
      <w:tblCellMar>
        <w:top w:w="72" w:type="dxa"/>
        <w:left w:w="115" w:type="dxa"/>
        <w:bottom w:w="72" w:type="dxa"/>
        <w:right w:w="115" w:type="dxa"/>
      </w:tblCellMar>
      <w:tblLook w:val="04A0" w:firstRow="1" w:lastRow="0" w:firstColumn="1" w:lastColumn="0" w:noHBand="0" w:noVBand="1"/>
    </w:tblPr>
    <w:tblGrid>
      <w:gridCol w:w="5400"/>
      <w:gridCol w:w="5220"/>
    </w:tblGrid>
    <w:tr w:rsidR="00EC0DFE" w14:paraId="0C5B3E3D" w14:textId="77777777" w:rsidTr="008F5680">
      <w:trPr>
        <w:trHeight w:val="288"/>
      </w:trPr>
      <w:tc>
        <w:tcPr>
          <w:tcW w:w="5400" w:type="dxa"/>
        </w:tcPr>
        <w:p w14:paraId="63732D00" w14:textId="00AA6F31" w:rsidR="00EC0DFE" w:rsidRPr="008B153A" w:rsidRDefault="00EC0DFE" w:rsidP="008F5680">
          <w:pPr>
            <w:pStyle w:val="Header"/>
            <w:rPr>
              <w:rFonts w:ascii="Cambria" w:hAnsi="Cambria"/>
              <w:sz w:val="36"/>
              <w:szCs w:val="36"/>
            </w:rPr>
          </w:pPr>
          <w:r>
            <w:rPr>
              <w:noProof/>
            </w:rPr>
            <w:drawing>
              <wp:inline distT="0" distB="0" distL="0" distR="0" wp14:anchorId="58703376" wp14:editId="408D1D50">
                <wp:extent cx="1352550" cy="733425"/>
                <wp:effectExtent l="0" t="0" r="0" b="0"/>
                <wp:docPr id="2" name="Picture 2" descr="https://contact.aig.net/aigcontact/intranet/en/files/AIG_digital_blue_std_tcm1246-490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ntact.aig.net/aigcontact/intranet/en/files/AIG_digital_blue_std_tcm1246-49059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Pr>
              <w:rFonts w:ascii="Cambria" w:hAnsi="Cambria"/>
              <w:sz w:val="36"/>
              <w:szCs w:val="36"/>
            </w:rPr>
            <w:t xml:space="preserve"> </w:t>
          </w:r>
        </w:p>
      </w:tc>
      <w:tc>
        <w:tcPr>
          <w:tcW w:w="5220" w:type="dxa"/>
          <w:vAlign w:val="bottom"/>
        </w:tcPr>
        <w:p w14:paraId="549251DC" w14:textId="5AA234E9" w:rsidR="00EC0DFE" w:rsidRPr="008F5680" w:rsidRDefault="00EC0DFE" w:rsidP="008F5680">
          <w:pPr>
            <w:pStyle w:val="Header"/>
            <w:ind w:hanging="115"/>
            <w:jc w:val="right"/>
            <w:rPr>
              <w:rFonts w:ascii="AIG Futura" w:hAnsi="AIG Futura"/>
              <w:b/>
              <w:bCs/>
              <w:smallCaps/>
              <w:color w:val="000000" w:themeColor="text1"/>
              <w:sz w:val="44"/>
              <w:szCs w:val="44"/>
            </w:rPr>
          </w:pPr>
          <w:r w:rsidRPr="008F5680">
            <w:rPr>
              <w:rFonts w:ascii="AIG Futura" w:hAnsi="AIG Futura"/>
              <w:b/>
              <w:bCs/>
              <w:smallCaps/>
              <w:color w:val="000000" w:themeColor="text1"/>
              <w:sz w:val="44"/>
              <w:szCs w:val="44"/>
            </w:rPr>
            <w:t>Bridging Analysis</w:t>
          </w:r>
        </w:p>
      </w:tc>
    </w:tr>
  </w:tbl>
  <w:p w14:paraId="4DD66D0B" w14:textId="77777777" w:rsidR="00841986" w:rsidRPr="00EC0DFE" w:rsidRDefault="00841986" w:rsidP="00EC0DFE">
    <w:pPr>
      <w:pStyle w:val="Header"/>
      <w:rPr>
        <w:b/>
        <w:color w:val="FF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23DB0"/>
    <w:multiLevelType w:val="hybridMultilevel"/>
    <w:tmpl w:val="8C7C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B17CA1"/>
    <w:multiLevelType w:val="hybridMultilevel"/>
    <w:tmpl w:val="60A0388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38733B9"/>
    <w:multiLevelType w:val="hybridMultilevel"/>
    <w:tmpl w:val="DFDEE29E"/>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FD71403"/>
    <w:multiLevelType w:val="hybridMultilevel"/>
    <w:tmpl w:val="D84A0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21337C3"/>
    <w:multiLevelType w:val="hybridMultilevel"/>
    <w:tmpl w:val="FD820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78F22B1"/>
    <w:multiLevelType w:val="hybridMultilevel"/>
    <w:tmpl w:val="6C9645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A6520C"/>
    <w:multiLevelType w:val="hybridMultilevel"/>
    <w:tmpl w:val="AFB68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163016C"/>
    <w:multiLevelType w:val="multilevel"/>
    <w:tmpl w:val="5AF61510"/>
    <w:lvl w:ilvl="0">
      <w:start w:val="1"/>
      <w:numFmt w:val="bullet"/>
      <w:lvlText w:val=""/>
      <w:lvlJc w:val="left"/>
      <w:pPr>
        <w:tabs>
          <w:tab w:val="num" w:pos="0"/>
        </w:tabs>
        <w:ind w:left="357" w:hanging="357"/>
      </w:pPr>
      <w:rPr>
        <w:rFonts w:ascii="Symbol" w:hAnsi="Symbol" w:cs="Courier New"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D043019"/>
    <w:multiLevelType w:val="hybridMultilevel"/>
    <w:tmpl w:val="DD325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8B350A"/>
    <w:multiLevelType w:val="hybridMultilevel"/>
    <w:tmpl w:val="D81C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42051DA"/>
    <w:multiLevelType w:val="hybridMultilevel"/>
    <w:tmpl w:val="E34A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5B561A0"/>
    <w:multiLevelType w:val="hybridMultilevel"/>
    <w:tmpl w:val="34087C4C"/>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E292C85"/>
    <w:multiLevelType w:val="hybridMultilevel"/>
    <w:tmpl w:val="4C887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7"/>
  </w:num>
  <w:num w:numId="3">
    <w:abstractNumId w:val="2"/>
  </w:num>
  <w:num w:numId="4">
    <w:abstractNumId w:val="6"/>
  </w:num>
  <w:num w:numId="5">
    <w:abstractNumId w:val="4"/>
  </w:num>
  <w:num w:numId="6">
    <w:abstractNumId w:val="3"/>
  </w:num>
  <w:num w:numId="7">
    <w:abstractNumId w:val="0"/>
  </w:num>
  <w:num w:numId="8">
    <w:abstractNumId w:val="12"/>
  </w:num>
  <w:num w:numId="9">
    <w:abstractNumId w:val="10"/>
  </w:num>
  <w:num w:numId="10">
    <w:abstractNumId w:val="9"/>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99"/>
    <w:rsid w:val="00001352"/>
    <w:rsid w:val="00001BBD"/>
    <w:rsid w:val="00001EAA"/>
    <w:rsid w:val="00002F8E"/>
    <w:rsid w:val="0000311B"/>
    <w:rsid w:val="0000504F"/>
    <w:rsid w:val="00005070"/>
    <w:rsid w:val="0000507F"/>
    <w:rsid w:val="00005602"/>
    <w:rsid w:val="00005CC0"/>
    <w:rsid w:val="0000600C"/>
    <w:rsid w:val="000060D5"/>
    <w:rsid w:val="00006D39"/>
    <w:rsid w:val="00007505"/>
    <w:rsid w:val="0000773D"/>
    <w:rsid w:val="00010380"/>
    <w:rsid w:val="00010CAB"/>
    <w:rsid w:val="00010F10"/>
    <w:rsid w:val="0001144D"/>
    <w:rsid w:val="000116A4"/>
    <w:rsid w:val="00011C83"/>
    <w:rsid w:val="00011DFE"/>
    <w:rsid w:val="00012412"/>
    <w:rsid w:val="00013C38"/>
    <w:rsid w:val="0001498F"/>
    <w:rsid w:val="00014B33"/>
    <w:rsid w:val="00014BB7"/>
    <w:rsid w:val="00014E17"/>
    <w:rsid w:val="00014F97"/>
    <w:rsid w:val="000152BE"/>
    <w:rsid w:val="00015AE7"/>
    <w:rsid w:val="0001614D"/>
    <w:rsid w:val="000161D6"/>
    <w:rsid w:val="000165E2"/>
    <w:rsid w:val="00016D60"/>
    <w:rsid w:val="00017C35"/>
    <w:rsid w:val="00017D29"/>
    <w:rsid w:val="00020CAF"/>
    <w:rsid w:val="00020D73"/>
    <w:rsid w:val="000215BE"/>
    <w:rsid w:val="0002174B"/>
    <w:rsid w:val="00022157"/>
    <w:rsid w:val="000226AE"/>
    <w:rsid w:val="000228D6"/>
    <w:rsid w:val="0002390E"/>
    <w:rsid w:val="00023921"/>
    <w:rsid w:val="000247C9"/>
    <w:rsid w:val="00026353"/>
    <w:rsid w:val="00027039"/>
    <w:rsid w:val="00027084"/>
    <w:rsid w:val="00027251"/>
    <w:rsid w:val="00031A6E"/>
    <w:rsid w:val="00031E06"/>
    <w:rsid w:val="00031E2E"/>
    <w:rsid w:val="00031E85"/>
    <w:rsid w:val="0003229B"/>
    <w:rsid w:val="000322E9"/>
    <w:rsid w:val="00033515"/>
    <w:rsid w:val="000340A6"/>
    <w:rsid w:val="000342C0"/>
    <w:rsid w:val="00034624"/>
    <w:rsid w:val="000349E7"/>
    <w:rsid w:val="00034FF1"/>
    <w:rsid w:val="000354E4"/>
    <w:rsid w:val="00035597"/>
    <w:rsid w:val="000355C0"/>
    <w:rsid w:val="000356C5"/>
    <w:rsid w:val="00035F7F"/>
    <w:rsid w:val="00036068"/>
    <w:rsid w:val="000361F4"/>
    <w:rsid w:val="00036B1F"/>
    <w:rsid w:val="0003774C"/>
    <w:rsid w:val="000377E3"/>
    <w:rsid w:val="00037B56"/>
    <w:rsid w:val="00037C34"/>
    <w:rsid w:val="000401D1"/>
    <w:rsid w:val="000404E7"/>
    <w:rsid w:val="00040DC7"/>
    <w:rsid w:val="000413AF"/>
    <w:rsid w:val="000413C7"/>
    <w:rsid w:val="00041D05"/>
    <w:rsid w:val="00041DC3"/>
    <w:rsid w:val="00041EE2"/>
    <w:rsid w:val="0004241A"/>
    <w:rsid w:val="000424EA"/>
    <w:rsid w:val="0004265B"/>
    <w:rsid w:val="00042862"/>
    <w:rsid w:val="00043AE3"/>
    <w:rsid w:val="00043CAB"/>
    <w:rsid w:val="00043CE8"/>
    <w:rsid w:val="00043F58"/>
    <w:rsid w:val="00044392"/>
    <w:rsid w:val="0004454B"/>
    <w:rsid w:val="00044A21"/>
    <w:rsid w:val="00046087"/>
    <w:rsid w:val="000476D5"/>
    <w:rsid w:val="000478A1"/>
    <w:rsid w:val="00047E86"/>
    <w:rsid w:val="00050020"/>
    <w:rsid w:val="000506BB"/>
    <w:rsid w:val="00050809"/>
    <w:rsid w:val="000515DA"/>
    <w:rsid w:val="00052BE3"/>
    <w:rsid w:val="00052C27"/>
    <w:rsid w:val="000532A0"/>
    <w:rsid w:val="00053468"/>
    <w:rsid w:val="000537CE"/>
    <w:rsid w:val="0005417C"/>
    <w:rsid w:val="0005418A"/>
    <w:rsid w:val="000550B8"/>
    <w:rsid w:val="00055F73"/>
    <w:rsid w:val="0005662E"/>
    <w:rsid w:val="00056686"/>
    <w:rsid w:val="00056AEE"/>
    <w:rsid w:val="00056CC6"/>
    <w:rsid w:val="00056E8F"/>
    <w:rsid w:val="00057664"/>
    <w:rsid w:val="00057866"/>
    <w:rsid w:val="0005786D"/>
    <w:rsid w:val="00057E48"/>
    <w:rsid w:val="00057FCB"/>
    <w:rsid w:val="000609F0"/>
    <w:rsid w:val="0006104C"/>
    <w:rsid w:val="0006130D"/>
    <w:rsid w:val="00061C44"/>
    <w:rsid w:val="00062211"/>
    <w:rsid w:val="00062FA5"/>
    <w:rsid w:val="00063748"/>
    <w:rsid w:val="000644ED"/>
    <w:rsid w:val="00065296"/>
    <w:rsid w:val="000652EF"/>
    <w:rsid w:val="00065992"/>
    <w:rsid w:val="00066374"/>
    <w:rsid w:val="000666E7"/>
    <w:rsid w:val="00066808"/>
    <w:rsid w:val="00066EDD"/>
    <w:rsid w:val="000679E5"/>
    <w:rsid w:val="00067E50"/>
    <w:rsid w:val="00070253"/>
    <w:rsid w:val="00070473"/>
    <w:rsid w:val="000705DD"/>
    <w:rsid w:val="00070753"/>
    <w:rsid w:val="000707B0"/>
    <w:rsid w:val="0007108A"/>
    <w:rsid w:val="00071879"/>
    <w:rsid w:val="0007195D"/>
    <w:rsid w:val="000720DB"/>
    <w:rsid w:val="000725E5"/>
    <w:rsid w:val="00073836"/>
    <w:rsid w:val="00073A6D"/>
    <w:rsid w:val="000742FD"/>
    <w:rsid w:val="000743FF"/>
    <w:rsid w:val="00075457"/>
    <w:rsid w:val="0007557C"/>
    <w:rsid w:val="000761EE"/>
    <w:rsid w:val="00077447"/>
    <w:rsid w:val="0007745D"/>
    <w:rsid w:val="00077675"/>
    <w:rsid w:val="00077A27"/>
    <w:rsid w:val="00077B5A"/>
    <w:rsid w:val="00077B78"/>
    <w:rsid w:val="00080FC3"/>
    <w:rsid w:val="00081003"/>
    <w:rsid w:val="00081807"/>
    <w:rsid w:val="0008186F"/>
    <w:rsid w:val="00081AAA"/>
    <w:rsid w:val="00081B0C"/>
    <w:rsid w:val="00081F76"/>
    <w:rsid w:val="000823C1"/>
    <w:rsid w:val="000824F9"/>
    <w:rsid w:val="00082585"/>
    <w:rsid w:val="00082682"/>
    <w:rsid w:val="000829C4"/>
    <w:rsid w:val="000834CB"/>
    <w:rsid w:val="000838EF"/>
    <w:rsid w:val="0008481C"/>
    <w:rsid w:val="000851DD"/>
    <w:rsid w:val="00085D83"/>
    <w:rsid w:val="00085E1E"/>
    <w:rsid w:val="000866F5"/>
    <w:rsid w:val="00087006"/>
    <w:rsid w:val="00087059"/>
    <w:rsid w:val="00087339"/>
    <w:rsid w:val="00087428"/>
    <w:rsid w:val="000874F2"/>
    <w:rsid w:val="000876A0"/>
    <w:rsid w:val="000878E3"/>
    <w:rsid w:val="00087961"/>
    <w:rsid w:val="00087A29"/>
    <w:rsid w:val="00087AEC"/>
    <w:rsid w:val="00090ED8"/>
    <w:rsid w:val="00090F1A"/>
    <w:rsid w:val="0009126E"/>
    <w:rsid w:val="000917EF"/>
    <w:rsid w:val="00091960"/>
    <w:rsid w:val="00091D6B"/>
    <w:rsid w:val="00091EE4"/>
    <w:rsid w:val="000922ED"/>
    <w:rsid w:val="0009253F"/>
    <w:rsid w:val="00092649"/>
    <w:rsid w:val="00092B5D"/>
    <w:rsid w:val="00093122"/>
    <w:rsid w:val="0009358F"/>
    <w:rsid w:val="0009489D"/>
    <w:rsid w:val="00094A32"/>
    <w:rsid w:val="00094DE9"/>
    <w:rsid w:val="000951FF"/>
    <w:rsid w:val="0009550A"/>
    <w:rsid w:val="00095593"/>
    <w:rsid w:val="00095A3B"/>
    <w:rsid w:val="00096277"/>
    <w:rsid w:val="0009649E"/>
    <w:rsid w:val="00096646"/>
    <w:rsid w:val="000A00DD"/>
    <w:rsid w:val="000A03C0"/>
    <w:rsid w:val="000A0591"/>
    <w:rsid w:val="000A05F6"/>
    <w:rsid w:val="000A071E"/>
    <w:rsid w:val="000A152F"/>
    <w:rsid w:val="000A1F47"/>
    <w:rsid w:val="000A2140"/>
    <w:rsid w:val="000A2AAC"/>
    <w:rsid w:val="000A2BD0"/>
    <w:rsid w:val="000A307B"/>
    <w:rsid w:val="000A505F"/>
    <w:rsid w:val="000A6282"/>
    <w:rsid w:val="000A6CB4"/>
    <w:rsid w:val="000A799E"/>
    <w:rsid w:val="000A7BD9"/>
    <w:rsid w:val="000B0A21"/>
    <w:rsid w:val="000B0BA0"/>
    <w:rsid w:val="000B154C"/>
    <w:rsid w:val="000B1974"/>
    <w:rsid w:val="000B19CF"/>
    <w:rsid w:val="000B1A6D"/>
    <w:rsid w:val="000B1AC4"/>
    <w:rsid w:val="000B1D83"/>
    <w:rsid w:val="000B2CCC"/>
    <w:rsid w:val="000B2E4F"/>
    <w:rsid w:val="000B306F"/>
    <w:rsid w:val="000B3430"/>
    <w:rsid w:val="000B356D"/>
    <w:rsid w:val="000B388F"/>
    <w:rsid w:val="000B3933"/>
    <w:rsid w:val="000B3B88"/>
    <w:rsid w:val="000B4174"/>
    <w:rsid w:val="000B420D"/>
    <w:rsid w:val="000B44CA"/>
    <w:rsid w:val="000B4668"/>
    <w:rsid w:val="000B6363"/>
    <w:rsid w:val="000B6566"/>
    <w:rsid w:val="000B687F"/>
    <w:rsid w:val="000B6A81"/>
    <w:rsid w:val="000B7091"/>
    <w:rsid w:val="000B70EF"/>
    <w:rsid w:val="000B7C59"/>
    <w:rsid w:val="000C070D"/>
    <w:rsid w:val="000C0FD4"/>
    <w:rsid w:val="000C116B"/>
    <w:rsid w:val="000C1244"/>
    <w:rsid w:val="000C2E9F"/>
    <w:rsid w:val="000C34C2"/>
    <w:rsid w:val="000C3BE4"/>
    <w:rsid w:val="000C447C"/>
    <w:rsid w:val="000C5D56"/>
    <w:rsid w:val="000C6CD6"/>
    <w:rsid w:val="000C6EB6"/>
    <w:rsid w:val="000C7855"/>
    <w:rsid w:val="000C7D18"/>
    <w:rsid w:val="000D034D"/>
    <w:rsid w:val="000D0464"/>
    <w:rsid w:val="000D05DF"/>
    <w:rsid w:val="000D17BE"/>
    <w:rsid w:val="000D23EA"/>
    <w:rsid w:val="000D2BBD"/>
    <w:rsid w:val="000D2EC7"/>
    <w:rsid w:val="000D3AA4"/>
    <w:rsid w:val="000D427C"/>
    <w:rsid w:val="000D4910"/>
    <w:rsid w:val="000D4FB3"/>
    <w:rsid w:val="000D506A"/>
    <w:rsid w:val="000D53D5"/>
    <w:rsid w:val="000D5C2C"/>
    <w:rsid w:val="000D5C4E"/>
    <w:rsid w:val="000D5E29"/>
    <w:rsid w:val="000D6899"/>
    <w:rsid w:val="000D752D"/>
    <w:rsid w:val="000D7D21"/>
    <w:rsid w:val="000E0341"/>
    <w:rsid w:val="000E0618"/>
    <w:rsid w:val="000E175E"/>
    <w:rsid w:val="000E19D2"/>
    <w:rsid w:val="000E2036"/>
    <w:rsid w:val="000E3BA3"/>
    <w:rsid w:val="000E49A1"/>
    <w:rsid w:val="000E5861"/>
    <w:rsid w:val="000E5A2A"/>
    <w:rsid w:val="000E6776"/>
    <w:rsid w:val="000E6B61"/>
    <w:rsid w:val="000E7329"/>
    <w:rsid w:val="000F1834"/>
    <w:rsid w:val="000F2403"/>
    <w:rsid w:val="000F25D3"/>
    <w:rsid w:val="000F298E"/>
    <w:rsid w:val="000F3EF4"/>
    <w:rsid w:val="000F43FE"/>
    <w:rsid w:val="000F4539"/>
    <w:rsid w:val="000F49EA"/>
    <w:rsid w:val="000F4ABA"/>
    <w:rsid w:val="000F4E82"/>
    <w:rsid w:val="000F56B0"/>
    <w:rsid w:val="000F56B7"/>
    <w:rsid w:val="000F5943"/>
    <w:rsid w:val="000F5D79"/>
    <w:rsid w:val="000F67E1"/>
    <w:rsid w:val="000F6A91"/>
    <w:rsid w:val="000F6FB7"/>
    <w:rsid w:val="000F7717"/>
    <w:rsid w:val="000F77D4"/>
    <w:rsid w:val="000F782D"/>
    <w:rsid w:val="000F7E01"/>
    <w:rsid w:val="000F7EF8"/>
    <w:rsid w:val="00100099"/>
    <w:rsid w:val="0010174C"/>
    <w:rsid w:val="001021E8"/>
    <w:rsid w:val="001023F8"/>
    <w:rsid w:val="00102C8D"/>
    <w:rsid w:val="00102D68"/>
    <w:rsid w:val="00102F88"/>
    <w:rsid w:val="00103370"/>
    <w:rsid w:val="00104272"/>
    <w:rsid w:val="00104299"/>
    <w:rsid w:val="00105AE5"/>
    <w:rsid w:val="00105B1F"/>
    <w:rsid w:val="00105BAD"/>
    <w:rsid w:val="0010676F"/>
    <w:rsid w:val="0010689C"/>
    <w:rsid w:val="00106BB5"/>
    <w:rsid w:val="001075C8"/>
    <w:rsid w:val="0011053D"/>
    <w:rsid w:val="001105E3"/>
    <w:rsid w:val="001110E4"/>
    <w:rsid w:val="00111677"/>
    <w:rsid w:val="00113C52"/>
    <w:rsid w:val="00114D69"/>
    <w:rsid w:val="001150A3"/>
    <w:rsid w:val="00115228"/>
    <w:rsid w:val="001162DB"/>
    <w:rsid w:val="001168D1"/>
    <w:rsid w:val="00116995"/>
    <w:rsid w:val="001169B8"/>
    <w:rsid w:val="0011730B"/>
    <w:rsid w:val="00117765"/>
    <w:rsid w:val="001178C9"/>
    <w:rsid w:val="00117DC7"/>
    <w:rsid w:val="0012024C"/>
    <w:rsid w:val="001204B9"/>
    <w:rsid w:val="00120A37"/>
    <w:rsid w:val="00120FFD"/>
    <w:rsid w:val="00121309"/>
    <w:rsid w:val="00121771"/>
    <w:rsid w:val="00121BF0"/>
    <w:rsid w:val="00121F1E"/>
    <w:rsid w:val="00123428"/>
    <w:rsid w:val="00123ACC"/>
    <w:rsid w:val="00123D5A"/>
    <w:rsid w:val="00123EAE"/>
    <w:rsid w:val="00124907"/>
    <w:rsid w:val="00124B89"/>
    <w:rsid w:val="00124E53"/>
    <w:rsid w:val="0012538C"/>
    <w:rsid w:val="0012672D"/>
    <w:rsid w:val="00126942"/>
    <w:rsid w:val="001269EB"/>
    <w:rsid w:val="00127C60"/>
    <w:rsid w:val="00127FCC"/>
    <w:rsid w:val="001303BB"/>
    <w:rsid w:val="00130EBF"/>
    <w:rsid w:val="00131280"/>
    <w:rsid w:val="0013159C"/>
    <w:rsid w:val="00131B3D"/>
    <w:rsid w:val="00131C0E"/>
    <w:rsid w:val="00131DF8"/>
    <w:rsid w:val="00132302"/>
    <w:rsid w:val="00132598"/>
    <w:rsid w:val="00132642"/>
    <w:rsid w:val="00132B6C"/>
    <w:rsid w:val="00132EAA"/>
    <w:rsid w:val="001334B9"/>
    <w:rsid w:val="00134641"/>
    <w:rsid w:val="001347FC"/>
    <w:rsid w:val="00134810"/>
    <w:rsid w:val="00134941"/>
    <w:rsid w:val="00135701"/>
    <w:rsid w:val="00135882"/>
    <w:rsid w:val="00135920"/>
    <w:rsid w:val="00135C3D"/>
    <w:rsid w:val="00135F8A"/>
    <w:rsid w:val="00136607"/>
    <w:rsid w:val="00136AB9"/>
    <w:rsid w:val="00136E6D"/>
    <w:rsid w:val="00136F27"/>
    <w:rsid w:val="001371F4"/>
    <w:rsid w:val="001372EA"/>
    <w:rsid w:val="001374AB"/>
    <w:rsid w:val="00137839"/>
    <w:rsid w:val="001403EE"/>
    <w:rsid w:val="00140427"/>
    <w:rsid w:val="001407FC"/>
    <w:rsid w:val="00140C60"/>
    <w:rsid w:val="00142BC4"/>
    <w:rsid w:val="00143339"/>
    <w:rsid w:val="001439C5"/>
    <w:rsid w:val="001439E0"/>
    <w:rsid w:val="00143E9F"/>
    <w:rsid w:val="00145A0D"/>
    <w:rsid w:val="00147475"/>
    <w:rsid w:val="001477E2"/>
    <w:rsid w:val="001500B5"/>
    <w:rsid w:val="0015060A"/>
    <w:rsid w:val="00150FD1"/>
    <w:rsid w:val="00151695"/>
    <w:rsid w:val="00151871"/>
    <w:rsid w:val="00151A00"/>
    <w:rsid w:val="00151BA1"/>
    <w:rsid w:val="00151BA8"/>
    <w:rsid w:val="00152076"/>
    <w:rsid w:val="00152186"/>
    <w:rsid w:val="00152F21"/>
    <w:rsid w:val="00153BDA"/>
    <w:rsid w:val="001544A9"/>
    <w:rsid w:val="0015523A"/>
    <w:rsid w:val="00155527"/>
    <w:rsid w:val="00155925"/>
    <w:rsid w:val="00155E6D"/>
    <w:rsid w:val="001568B2"/>
    <w:rsid w:val="00156BE3"/>
    <w:rsid w:val="00156D1C"/>
    <w:rsid w:val="001578C5"/>
    <w:rsid w:val="00157948"/>
    <w:rsid w:val="00157B10"/>
    <w:rsid w:val="00157C31"/>
    <w:rsid w:val="00157CB2"/>
    <w:rsid w:val="0016082D"/>
    <w:rsid w:val="00160BB1"/>
    <w:rsid w:val="00161309"/>
    <w:rsid w:val="001619B6"/>
    <w:rsid w:val="00161AB9"/>
    <w:rsid w:val="00161ABD"/>
    <w:rsid w:val="00161B02"/>
    <w:rsid w:val="00161E74"/>
    <w:rsid w:val="001626AA"/>
    <w:rsid w:val="0016279A"/>
    <w:rsid w:val="00162E7E"/>
    <w:rsid w:val="001641CC"/>
    <w:rsid w:val="00164962"/>
    <w:rsid w:val="00164C30"/>
    <w:rsid w:val="00165B43"/>
    <w:rsid w:val="001664F9"/>
    <w:rsid w:val="00166771"/>
    <w:rsid w:val="00166AF0"/>
    <w:rsid w:val="00167149"/>
    <w:rsid w:val="001672AD"/>
    <w:rsid w:val="00170039"/>
    <w:rsid w:val="00170246"/>
    <w:rsid w:val="001710F1"/>
    <w:rsid w:val="00171239"/>
    <w:rsid w:val="001714B8"/>
    <w:rsid w:val="00171D79"/>
    <w:rsid w:val="0017243C"/>
    <w:rsid w:val="00172745"/>
    <w:rsid w:val="00172932"/>
    <w:rsid w:val="0017305E"/>
    <w:rsid w:val="00173BA4"/>
    <w:rsid w:val="00173F7B"/>
    <w:rsid w:val="00173F86"/>
    <w:rsid w:val="0017435D"/>
    <w:rsid w:val="0017436C"/>
    <w:rsid w:val="001743D9"/>
    <w:rsid w:val="0017454D"/>
    <w:rsid w:val="00174D27"/>
    <w:rsid w:val="00174F9B"/>
    <w:rsid w:val="0017504D"/>
    <w:rsid w:val="00175C55"/>
    <w:rsid w:val="00175E5D"/>
    <w:rsid w:val="00176238"/>
    <w:rsid w:val="00176459"/>
    <w:rsid w:val="00176614"/>
    <w:rsid w:val="00176BBA"/>
    <w:rsid w:val="001772EA"/>
    <w:rsid w:val="0017791F"/>
    <w:rsid w:val="00180CBB"/>
    <w:rsid w:val="00181222"/>
    <w:rsid w:val="00181381"/>
    <w:rsid w:val="001813E2"/>
    <w:rsid w:val="00181751"/>
    <w:rsid w:val="00182CBF"/>
    <w:rsid w:val="00182D55"/>
    <w:rsid w:val="0018345A"/>
    <w:rsid w:val="001836F9"/>
    <w:rsid w:val="00183A07"/>
    <w:rsid w:val="00183B32"/>
    <w:rsid w:val="00183DA1"/>
    <w:rsid w:val="0018454D"/>
    <w:rsid w:val="0018473A"/>
    <w:rsid w:val="00184A0E"/>
    <w:rsid w:val="00185209"/>
    <w:rsid w:val="0018530C"/>
    <w:rsid w:val="00185A65"/>
    <w:rsid w:val="00186189"/>
    <w:rsid w:val="001867CB"/>
    <w:rsid w:val="0018689C"/>
    <w:rsid w:val="00187374"/>
    <w:rsid w:val="00190045"/>
    <w:rsid w:val="00190370"/>
    <w:rsid w:val="0019054F"/>
    <w:rsid w:val="00190DDC"/>
    <w:rsid w:val="00190E46"/>
    <w:rsid w:val="00190EF7"/>
    <w:rsid w:val="00191BAC"/>
    <w:rsid w:val="001925C4"/>
    <w:rsid w:val="0019310C"/>
    <w:rsid w:val="00193516"/>
    <w:rsid w:val="00193FF1"/>
    <w:rsid w:val="00194836"/>
    <w:rsid w:val="00194C80"/>
    <w:rsid w:val="00194E5A"/>
    <w:rsid w:val="00194E92"/>
    <w:rsid w:val="001958DB"/>
    <w:rsid w:val="001966FA"/>
    <w:rsid w:val="001971A5"/>
    <w:rsid w:val="001971D5"/>
    <w:rsid w:val="00197A56"/>
    <w:rsid w:val="00197DAB"/>
    <w:rsid w:val="001A06AE"/>
    <w:rsid w:val="001A06E9"/>
    <w:rsid w:val="001A0D28"/>
    <w:rsid w:val="001A1035"/>
    <w:rsid w:val="001A11EE"/>
    <w:rsid w:val="001A135E"/>
    <w:rsid w:val="001A1488"/>
    <w:rsid w:val="001A1885"/>
    <w:rsid w:val="001A1DD9"/>
    <w:rsid w:val="001A2048"/>
    <w:rsid w:val="001A204D"/>
    <w:rsid w:val="001A23E7"/>
    <w:rsid w:val="001A27BC"/>
    <w:rsid w:val="001A2868"/>
    <w:rsid w:val="001A2FE9"/>
    <w:rsid w:val="001A3101"/>
    <w:rsid w:val="001A321E"/>
    <w:rsid w:val="001A36A1"/>
    <w:rsid w:val="001A3EC7"/>
    <w:rsid w:val="001A436C"/>
    <w:rsid w:val="001A5F79"/>
    <w:rsid w:val="001A68F1"/>
    <w:rsid w:val="001A6F0B"/>
    <w:rsid w:val="001A799F"/>
    <w:rsid w:val="001B012F"/>
    <w:rsid w:val="001B02E6"/>
    <w:rsid w:val="001B076D"/>
    <w:rsid w:val="001B112C"/>
    <w:rsid w:val="001B1745"/>
    <w:rsid w:val="001B2697"/>
    <w:rsid w:val="001B274E"/>
    <w:rsid w:val="001B2F92"/>
    <w:rsid w:val="001B31FB"/>
    <w:rsid w:val="001B3B2C"/>
    <w:rsid w:val="001B3C3F"/>
    <w:rsid w:val="001B4672"/>
    <w:rsid w:val="001B4F99"/>
    <w:rsid w:val="001B50D8"/>
    <w:rsid w:val="001B562D"/>
    <w:rsid w:val="001B6B2C"/>
    <w:rsid w:val="001B6E70"/>
    <w:rsid w:val="001B7592"/>
    <w:rsid w:val="001C0278"/>
    <w:rsid w:val="001C1344"/>
    <w:rsid w:val="001C28F0"/>
    <w:rsid w:val="001C35AF"/>
    <w:rsid w:val="001C3638"/>
    <w:rsid w:val="001C3AAC"/>
    <w:rsid w:val="001C3C13"/>
    <w:rsid w:val="001C4A29"/>
    <w:rsid w:val="001C4B8D"/>
    <w:rsid w:val="001C5F65"/>
    <w:rsid w:val="001C675C"/>
    <w:rsid w:val="001C6B08"/>
    <w:rsid w:val="001C7B63"/>
    <w:rsid w:val="001C7C6D"/>
    <w:rsid w:val="001D043C"/>
    <w:rsid w:val="001D055C"/>
    <w:rsid w:val="001D0775"/>
    <w:rsid w:val="001D0B33"/>
    <w:rsid w:val="001D128A"/>
    <w:rsid w:val="001D1929"/>
    <w:rsid w:val="001D1A38"/>
    <w:rsid w:val="001D2511"/>
    <w:rsid w:val="001D2B5E"/>
    <w:rsid w:val="001D32D2"/>
    <w:rsid w:val="001D3CDB"/>
    <w:rsid w:val="001D4742"/>
    <w:rsid w:val="001D54A9"/>
    <w:rsid w:val="001D5717"/>
    <w:rsid w:val="001D581D"/>
    <w:rsid w:val="001D58BB"/>
    <w:rsid w:val="001D5D19"/>
    <w:rsid w:val="001D5ED6"/>
    <w:rsid w:val="001D6D9C"/>
    <w:rsid w:val="001D72F8"/>
    <w:rsid w:val="001D741A"/>
    <w:rsid w:val="001D756A"/>
    <w:rsid w:val="001E04B5"/>
    <w:rsid w:val="001E1161"/>
    <w:rsid w:val="001E1428"/>
    <w:rsid w:val="001E165D"/>
    <w:rsid w:val="001E17B9"/>
    <w:rsid w:val="001E1CF0"/>
    <w:rsid w:val="001E1E74"/>
    <w:rsid w:val="001E2024"/>
    <w:rsid w:val="001E2062"/>
    <w:rsid w:val="001E22F2"/>
    <w:rsid w:val="001E3124"/>
    <w:rsid w:val="001E351E"/>
    <w:rsid w:val="001E3B36"/>
    <w:rsid w:val="001E3E3C"/>
    <w:rsid w:val="001E47C1"/>
    <w:rsid w:val="001E4A53"/>
    <w:rsid w:val="001E4DC7"/>
    <w:rsid w:val="001E5088"/>
    <w:rsid w:val="001E541B"/>
    <w:rsid w:val="001E5972"/>
    <w:rsid w:val="001E59EC"/>
    <w:rsid w:val="001E5B10"/>
    <w:rsid w:val="001E609C"/>
    <w:rsid w:val="001E60A2"/>
    <w:rsid w:val="001E6CF2"/>
    <w:rsid w:val="001E6E37"/>
    <w:rsid w:val="001E720F"/>
    <w:rsid w:val="001E760A"/>
    <w:rsid w:val="001E7A09"/>
    <w:rsid w:val="001E7D8B"/>
    <w:rsid w:val="001E7F4A"/>
    <w:rsid w:val="001E7F95"/>
    <w:rsid w:val="001F017C"/>
    <w:rsid w:val="001F054D"/>
    <w:rsid w:val="001F0D4C"/>
    <w:rsid w:val="001F0DEE"/>
    <w:rsid w:val="001F0E04"/>
    <w:rsid w:val="001F106F"/>
    <w:rsid w:val="001F2084"/>
    <w:rsid w:val="001F4332"/>
    <w:rsid w:val="001F4ED9"/>
    <w:rsid w:val="001F5457"/>
    <w:rsid w:val="001F608C"/>
    <w:rsid w:val="001F7DEB"/>
    <w:rsid w:val="002009A6"/>
    <w:rsid w:val="002011A5"/>
    <w:rsid w:val="00201804"/>
    <w:rsid w:val="00201844"/>
    <w:rsid w:val="00201D88"/>
    <w:rsid w:val="00201E72"/>
    <w:rsid w:val="00202069"/>
    <w:rsid w:val="00202677"/>
    <w:rsid w:val="002032B9"/>
    <w:rsid w:val="002034DE"/>
    <w:rsid w:val="00203577"/>
    <w:rsid w:val="00203F47"/>
    <w:rsid w:val="00204198"/>
    <w:rsid w:val="00205B6D"/>
    <w:rsid w:val="002068C3"/>
    <w:rsid w:val="002074FF"/>
    <w:rsid w:val="00210288"/>
    <w:rsid w:val="0021173B"/>
    <w:rsid w:val="00212508"/>
    <w:rsid w:val="00212CD2"/>
    <w:rsid w:val="00213253"/>
    <w:rsid w:val="002138AE"/>
    <w:rsid w:val="00214595"/>
    <w:rsid w:val="00214681"/>
    <w:rsid w:val="00214F96"/>
    <w:rsid w:val="0021532C"/>
    <w:rsid w:val="00215E81"/>
    <w:rsid w:val="0021611D"/>
    <w:rsid w:val="00216966"/>
    <w:rsid w:val="00216C47"/>
    <w:rsid w:val="00216FC2"/>
    <w:rsid w:val="0021745A"/>
    <w:rsid w:val="002178F1"/>
    <w:rsid w:val="00217E29"/>
    <w:rsid w:val="00220525"/>
    <w:rsid w:val="0022080F"/>
    <w:rsid w:val="00220AF5"/>
    <w:rsid w:val="00220C35"/>
    <w:rsid w:val="00220FE7"/>
    <w:rsid w:val="00221152"/>
    <w:rsid w:val="002211AA"/>
    <w:rsid w:val="00221273"/>
    <w:rsid w:val="002214D5"/>
    <w:rsid w:val="00221635"/>
    <w:rsid w:val="0022234C"/>
    <w:rsid w:val="00223495"/>
    <w:rsid w:val="00223848"/>
    <w:rsid w:val="00224E2E"/>
    <w:rsid w:val="00225A2F"/>
    <w:rsid w:val="002264D3"/>
    <w:rsid w:val="00226987"/>
    <w:rsid w:val="00226AB0"/>
    <w:rsid w:val="00226D7C"/>
    <w:rsid w:val="0022717C"/>
    <w:rsid w:val="00227C29"/>
    <w:rsid w:val="00227CB1"/>
    <w:rsid w:val="00230CA2"/>
    <w:rsid w:val="00230D90"/>
    <w:rsid w:val="00231596"/>
    <w:rsid w:val="002317A6"/>
    <w:rsid w:val="00232AFC"/>
    <w:rsid w:val="00232E62"/>
    <w:rsid w:val="00233392"/>
    <w:rsid w:val="002338DF"/>
    <w:rsid w:val="00233F7C"/>
    <w:rsid w:val="0023456E"/>
    <w:rsid w:val="00235022"/>
    <w:rsid w:val="00235584"/>
    <w:rsid w:val="002358A8"/>
    <w:rsid w:val="00235C16"/>
    <w:rsid w:val="00236845"/>
    <w:rsid w:val="00236E51"/>
    <w:rsid w:val="002373ED"/>
    <w:rsid w:val="00237DCA"/>
    <w:rsid w:val="00237FDF"/>
    <w:rsid w:val="002404E7"/>
    <w:rsid w:val="00240B29"/>
    <w:rsid w:val="00240BB9"/>
    <w:rsid w:val="00240F32"/>
    <w:rsid w:val="002412BA"/>
    <w:rsid w:val="002418CF"/>
    <w:rsid w:val="002421C7"/>
    <w:rsid w:val="002422F9"/>
    <w:rsid w:val="00243E14"/>
    <w:rsid w:val="00243EB7"/>
    <w:rsid w:val="002452F0"/>
    <w:rsid w:val="00245511"/>
    <w:rsid w:val="0024696C"/>
    <w:rsid w:val="002471C9"/>
    <w:rsid w:val="0025006B"/>
    <w:rsid w:val="0025007B"/>
    <w:rsid w:val="00250383"/>
    <w:rsid w:val="00250D18"/>
    <w:rsid w:val="00250E60"/>
    <w:rsid w:val="00251B16"/>
    <w:rsid w:val="00251C8B"/>
    <w:rsid w:val="00252D71"/>
    <w:rsid w:val="002530AB"/>
    <w:rsid w:val="00253A7C"/>
    <w:rsid w:val="00253AAC"/>
    <w:rsid w:val="00253F5E"/>
    <w:rsid w:val="00254729"/>
    <w:rsid w:val="00255682"/>
    <w:rsid w:val="00255869"/>
    <w:rsid w:val="00255B52"/>
    <w:rsid w:val="00255D9E"/>
    <w:rsid w:val="002575C9"/>
    <w:rsid w:val="00257A4E"/>
    <w:rsid w:val="002601DB"/>
    <w:rsid w:val="00261206"/>
    <w:rsid w:val="00261779"/>
    <w:rsid w:val="00261D32"/>
    <w:rsid w:val="0026331B"/>
    <w:rsid w:val="00263B88"/>
    <w:rsid w:val="00263EB0"/>
    <w:rsid w:val="002649B9"/>
    <w:rsid w:val="002657DF"/>
    <w:rsid w:val="00265A62"/>
    <w:rsid w:val="00265BD7"/>
    <w:rsid w:val="0026695E"/>
    <w:rsid w:val="00266AD2"/>
    <w:rsid w:val="00266CA6"/>
    <w:rsid w:val="00266DB2"/>
    <w:rsid w:val="00267086"/>
    <w:rsid w:val="002670CB"/>
    <w:rsid w:val="00267AA3"/>
    <w:rsid w:val="00267D31"/>
    <w:rsid w:val="002705F7"/>
    <w:rsid w:val="00270732"/>
    <w:rsid w:val="00271519"/>
    <w:rsid w:val="002716C2"/>
    <w:rsid w:val="00271C0B"/>
    <w:rsid w:val="0027214F"/>
    <w:rsid w:val="00272471"/>
    <w:rsid w:val="002728B3"/>
    <w:rsid w:val="00272BAE"/>
    <w:rsid w:val="00272C45"/>
    <w:rsid w:val="00272F5A"/>
    <w:rsid w:val="00273B1E"/>
    <w:rsid w:val="00273C9F"/>
    <w:rsid w:val="00274AD4"/>
    <w:rsid w:val="00275458"/>
    <w:rsid w:val="00275CD6"/>
    <w:rsid w:val="002760D8"/>
    <w:rsid w:val="00276124"/>
    <w:rsid w:val="00276BC5"/>
    <w:rsid w:val="00277220"/>
    <w:rsid w:val="0027735D"/>
    <w:rsid w:val="002802E5"/>
    <w:rsid w:val="002819AE"/>
    <w:rsid w:val="00281BDC"/>
    <w:rsid w:val="00281C06"/>
    <w:rsid w:val="002823A8"/>
    <w:rsid w:val="0028353E"/>
    <w:rsid w:val="0028418D"/>
    <w:rsid w:val="002843EA"/>
    <w:rsid w:val="00284528"/>
    <w:rsid w:val="00284580"/>
    <w:rsid w:val="002846E0"/>
    <w:rsid w:val="00284E6A"/>
    <w:rsid w:val="0028505C"/>
    <w:rsid w:val="00285ABF"/>
    <w:rsid w:val="00286101"/>
    <w:rsid w:val="00286632"/>
    <w:rsid w:val="00286640"/>
    <w:rsid w:val="00286EC6"/>
    <w:rsid w:val="002870E6"/>
    <w:rsid w:val="002879CB"/>
    <w:rsid w:val="00287D01"/>
    <w:rsid w:val="00287FA1"/>
    <w:rsid w:val="002900E5"/>
    <w:rsid w:val="002903E4"/>
    <w:rsid w:val="00290F59"/>
    <w:rsid w:val="00291150"/>
    <w:rsid w:val="002919AF"/>
    <w:rsid w:val="00292701"/>
    <w:rsid w:val="0029393A"/>
    <w:rsid w:val="00293FFD"/>
    <w:rsid w:val="00294BA8"/>
    <w:rsid w:val="00294DC6"/>
    <w:rsid w:val="002956DC"/>
    <w:rsid w:val="00295A3F"/>
    <w:rsid w:val="00295FCE"/>
    <w:rsid w:val="00296D63"/>
    <w:rsid w:val="00297691"/>
    <w:rsid w:val="002A055B"/>
    <w:rsid w:val="002A17DF"/>
    <w:rsid w:val="002A18FB"/>
    <w:rsid w:val="002A2477"/>
    <w:rsid w:val="002A31D5"/>
    <w:rsid w:val="002A5238"/>
    <w:rsid w:val="002A5637"/>
    <w:rsid w:val="002A691E"/>
    <w:rsid w:val="002A6DC3"/>
    <w:rsid w:val="002A6EC7"/>
    <w:rsid w:val="002A6F0B"/>
    <w:rsid w:val="002A7E35"/>
    <w:rsid w:val="002B0729"/>
    <w:rsid w:val="002B07CB"/>
    <w:rsid w:val="002B09EF"/>
    <w:rsid w:val="002B0E14"/>
    <w:rsid w:val="002B12DA"/>
    <w:rsid w:val="002B14E1"/>
    <w:rsid w:val="002B17ED"/>
    <w:rsid w:val="002B2170"/>
    <w:rsid w:val="002B278F"/>
    <w:rsid w:val="002B2A85"/>
    <w:rsid w:val="002B2A96"/>
    <w:rsid w:val="002B3566"/>
    <w:rsid w:val="002B405C"/>
    <w:rsid w:val="002B4617"/>
    <w:rsid w:val="002B47C2"/>
    <w:rsid w:val="002B54F9"/>
    <w:rsid w:val="002B56CC"/>
    <w:rsid w:val="002B60DD"/>
    <w:rsid w:val="002B61C8"/>
    <w:rsid w:val="002B6AB6"/>
    <w:rsid w:val="002B6C3C"/>
    <w:rsid w:val="002B715F"/>
    <w:rsid w:val="002B7400"/>
    <w:rsid w:val="002B7717"/>
    <w:rsid w:val="002B783B"/>
    <w:rsid w:val="002B7B6E"/>
    <w:rsid w:val="002C068D"/>
    <w:rsid w:val="002C121A"/>
    <w:rsid w:val="002C1492"/>
    <w:rsid w:val="002C171A"/>
    <w:rsid w:val="002C2433"/>
    <w:rsid w:val="002C3A46"/>
    <w:rsid w:val="002C4542"/>
    <w:rsid w:val="002C4619"/>
    <w:rsid w:val="002C4C03"/>
    <w:rsid w:val="002C5EC8"/>
    <w:rsid w:val="002C687C"/>
    <w:rsid w:val="002C708F"/>
    <w:rsid w:val="002C77B7"/>
    <w:rsid w:val="002C7B59"/>
    <w:rsid w:val="002C7DF5"/>
    <w:rsid w:val="002D04DD"/>
    <w:rsid w:val="002D1795"/>
    <w:rsid w:val="002D1805"/>
    <w:rsid w:val="002D1D2F"/>
    <w:rsid w:val="002D259E"/>
    <w:rsid w:val="002D2816"/>
    <w:rsid w:val="002D2C9E"/>
    <w:rsid w:val="002D30F1"/>
    <w:rsid w:val="002D3285"/>
    <w:rsid w:val="002D34D4"/>
    <w:rsid w:val="002D3922"/>
    <w:rsid w:val="002D3C3C"/>
    <w:rsid w:val="002D5052"/>
    <w:rsid w:val="002D5B6F"/>
    <w:rsid w:val="002D6987"/>
    <w:rsid w:val="002D6B86"/>
    <w:rsid w:val="002D71B1"/>
    <w:rsid w:val="002D75D2"/>
    <w:rsid w:val="002E0027"/>
    <w:rsid w:val="002E0CF8"/>
    <w:rsid w:val="002E0DFB"/>
    <w:rsid w:val="002E12A7"/>
    <w:rsid w:val="002E1A5E"/>
    <w:rsid w:val="002E22BF"/>
    <w:rsid w:val="002E272F"/>
    <w:rsid w:val="002E2DFC"/>
    <w:rsid w:val="002E2EA5"/>
    <w:rsid w:val="002E2F55"/>
    <w:rsid w:val="002E3B2A"/>
    <w:rsid w:val="002E42B9"/>
    <w:rsid w:val="002E4B35"/>
    <w:rsid w:val="002E4C39"/>
    <w:rsid w:val="002E53F3"/>
    <w:rsid w:val="002E567A"/>
    <w:rsid w:val="002E56E3"/>
    <w:rsid w:val="002E670E"/>
    <w:rsid w:val="002E6A63"/>
    <w:rsid w:val="002E74F4"/>
    <w:rsid w:val="002E7667"/>
    <w:rsid w:val="002E7EED"/>
    <w:rsid w:val="002F0371"/>
    <w:rsid w:val="002F053F"/>
    <w:rsid w:val="002F0B88"/>
    <w:rsid w:val="002F0CCF"/>
    <w:rsid w:val="002F157C"/>
    <w:rsid w:val="002F1BBF"/>
    <w:rsid w:val="002F243A"/>
    <w:rsid w:val="002F2484"/>
    <w:rsid w:val="002F29B2"/>
    <w:rsid w:val="002F3242"/>
    <w:rsid w:val="002F3598"/>
    <w:rsid w:val="002F374E"/>
    <w:rsid w:val="002F4E87"/>
    <w:rsid w:val="002F4F6A"/>
    <w:rsid w:val="002F5400"/>
    <w:rsid w:val="002F56A1"/>
    <w:rsid w:val="002F6411"/>
    <w:rsid w:val="002F7036"/>
    <w:rsid w:val="002F7629"/>
    <w:rsid w:val="002F7B9D"/>
    <w:rsid w:val="002F7F99"/>
    <w:rsid w:val="002F7F9A"/>
    <w:rsid w:val="0030008E"/>
    <w:rsid w:val="0030082C"/>
    <w:rsid w:val="00300A03"/>
    <w:rsid w:val="00300BE9"/>
    <w:rsid w:val="00300C36"/>
    <w:rsid w:val="003010CA"/>
    <w:rsid w:val="0030123F"/>
    <w:rsid w:val="0030169A"/>
    <w:rsid w:val="00301BBA"/>
    <w:rsid w:val="00301E4F"/>
    <w:rsid w:val="00302633"/>
    <w:rsid w:val="00302C60"/>
    <w:rsid w:val="00302CC1"/>
    <w:rsid w:val="00302F37"/>
    <w:rsid w:val="00303459"/>
    <w:rsid w:val="00303B3E"/>
    <w:rsid w:val="00303E8A"/>
    <w:rsid w:val="00304A56"/>
    <w:rsid w:val="00304E3D"/>
    <w:rsid w:val="00304E7C"/>
    <w:rsid w:val="003055C3"/>
    <w:rsid w:val="003056BC"/>
    <w:rsid w:val="003057CA"/>
    <w:rsid w:val="00305FB9"/>
    <w:rsid w:val="00306650"/>
    <w:rsid w:val="00310A2C"/>
    <w:rsid w:val="00310ACC"/>
    <w:rsid w:val="00310CEF"/>
    <w:rsid w:val="003116B2"/>
    <w:rsid w:val="00311A93"/>
    <w:rsid w:val="00312C99"/>
    <w:rsid w:val="00312FB6"/>
    <w:rsid w:val="003132C3"/>
    <w:rsid w:val="003136E5"/>
    <w:rsid w:val="00313701"/>
    <w:rsid w:val="00313AD5"/>
    <w:rsid w:val="00313F14"/>
    <w:rsid w:val="00314AB0"/>
    <w:rsid w:val="00314C0E"/>
    <w:rsid w:val="00314DCE"/>
    <w:rsid w:val="003151C3"/>
    <w:rsid w:val="0031580B"/>
    <w:rsid w:val="00315CE4"/>
    <w:rsid w:val="00316165"/>
    <w:rsid w:val="00316DC3"/>
    <w:rsid w:val="00316E04"/>
    <w:rsid w:val="003171E3"/>
    <w:rsid w:val="0031740F"/>
    <w:rsid w:val="00317B19"/>
    <w:rsid w:val="003200BA"/>
    <w:rsid w:val="00320593"/>
    <w:rsid w:val="00320F24"/>
    <w:rsid w:val="003212C9"/>
    <w:rsid w:val="00321ABB"/>
    <w:rsid w:val="003223B2"/>
    <w:rsid w:val="00322486"/>
    <w:rsid w:val="0032284F"/>
    <w:rsid w:val="00323AF3"/>
    <w:rsid w:val="00323DF6"/>
    <w:rsid w:val="003240A1"/>
    <w:rsid w:val="00324F08"/>
    <w:rsid w:val="00324F1B"/>
    <w:rsid w:val="003253FA"/>
    <w:rsid w:val="00325714"/>
    <w:rsid w:val="003258B1"/>
    <w:rsid w:val="00326163"/>
    <w:rsid w:val="00326270"/>
    <w:rsid w:val="003263D2"/>
    <w:rsid w:val="00326F39"/>
    <w:rsid w:val="003272FD"/>
    <w:rsid w:val="00327606"/>
    <w:rsid w:val="00327772"/>
    <w:rsid w:val="0032791C"/>
    <w:rsid w:val="00327CD6"/>
    <w:rsid w:val="00330848"/>
    <w:rsid w:val="003308F3"/>
    <w:rsid w:val="00330B69"/>
    <w:rsid w:val="00331B84"/>
    <w:rsid w:val="00332187"/>
    <w:rsid w:val="003322AE"/>
    <w:rsid w:val="00332524"/>
    <w:rsid w:val="00332A3E"/>
    <w:rsid w:val="0033361C"/>
    <w:rsid w:val="00333982"/>
    <w:rsid w:val="00333990"/>
    <w:rsid w:val="00333A0F"/>
    <w:rsid w:val="00333A7D"/>
    <w:rsid w:val="00333CC1"/>
    <w:rsid w:val="00334022"/>
    <w:rsid w:val="0033507E"/>
    <w:rsid w:val="00335097"/>
    <w:rsid w:val="00335F5C"/>
    <w:rsid w:val="003365E2"/>
    <w:rsid w:val="003366D4"/>
    <w:rsid w:val="00336C7D"/>
    <w:rsid w:val="00336CE3"/>
    <w:rsid w:val="00336FD1"/>
    <w:rsid w:val="00337046"/>
    <w:rsid w:val="00337B06"/>
    <w:rsid w:val="00337CA9"/>
    <w:rsid w:val="003403FB"/>
    <w:rsid w:val="00340869"/>
    <w:rsid w:val="00340B49"/>
    <w:rsid w:val="00341A30"/>
    <w:rsid w:val="00341C7C"/>
    <w:rsid w:val="00342A54"/>
    <w:rsid w:val="00342E6E"/>
    <w:rsid w:val="0034316F"/>
    <w:rsid w:val="00343F0C"/>
    <w:rsid w:val="003443A9"/>
    <w:rsid w:val="003443B4"/>
    <w:rsid w:val="0034452A"/>
    <w:rsid w:val="00344FBD"/>
    <w:rsid w:val="0034562B"/>
    <w:rsid w:val="0034645B"/>
    <w:rsid w:val="00346707"/>
    <w:rsid w:val="00347189"/>
    <w:rsid w:val="003476ED"/>
    <w:rsid w:val="00347858"/>
    <w:rsid w:val="003500C3"/>
    <w:rsid w:val="0035043D"/>
    <w:rsid w:val="0035052A"/>
    <w:rsid w:val="00350880"/>
    <w:rsid w:val="00350CE7"/>
    <w:rsid w:val="00351321"/>
    <w:rsid w:val="00351969"/>
    <w:rsid w:val="00351FD3"/>
    <w:rsid w:val="003523E5"/>
    <w:rsid w:val="003524DB"/>
    <w:rsid w:val="00352F56"/>
    <w:rsid w:val="003531DF"/>
    <w:rsid w:val="00353214"/>
    <w:rsid w:val="00353219"/>
    <w:rsid w:val="003538E2"/>
    <w:rsid w:val="00353DB0"/>
    <w:rsid w:val="00354565"/>
    <w:rsid w:val="00354603"/>
    <w:rsid w:val="003562A6"/>
    <w:rsid w:val="00356368"/>
    <w:rsid w:val="00356957"/>
    <w:rsid w:val="00356F98"/>
    <w:rsid w:val="003575BA"/>
    <w:rsid w:val="00360811"/>
    <w:rsid w:val="0036105C"/>
    <w:rsid w:val="00361E9A"/>
    <w:rsid w:val="0036393C"/>
    <w:rsid w:val="00366435"/>
    <w:rsid w:val="00366F30"/>
    <w:rsid w:val="003673E8"/>
    <w:rsid w:val="003675C3"/>
    <w:rsid w:val="00367E7B"/>
    <w:rsid w:val="003700EA"/>
    <w:rsid w:val="003705DE"/>
    <w:rsid w:val="0037090A"/>
    <w:rsid w:val="0037099F"/>
    <w:rsid w:val="00370A55"/>
    <w:rsid w:val="003713AF"/>
    <w:rsid w:val="00371D38"/>
    <w:rsid w:val="003724EC"/>
    <w:rsid w:val="003731DC"/>
    <w:rsid w:val="0037452B"/>
    <w:rsid w:val="00374DE8"/>
    <w:rsid w:val="003755B3"/>
    <w:rsid w:val="00375F36"/>
    <w:rsid w:val="00376E5F"/>
    <w:rsid w:val="00376EDD"/>
    <w:rsid w:val="00377344"/>
    <w:rsid w:val="00377417"/>
    <w:rsid w:val="00377522"/>
    <w:rsid w:val="00377D00"/>
    <w:rsid w:val="00380B9F"/>
    <w:rsid w:val="003816CC"/>
    <w:rsid w:val="003818CA"/>
    <w:rsid w:val="003822EA"/>
    <w:rsid w:val="00382779"/>
    <w:rsid w:val="0038384B"/>
    <w:rsid w:val="00383C8A"/>
    <w:rsid w:val="00383EF2"/>
    <w:rsid w:val="003848C8"/>
    <w:rsid w:val="00384F3D"/>
    <w:rsid w:val="00385755"/>
    <w:rsid w:val="00386845"/>
    <w:rsid w:val="00386D5B"/>
    <w:rsid w:val="00387987"/>
    <w:rsid w:val="00387E7A"/>
    <w:rsid w:val="00390A9C"/>
    <w:rsid w:val="00390FE6"/>
    <w:rsid w:val="00391089"/>
    <w:rsid w:val="00391159"/>
    <w:rsid w:val="003916D6"/>
    <w:rsid w:val="00391769"/>
    <w:rsid w:val="00391EDE"/>
    <w:rsid w:val="003922B7"/>
    <w:rsid w:val="00392ABA"/>
    <w:rsid w:val="003948B6"/>
    <w:rsid w:val="00395AB4"/>
    <w:rsid w:val="00395D93"/>
    <w:rsid w:val="0039609D"/>
    <w:rsid w:val="00396F82"/>
    <w:rsid w:val="00397B4B"/>
    <w:rsid w:val="00397E43"/>
    <w:rsid w:val="003A1467"/>
    <w:rsid w:val="003A1C30"/>
    <w:rsid w:val="003A2F02"/>
    <w:rsid w:val="003A38B3"/>
    <w:rsid w:val="003A3BD2"/>
    <w:rsid w:val="003A3CE5"/>
    <w:rsid w:val="003A402A"/>
    <w:rsid w:val="003A4E70"/>
    <w:rsid w:val="003A5410"/>
    <w:rsid w:val="003A580E"/>
    <w:rsid w:val="003A5AD7"/>
    <w:rsid w:val="003A6317"/>
    <w:rsid w:val="003A6630"/>
    <w:rsid w:val="003A6980"/>
    <w:rsid w:val="003A78F8"/>
    <w:rsid w:val="003A7D15"/>
    <w:rsid w:val="003B0776"/>
    <w:rsid w:val="003B0D0C"/>
    <w:rsid w:val="003B1A31"/>
    <w:rsid w:val="003B2B34"/>
    <w:rsid w:val="003B3CF3"/>
    <w:rsid w:val="003B435F"/>
    <w:rsid w:val="003B4525"/>
    <w:rsid w:val="003B4A02"/>
    <w:rsid w:val="003B4E15"/>
    <w:rsid w:val="003B4E31"/>
    <w:rsid w:val="003B508D"/>
    <w:rsid w:val="003B563E"/>
    <w:rsid w:val="003B57B6"/>
    <w:rsid w:val="003B58A1"/>
    <w:rsid w:val="003B58F0"/>
    <w:rsid w:val="003B5D24"/>
    <w:rsid w:val="003B5FE5"/>
    <w:rsid w:val="003B6C5D"/>
    <w:rsid w:val="003B709F"/>
    <w:rsid w:val="003B77F9"/>
    <w:rsid w:val="003B7CEA"/>
    <w:rsid w:val="003C0529"/>
    <w:rsid w:val="003C0E72"/>
    <w:rsid w:val="003C0ECB"/>
    <w:rsid w:val="003C125B"/>
    <w:rsid w:val="003C1A86"/>
    <w:rsid w:val="003C1AA0"/>
    <w:rsid w:val="003C1C78"/>
    <w:rsid w:val="003C221E"/>
    <w:rsid w:val="003C280E"/>
    <w:rsid w:val="003C28FD"/>
    <w:rsid w:val="003C2CD7"/>
    <w:rsid w:val="003C324F"/>
    <w:rsid w:val="003C3B0D"/>
    <w:rsid w:val="003C43CF"/>
    <w:rsid w:val="003C5DF6"/>
    <w:rsid w:val="003C615C"/>
    <w:rsid w:val="003C617A"/>
    <w:rsid w:val="003C6686"/>
    <w:rsid w:val="003C68C6"/>
    <w:rsid w:val="003C7519"/>
    <w:rsid w:val="003C7E32"/>
    <w:rsid w:val="003D032A"/>
    <w:rsid w:val="003D10A8"/>
    <w:rsid w:val="003D1AA6"/>
    <w:rsid w:val="003D27CC"/>
    <w:rsid w:val="003D2B2C"/>
    <w:rsid w:val="003D330D"/>
    <w:rsid w:val="003D39D7"/>
    <w:rsid w:val="003D4424"/>
    <w:rsid w:val="003D5719"/>
    <w:rsid w:val="003D5966"/>
    <w:rsid w:val="003D63BE"/>
    <w:rsid w:val="003D6BAE"/>
    <w:rsid w:val="003D7001"/>
    <w:rsid w:val="003D781C"/>
    <w:rsid w:val="003D7F2E"/>
    <w:rsid w:val="003E0BC0"/>
    <w:rsid w:val="003E10D3"/>
    <w:rsid w:val="003E10FF"/>
    <w:rsid w:val="003E144F"/>
    <w:rsid w:val="003E24BE"/>
    <w:rsid w:val="003E2507"/>
    <w:rsid w:val="003E2918"/>
    <w:rsid w:val="003E2941"/>
    <w:rsid w:val="003E2D21"/>
    <w:rsid w:val="003E304B"/>
    <w:rsid w:val="003E30DB"/>
    <w:rsid w:val="003E4F35"/>
    <w:rsid w:val="003E5465"/>
    <w:rsid w:val="003E5B38"/>
    <w:rsid w:val="003E5B3A"/>
    <w:rsid w:val="003E6126"/>
    <w:rsid w:val="003E6839"/>
    <w:rsid w:val="003E6C63"/>
    <w:rsid w:val="003E6E23"/>
    <w:rsid w:val="003E7464"/>
    <w:rsid w:val="003E7761"/>
    <w:rsid w:val="003E7AD0"/>
    <w:rsid w:val="003E7ED5"/>
    <w:rsid w:val="003F045A"/>
    <w:rsid w:val="003F0B10"/>
    <w:rsid w:val="003F0B7F"/>
    <w:rsid w:val="003F0CF0"/>
    <w:rsid w:val="003F0D0F"/>
    <w:rsid w:val="003F19C0"/>
    <w:rsid w:val="003F1A97"/>
    <w:rsid w:val="003F1D39"/>
    <w:rsid w:val="003F1D50"/>
    <w:rsid w:val="003F261E"/>
    <w:rsid w:val="003F2FCF"/>
    <w:rsid w:val="003F30C8"/>
    <w:rsid w:val="003F3891"/>
    <w:rsid w:val="003F3C64"/>
    <w:rsid w:val="003F4C36"/>
    <w:rsid w:val="003F4E87"/>
    <w:rsid w:val="003F5132"/>
    <w:rsid w:val="003F6186"/>
    <w:rsid w:val="003F65AB"/>
    <w:rsid w:val="003F6BE4"/>
    <w:rsid w:val="003F7209"/>
    <w:rsid w:val="003F7C62"/>
    <w:rsid w:val="0040095A"/>
    <w:rsid w:val="0040123D"/>
    <w:rsid w:val="00401ED7"/>
    <w:rsid w:val="0040254A"/>
    <w:rsid w:val="00402623"/>
    <w:rsid w:val="00403537"/>
    <w:rsid w:val="0040376B"/>
    <w:rsid w:val="00404B6B"/>
    <w:rsid w:val="00404EEB"/>
    <w:rsid w:val="00406A13"/>
    <w:rsid w:val="00406E1B"/>
    <w:rsid w:val="00407177"/>
    <w:rsid w:val="00410905"/>
    <w:rsid w:val="004126C7"/>
    <w:rsid w:val="00413002"/>
    <w:rsid w:val="00413193"/>
    <w:rsid w:val="00413A4B"/>
    <w:rsid w:val="004140C1"/>
    <w:rsid w:val="004144B0"/>
    <w:rsid w:val="00414B6D"/>
    <w:rsid w:val="00414FD6"/>
    <w:rsid w:val="004153A0"/>
    <w:rsid w:val="0041572C"/>
    <w:rsid w:val="00415ED5"/>
    <w:rsid w:val="00416106"/>
    <w:rsid w:val="00416596"/>
    <w:rsid w:val="00417503"/>
    <w:rsid w:val="004204F2"/>
    <w:rsid w:val="00420A47"/>
    <w:rsid w:val="00420D63"/>
    <w:rsid w:val="00420FB8"/>
    <w:rsid w:val="004211E1"/>
    <w:rsid w:val="0042197E"/>
    <w:rsid w:val="00421B24"/>
    <w:rsid w:val="0042258E"/>
    <w:rsid w:val="00422E88"/>
    <w:rsid w:val="00423AFD"/>
    <w:rsid w:val="00424817"/>
    <w:rsid w:val="004250D7"/>
    <w:rsid w:val="004250EA"/>
    <w:rsid w:val="00425A7A"/>
    <w:rsid w:val="00425CE0"/>
    <w:rsid w:val="00425E63"/>
    <w:rsid w:val="00426729"/>
    <w:rsid w:val="00426C68"/>
    <w:rsid w:val="004277E1"/>
    <w:rsid w:val="00427A89"/>
    <w:rsid w:val="00427C97"/>
    <w:rsid w:val="004306CC"/>
    <w:rsid w:val="004309A5"/>
    <w:rsid w:val="00430D8E"/>
    <w:rsid w:val="0043110E"/>
    <w:rsid w:val="0043217A"/>
    <w:rsid w:val="00432695"/>
    <w:rsid w:val="00432A22"/>
    <w:rsid w:val="00432DDA"/>
    <w:rsid w:val="00432F9A"/>
    <w:rsid w:val="004332CA"/>
    <w:rsid w:val="00433C90"/>
    <w:rsid w:val="004341F0"/>
    <w:rsid w:val="0043459F"/>
    <w:rsid w:val="004345AD"/>
    <w:rsid w:val="00434A61"/>
    <w:rsid w:val="00434D32"/>
    <w:rsid w:val="0043586D"/>
    <w:rsid w:val="00435AC1"/>
    <w:rsid w:val="00435D27"/>
    <w:rsid w:val="00436328"/>
    <w:rsid w:val="00436AF1"/>
    <w:rsid w:val="00436CF4"/>
    <w:rsid w:val="00437FE6"/>
    <w:rsid w:val="0044009A"/>
    <w:rsid w:val="00440124"/>
    <w:rsid w:val="00440382"/>
    <w:rsid w:val="00440995"/>
    <w:rsid w:val="00440FA4"/>
    <w:rsid w:val="004417FE"/>
    <w:rsid w:val="00442DF6"/>
    <w:rsid w:val="00444288"/>
    <w:rsid w:val="004444E1"/>
    <w:rsid w:val="004452EC"/>
    <w:rsid w:val="0044551B"/>
    <w:rsid w:val="00445BD4"/>
    <w:rsid w:val="00445C7E"/>
    <w:rsid w:val="00445E5F"/>
    <w:rsid w:val="0044651B"/>
    <w:rsid w:val="004467FE"/>
    <w:rsid w:val="00446E95"/>
    <w:rsid w:val="00446FA3"/>
    <w:rsid w:val="00447D23"/>
    <w:rsid w:val="0045029C"/>
    <w:rsid w:val="00450570"/>
    <w:rsid w:val="00450BB4"/>
    <w:rsid w:val="00452346"/>
    <w:rsid w:val="004527CC"/>
    <w:rsid w:val="004531FC"/>
    <w:rsid w:val="00453393"/>
    <w:rsid w:val="00453844"/>
    <w:rsid w:val="00455220"/>
    <w:rsid w:val="004555B4"/>
    <w:rsid w:val="0045580C"/>
    <w:rsid w:val="00455B96"/>
    <w:rsid w:val="0045669C"/>
    <w:rsid w:val="00456EB1"/>
    <w:rsid w:val="00456F36"/>
    <w:rsid w:val="00457095"/>
    <w:rsid w:val="0045738E"/>
    <w:rsid w:val="00457668"/>
    <w:rsid w:val="00457FE3"/>
    <w:rsid w:val="0046037D"/>
    <w:rsid w:val="00460D4A"/>
    <w:rsid w:val="004610F3"/>
    <w:rsid w:val="004618C3"/>
    <w:rsid w:val="00461922"/>
    <w:rsid w:val="00461B6A"/>
    <w:rsid w:val="00461DBD"/>
    <w:rsid w:val="00461ECF"/>
    <w:rsid w:val="004629EE"/>
    <w:rsid w:val="00462C0A"/>
    <w:rsid w:val="0046312D"/>
    <w:rsid w:val="00463677"/>
    <w:rsid w:val="00463EA4"/>
    <w:rsid w:val="00463FA1"/>
    <w:rsid w:val="0046560B"/>
    <w:rsid w:val="00466BDF"/>
    <w:rsid w:val="00467210"/>
    <w:rsid w:val="00467DD1"/>
    <w:rsid w:val="0047057A"/>
    <w:rsid w:val="0047175C"/>
    <w:rsid w:val="0047211E"/>
    <w:rsid w:val="0047287F"/>
    <w:rsid w:val="004729C5"/>
    <w:rsid w:val="004730B5"/>
    <w:rsid w:val="004732C5"/>
    <w:rsid w:val="00473663"/>
    <w:rsid w:val="00473E60"/>
    <w:rsid w:val="00474A10"/>
    <w:rsid w:val="00474FAF"/>
    <w:rsid w:val="0047517E"/>
    <w:rsid w:val="00475756"/>
    <w:rsid w:val="00475A26"/>
    <w:rsid w:val="00475E61"/>
    <w:rsid w:val="00476C5E"/>
    <w:rsid w:val="00476C8A"/>
    <w:rsid w:val="00477142"/>
    <w:rsid w:val="00477173"/>
    <w:rsid w:val="0047747D"/>
    <w:rsid w:val="00480323"/>
    <w:rsid w:val="00480479"/>
    <w:rsid w:val="00480CB1"/>
    <w:rsid w:val="004813A1"/>
    <w:rsid w:val="00481B69"/>
    <w:rsid w:val="00482A1A"/>
    <w:rsid w:val="0048380D"/>
    <w:rsid w:val="00483E1C"/>
    <w:rsid w:val="00484432"/>
    <w:rsid w:val="0048577A"/>
    <w:rsid w:val="004862E4"/>
    <w:rsid w:val="00486443"/>
    <w:rsid w:val="00486670"/>
    <w:rsid w:val="00486A07"/>
    <w:rsid w:val="00486C58"/>
    <w:rsid w:val="00487353"/>
    <w:rsid w:val="0048749A"/>
    <w:rsid w:val="004878BD"/>
    <w:rsid w:val="004879C4"/>
    <w:rsid w:val="004912A9"/>
    <w:rsid w:val="00491D6F"/>
    <w:rsid w:val="004922C1"/>
    <w:rsid w:val="004940FC"/>
    <w:rsid w:val="00494A1F"/>
    <w:rsid w:val="00495401"/>
    <w:rsid w:val="00495709"/>
    <w:rsid w:val="004959E1"/>
    <w:rsid w:val="00495DBF"/>
    <w:rsid w:val="0049602B"/>
    <w:rsid w:val="0049632D"/>
    <w:rsid w:val="004966A5"/>
    <w:rsid w:val="00496CD9"/>
    <w:rsid w:val="0049760A"/>
    <w:rsid w:val="004A024A"/>
    <w:rsid w:val="004A027E"/>
    <w:rsid w:val="004A03F3"/>
    <w:rsid w:val="004A0516"/>
    <w:rsid w:val="004A09AE"/>
    <w:rsid w:val="004A0E4A"/>
    <w:rsid w:val="004A1CA9"/>
    <w:rsid w:val="004A2902"/>
    <w:rsid w:val="004A301B"/>
    <w:rsid w:val="004A31F7"/>
    <w:rsid w:val="004A33F4"/>
    <w:rsid w:val="004A3C54"/>
    <w:rsid w:val="004A3D17"/>
    <w:rsid w:val="004A42F5"/>
    <w:rsid w:val="004A532A"/>
    <w:rsid w:val="004A5E2C"/>
    <w:rsid w:val="004A5F97"/>
    <w:rsid w:val="004A652C"/>
    <w:rsid w:val="004A6F79"/>
    <w:rsid w:val="004A71CB"/>
    <w:rsid w:val="004A71EE"/>
    <w:rsid w:val="004A72A5"/>
    <w:rsid w:val="004A7894"/>
    <w:rsid w:val="004A7C09"/>
    <w:rsid w:val="004A7D5B"/>
    <w:rsid w:val="004B1B67"/>
    <w:rsid w:val="004B2432"/>
    <w:rsid w:val="004B399F"/>
    <w:rsid w:val="004B39D3"/>
    <w:rsid w:val="004B3A5C"/>
    <w:rsid w:val="004B3F63"/>
    <w:rsid w:val="004B4BDC"/>
    <w:rsid w:val="004B58A6"/>
    <w:rsid w:val="004B59EF"/>
    <w:rsid w:val="004B5A98"/>
    <w:rsid w:val="004B5AAC"/>
    <w:rsid w:val="004B5BA7"/>
    <w:rsid w:val="004B5F41"/>
    <w:rsid w:val="004B7C5B"/>
    <w:rsid w:val="004C1AAD"/>
    <w:rsid w:val="004C1CE0"/>
    <w:rsid w:val="004C1FC4"/>
    <w:rsid w:val="004C20D6"/>
    <w:rsid w:val="004C2969"/>
    <w:rsid w:val="004C3465"/>
    <w:rsid w:val="004C4438"/>
    <w:rsid w:val="004C4E13"/>
    <w:rsid w:val="004C57E9"/>
    <w:rsid w:val="004C58CA"/>
    <w:rsid w:val="004C5BE4"/>
    <w:rsid w:val="004C5D1B"/>
    <w:rsid w:val="004C5D71"/>
    <w:rsid w:val="004C741E"/>
    <w:rsid w:val="004D03E2"/>
    <w:rsid w:val="004D0668"/>
    <w:rsid w:val="004D0AEA"/>
    <w:rsid w:val="004D1AF0"/>
    <w:rsid w:val="004D1B2F"/>
    <w:rsid w:val="004D1D64"/>
    <w:rsid w:val="004D1E3E"/>
    <w:rsid w:val="004D265E"/>
    <w:rsid w:val="004D2D58"/>
    <w:rsid w:val="004D3936"/>
    <w:rsid w:val="004D3AFF"/>
    <w:rsid w:val="004D3BF5"/>
    <w:rsid w:val="004D3DC8"/>
    <w:rsid w:val="004D4377"/>
    <w:rsid w:val="004D46C4"/>
    <w:rsid w:val="004D488C"/>
    <w:rsid w:val="004D4AA3"/>
    <w:rsid w:val="004D4C37"/>
    <w:rsid w:val="004D513A"/>
    <w:rsid w:val="004D5E3A"/>
    <w:rsid w:val="004D66C8"/>
    <w:rsid w:val="004D68DF"/>
    <w:rsid w:val="004D6FB4"/>
    <w:rsid w:val="004D7607"/>
    <w:rsid w:val="004D7796"/>
    <w:rsid w:val="004D7F39"/>
    <w:rsid w:val="004E05FB"/>
    <w:rsid w:val="004E0A4D"/>
    <w:rsid w:val="004E1E24"/>
    <w:rsid w:val="004E1EC0"/>
    <w:rsid w:val="004E22B8"/>
    <w:rsid w:val="004E2F73"/>
    <w:rsid w:val="004E2FB2"/>
    <w:rsid w:val="004E327D"/>
    <w:rsid w:val="004E3767"/>
    <w:rsid w:val="004E3D7E"/>
    <w:rsid w:val="004E4554"/>
    <w:rsid w:val="004E4965"/>
    <w:rsid w:val="004E4ACC"/>
    <w:rsid w:val="004E4AD4"/>
    <w:rsid w:val="004E4D5B"/>
    <w:rsid w:val="004E5DC0"/>
    <w:rsid w:val="004E5FAB"/>
    <w:rsid w:val="004E61E5"/>
    <w:rsid w:val="004E62B5"/>
    <w:rsid w:val="004E6727"/>
    <w:rsid w:val="004E7772"/>
    <w:rsid w:val="004E789C"/>
    <w:rsid w:val="004E7A63"/>
    <w:rsid w:val="004F0057"/>
    <w:rsid w:val="004F03E5"/>
    <w:rsid w:val="004F04B5"/>
    <w:rsid w:val="004F0725"/>
    <w:rsid w:val="004F0DAE"/>
    <w:rsid w:val="004F0F3A"/>
    <w:rsid w:val="004F11D2"/>
    <w:rsid w:val="004F27F8"/>
    <w:rsid w:val="004F281C"/>
    <w:rsid w:val="004F29E9"/>
    <w:rsid w:val="004F3234"/>
    <w:rsid w:val="004F3BD8"/>
    <w:rsid w:val="004F41C6"/>
    <w:rsid w:val="004F5623"/>
    <w:rsid w:val="004F63AB"/>
    <w:rsid w:val="004F66F3"/>
    <w:rsid w:val="004F737C"/>
    <w:rsid w:val="004F7882"/>
    <w:rsid w:val="004F79BF"/>
    <w:rsid w:val="004F79E1"/>
    <w:rsid w:val="004F7A38"/>
    <w:rsid w:val="00500E9C"/>
    <w:rsid w:val="0050102E"/>
    <w:rsid w:val="0050185B"/>
    <w:rsid w:val="0050367A"/>
    <w:rsid w:val="0050368A"/>
    <w:rsid w:val="005043A6"/>
    <w:rsid w:val="00504E33"/>
    <w:rsid w:val="005059DD"/>
    <w:rsid w:val="00505B78"/>
    <w:rsid w:val="00505D30"/>
    <w:rsid w:val="00505DE4"/>
    <w:rsid w:val="0050711F"/>
    <w:rsid w:val="00507990"/>
    <w:rsid w:val="005079D4"/>
    <w:rsid w:val="00507A78"/>
    <w:rsid w:val="00511180"/>
    <w:rsid w:val="005112A3"/>
    <w:rsid w:val="00511F1A"/>
    <w:rsid w:val="0051213C"/>
    <w:rsid w:val="0051269E"/>
    <w:rsid w:val="005132AA"/>
    <w:rsid w:val="005134AA"/>
    <w:rsid w:val="0051376E"/>
    <w:rsid w:val="005137FC"/>
    <w:rsid w:val="00513999"/>
    <w:rsid w:val="005140BD"/>
    <w:rsid w:val="005146A4"/>
    <w:rsid w:val="00515622"/>
    <w:rsid w:val="005156C2"/>
    <w:rsid w:val="00516107"/>
    <w:rsid w:val="0051661C"/>
    <w:rsid w:val="0051771F"/>
    <w:rsid w:val="005178CD"/>
    <w:rsid w:val="00517ADD"/>
    <w:rsid w:val="00517D49"/>
    <w:rsid w:val="00520127"/>
    <w:rsid w:val="00520A0A"/>
    <w:rsid w:val="00520A40"/>
    <w:rsid w:val="00520DD9"/>
    <w:rsid w:val="00521647"/>
    <w:rsid w:val="00521FAF"/>
    <w:rsid w:val="005223C2"/>
    <w:rsid w:val="005224B0"/>
    <w:rsid w:val="00522B89"/>
    <w:rsid w:val="00522EBB"/>
    <w:rsid w:val="005230C9"/>
    <w:rsid w:val="005245F5"/>
    <w:rsid w:val="00525701"/>
    <w:rsid w:val="00525ADD"/>
    <w:rsid w:val="00525AF4"/>
    <w:rsid w:val="00526AF4"/>
    <w:rsid w:val="005274AD"/>
    <w:rsid w:val="00527882"/>
    <w:rsid w:val="00527DC2"/>
    <w:rsid w:val="00530692"/>
    <w:rsid w:val="00530D5B"/>
    <w:rsid w:val="005313CC"/>
    <w:rsid w:val="005316F0"/>
    <w:rsid w:val="00531766"/>
    <w:rsid w:val="00531882"/>
    <w:rsid w:val="00532054"/>
    <w:rsid w:val="00532F44"/>
    <w:rsid w:val="00533675"/>
    <w:rsid w:val="005342E2"/>
    <w:rsid w:val="005348CB"/>
    <w:rsid w:val="005353B5"/>
    <w:rsid w:val="00536183"/>
    <w:rsid w:val="0053717E"/>
    <w:rsid w:val="005376B1"/>
    <w:rsid w:val="005377F8"/>
    <w:rsid w:val="00537CBA"/>
    <w:rsid w:val="005403ED"/>
    <w:rsid w:val="00540A7A"/>
    <w:rsid w:val="00540EC4"/>
    <w:rsid w:val="00540FA6"/>
    <w:rsid w:val="005414E8"/>
    <w:rsid w:val="0054158D"/>
    <w:rsid w:val="00541FB0"/>
    <w:rsid w:val="00542024"/>
    <w:rsid w:val="00542749"/>
    <w:rsid w:val="005433C6"/>
    <w:rsid w:val="00543FDF"/>
    <w:rsid w:val="005449C2"/>
    <w:rsid w:val="00545614"/>
    <w:rsid w:val="00546F0F"/>
    <w:rsid w:val="00546F8F"/>
    <w:rsid w:val="00546FB9"/>
    <w:rsid w:val="00547668"/>
    <w:rsid w:val="00547D40"/>
    <w:rsid w:val="00547F39"/>
    <w:rsid w:val="00551B43"/>
    <w:rsid w:val="005521E2"/>
    <w:rsid w:val="00552430"/>
    <w:rsid w:val="0055320A"/>
    <w:rsid w:val="00553A97"/>
    <w:rsid w:val="00553B45"/>
    <w:rsid w:val="00553C68"/>
    <w:rsid w:val="00554D5A"/>
    <w:rsid w:val="00554DAE"/>
    <w:rsid w:val="00554E55"/>
    <w:rsid w:val="0055529D"/>
    <w:rsid w:val="005555CD"/>
    <w:rsid w:val="00555779"/>
    <w:rsid w:val="00555C0A"/>
    <w:rsid w:val="00556264"/>
    <w:rsid w:val="00556DB2"/>
    <w:rsid w:val="005606BD"/>
    <w:rsid w:val="00560A61"/>
    <w:rsid w:val="00561593"/>
    <w:rsid w:val="00561AD0"/>
    <w:rsid w:val="00561D1E"/>
    <w:rsid w:val="0056206A"/>
    <w:rsid w:val="005621C1"/>
    <w:rsid w:val="005629F2"/>
    <w:rsid w:val="00562CEB"/>
    <w:rsid w:val="0056424A"/>
    <w:rsid w:val="00565003"/>
    <w:rsid w:val="00565074"/>
    <w:rsid w:val="005653F7"/>
    <w:rsid w:val="00565765"/>
    <w:rsid w:val="00565B7D"/>
    <w:rsid w:val="005660E8"/>
    <w:rsid w:val="00566630"/>
    <w:rsid w:val="00566B31"/>
    <w:rsid w:val="00566D45"/>
    <w:rsid w:val="005672A9"/>
    <w:rsid w:val="005676FF"/>
    <w:rsid w:val="00570342"/>
    <w:rsid w:val="00571013"/>
    <w:rsid w:val="005710C9"/>
    <w:rsid w:val="00571133"/>
    <w:rsid w:val="005715BA"/>
    <w:rsid w:val="005723BD"/>
    <w:rsid w:val="005726A5"/>
    <w:rsid w:val="00574184"/>
    <w:rsid w:val="005741BF"/>
    <w:rsid w:val="005747E0"/>
    <w:rsid w:val="0057525A"/>
    <w:rsid w:val="00575BAC"/>
    <w:rsid w:val="00576241"/>
    <w:rsid w:val="0057743E"/>
    <w:rsid w:val="00580564"/>
    <w:rsid w:val="00580891"/>
    <w:rsid w:val="00581976"/>
    <w:rsid w:val="00581C2D"/>
    <w:rsid w:val="00582058"/>
    <w:rsid w:val="00582EBB"/>
    <w:rsid w:val="00583038"/>
    <w:rsid w:val="0058360E"/>
    <w:rsid w:val="00583D68"/>
    <w:rsid w:val="00584CF5"/>
    <w:rsid w:val="00584F3F"/>
    <w:rsid w:val="005852A6"/>
    <w:rsid w:val="00585D61"/>
    <w:rsid w:val="00586B2D"/>
    <w:rsid w:val="00587645"/>
    <w:rsid w:val="005904B9"/>
    <w:rsid w:val="00590539"/>
    <w:rsid w:val="005905AD"/>
    <w:rsid w:val="00590814"/>
    <w:rsid w:val="00590F9A"/>
    <w:rsid w:val="005912FA"/>
    <w:rsid w:val="00591EF9"/>
    <w:rsid w:val="00592051"/>
    <w:rsid w:val="00592E37"/>
    <w:rsid w:val="00592E69"/>
    <w:rsid w:val="0059308A"/>
    <w:rsid w:val="00593262"/>
    <w:rsid w:val="0059459C"/>
    <w:rsid w:val="00594AAE"/>
    <w:rsid w:val="00595C67"/>
    <w:rsid w:val="0059629B"/>
    <w:rsid w:val="0059791F"/>
    <w:rsid w:val="00597AEF"/>
    <w:rsid w:val="00597C06"/>
    <w:rsid w:val="005A03D7"/>
    <w:rsid w:val="005A04F5"/>
    <w:rsid w:val="005A098F"/>
    <w:rsid w:val="005A1337"/>
    <w:rsid w:val="005A136C"/>
    <w:rsid w:val="005A1764"/>
    <w:rsid w:val="005A19C7"/>
    <w:rsid w:val="005A1C52"/>
    <w:rsid w:val="005A217E"/>
    <w:rsid w:val="005A2455"/>
    <w:rsid w:val="005A2973"/>
    <w:rsid w:val="005A34F3"/>
    <w:rsid w:val="005A3B18"/>
    <w:rsid w:val="005A3DC7"/>
    <w:rsid w:val="005A569B"/>
    <w:rsid w:val="005A584B"/>
    <w:rsid w:val="005A5C88"/>
    <w:rsid w:val="005A70F1"/>
    <w:rsid w:val="005A73F5"/>
    <w:rsid w:val="005A7C76"/>
    <w:rsid w:val="005A7E30"/>
    <w:rsid w:val="005B085C"/>
    <w:rsid w:val="005B140E"/>
    <w:rsid w:val="005B17FA"/>
    <w:rsid w:val="005B182C"/>
    <w:rsid w:val="005B1D64"/>
    <w:rsid w:val="005B200C"/>
    <w:rsid w:val="005B20BB"/>
    <w:rsid w:val="005B24D3"/>
    <w:rsid w:val="005B25B9"/>
    <w:rsid w:val="005B25F6"/>
    <w:rsid w:val="005B2F5D"/>
    <w:rsid w:val="005B391F"/>
    <w:rsid w:val="005B39BB"/>
    <w:rsid w:val="005B41DD"/>
    <w:rsid w:val="005B4370"/>
    <w:rsid w:val="005B440E"/>
    <w:rsid w:val="005B446D"/>
    <w:rsid w:val="005B4594"/>
    <w:rsid w:val="005B473D"/>
    <w:rsid w:val="005B4F1C"/>
    <w:rsid w:val="005B51F7"/>
    <w:rsid w:val="005B55A2"/>
    <w:rsid w:val="005B69CD"/>
    <w:rsid w:val="005B6A48"/>
    <w:rsid w:val="005B6E4C"/>
    <w:rsid w:val="005B70EA"/>
    <w:rsid w:val="005B7553"/>
    <w:rsid w:val="005B7568"/>
    <w:rsid w:val="005B78FB"/>
    <w:rsid w:val="005B7D17"/>
    <w:rsid w:val="005B7E47"/>
    <w:rsid w:val="005C05D7"/>
    <w:rsid w:val="005C0D21"/>
    <w:rsid w:val="005C10FA"/>
    <w:rsid w:val="005C1143"/>
    <w:rsid w:val="005C137E"/>
    <w:rsid w:val="005C159D"/>
    <w:rsid w:val="005C1B81"/>
    <w:rsid w:val="005C2789"/>
    <w:rsid w:val="005C3ECC"/>
    <w:rsid w:val="005C47B3"/>
    <w:rsid w:val="005C4876"/>
    <w:rsid w:val="005C5889"/>
    <w:rsid w:val="005C5DC7"/>
    <w:rsid w:val="005C5EC7"/>
    <w:rsid w:val="005C64B3"/>
    <w:rsid w:val="005C658E"/>
    <w:rsid w:val="005C6998"/>
    <w:rsid w:val="005C6D68"/>
    <w:rsid w:val="005C6E1F"/>
    <w:rsid w:val="005C738B"/>
    <w:rsid w:val="005C7519"/>
    <w:rsid w:val="005C767F"/>
    <w:rsid w:val="005C7732"/>
    <w:rsid w:val="005C7FF6"/>
    <w:rsid w:val="005C7FF8"/>
    <w:rsid w:val="005D047E"/>
    <w:rsid w:val="005D07B3"/>
    <w:rsid w:val="005D0AE7"/>
    <w:rsid w:val="005D0B35"/>
    <w:rsid w:val="005D0BE3"/>
    <w:rsid w:val="005D0D04"/>
    <w:rsid w:val="005D0D89"/>
    <w:rsid w:val="005D2120"/>
    <w:rsid w:val="005D27B6"/>
    <w:rsid w:val="005D330C"/>
    <w:rsid w:val="005D402D"/>
    <w:rsid w:val="005D4C38"/>
    <w:rsid w:val="005D52F1"/>
    <w:rsid w:val="005D5650"/>
    <w:rsid w:val="005D6210"/>
    <w:rsid w:val="005D62A6"/>
    <w:rsid w:val="005D6417"/>
    <w:rsid w:val="005D68D7"/>
    <w:rsid w:val="005D6CA0"/>
    <w:rsid w:val="005D7690"/>
    <w:rsid w:val="005D7A4B"/>
    <w:rsid w:val="005E018A"/>
    <w:rsid w:val="005E0A12"/>
    <w:rsid w:val="005E0C1F"/>
    <w:rsid w:val="005E0F80"/>
    <w:rsid w:val="005E1031"/>
    <w:rsid w:val="005E1422"/>
    <w:rsid w:val="005E21A1"/>
    <w:rsid w:val="005E319D"/>
    <w:rsid w:val="005E3263"/>
    <w:rsid w:val="005E3653"/>
    <w:rsid w:val="005E3D63"/>
    <w:rsid w:val="005E56FB"/>
    <w:rsid w:val="005E5B19"/>
    <w:rsid w:val="005E5C9C"/>
    <w:rsid w:val="005E6609"/>
    <w:rsid w:val="005E692C"/>
    <w:rsid w:val="005E6D52"/>
    <w:rsid w:val="005E6D66"/>
    <w:rsid w:val="005E7093"/>
    <w:rsid w:val="005E786C"/>
    <w:rsid w:val="005E7DDA"/>
    <w:rsid w:val="005F0663"/>
    <w:rsid w:val="005F0D0D"/>
    <w:rsid w:val="005F1181"/>
    <w:rsid w:val="005F1765"/>
    <w:rsid w:val="005F1A00"/>
    <w:rsid w:val="005F1ED8"/>
    <w:rsid w:val="005F1FE1"/>
    <w:rsid w:val="005F2D1A"/>
    <w:rsid w:val="005F2FDD"/>
    <w:rsid w:val="005F2FF6"/>
    <w:rsid w:val="005F3064"/>
    <w:rsid w:val="005F31EB"/>
    <w:rsid w:val="005F326C"/>
    <w:rsid w:val="005F34B0"/>
    <w:rsid w:val="005F3AA9"/>
    <w:rsid w:val="005F3E41"/>
    <w:rsid w:val="005F4396"/>
    <w:rsid w:val="005F5414"/>
    <w:rsid w:val="005F54CB"/>
    <w:rsid w:val="005F5D77"/>
    <w:rsid w:val="005F63CA"/>
    <w:rsid w:val="005F6475"/>
    <w:rsid w:val="005F6854"/>
    <w:rsid w:val="005F70E3"/>
    <w:rsid w:val="005F7100"/>
    <w:rsid w:val="006006AF"/>
    <w:rsid w:val="00600D17"/>
    <w:rsid w:val="00600E77"/>
    <w:rsid w:val="006010DE"/>
    <w:rsid w:val="006010F5"/>
    <w:rsid w:val="0060141B"/>
    <w:rsid w:val="00601AD1"/>
    <w:rsid w:val="00601B9C"/>
    <w:rsid w:val="006027E2"/>
    <w:rsid w:val="00602F5F"/>
    <w:rsid w:val="00603B05"/>
    <w:rsid w:val="006040C3"/>
    <w:rsid w:val="0060413D"/>
    <w:rsid w:val="00604419"/>
    <w:rsid w:val="006044CD"/>
    <w:rsid w:val="00604A59"/>
    <w:rsid w:val="00605F27"/>
    <w:rsid w:val="00606C90"/>
    <w:rsid w:val="006074C7"/>
    <w:rsid w:val="00607728"/>
    <w:rsid w:val="00607743"/>
    <w:rsid w:val="006078B3"/>
    <w:rsid w:val="0061033F"/>
    <w:rsid w:val="006103A5"/>
    <w:rsid w:val="00610941"/>
    <w:rsid w:val="00610B36"/>
    <w:rsid w:val="006110CA"/>
    <w:rsid w:val="00611B86"/>
    <w:rsid w:val="00611F19"/>
    <w:rsid w:val="00613C61"/>
    <w:rsid w:val="00614159"/>
    <w:rsid w:val="006146DE"/>
    <w:rsid w:val="00614781"/>
    <w:rsid w:val="00616468"/>
    <w:rsid w:val="00616BFC"/>
    <w:rsid w:val="00616DC4"/>
    <w:rsid w:val="00617650"/>
    <w:rsid w:val="00617D99"/>
    <w:rsid w:val="006203EF"/>
    <w:rsid w:val="006217A9"/>
    <w:rsid w:val="00621923"/>
    <w:rsid w:val="00621D43"/>
    <w:rsid w:val="00621E05"/>
    <w:rsid w:val="00622332"/>
    <w:rsid w:val="0062343E"/>
    <w:rsid w:val="0062347A"/>
    <w:rsid w:val="0062406A"/>
    <w:rsid w:val="00624242"/>
    <w:rsid w:val="00624780"/>
    <w:rsid w:val="006247B0"/>
    <w:rsid w:val="00624899"/>
    <w:rsid w:val="006251E2"/>
    <w:rsid w:val="006253BA"/>
    <w:rsid w:val="006258C8"/>
    <w:rsid w:val="006259E3"/>
    <w:rsid w:val="00625D6B"/>
    <w:rsid w:val="00626021"/>
    <w:rsid w:val="006260C6"/>
    <w:rsid w:val="00626524"/>
    <w:rsid w:val="00626E3D"/>
    <w:rsid w:val="00627275"/>
    <w:rsid w:val="00627CA6"/>
    <w:rsid w:val="0063045E"/>
    <w:rsid w:val="00630610"/>
    <w:rsid w:val="00630E75"/>
    <w:rsid w:val="00631C6D"/>
    <w:rsid w:val="00631D12"/>
    <w:rsid w:val="00631FD1"/>
    <w:rsid w:val="006320F6"/>
    <w:rsid w:val="0063296C"/>
    <w:rsid w:val="006331BE"/>
    <w:rsid w:val="00633271"/>
    <w:rsid w:val="0063372A"/>
    <w:rsid w:val="00633A68"/>
    <w:rsid w:val="00634DA4"/>
    <w:rsid w:val="00634DBD"/>
    <w:rsid w:val="006359AF"/>
    <w:rsid w:val="00636280"/>
    <w:rsid w:val="0063647F"/>
    <w:rsid w:val="006365E9"/>
    <w:rsid w:val="00636E47"/>
    <w:rsid w:val="00637098"/>
    <w:rsid w:val="00637537"/>
    <w:rsid w:val="006376C7"/>
    <w:rsid w:val="00637F94"/>
    <w:rsid w:val="006402C6"/>
    <w:rsid w:val="00640B36"/>
    <w:rsid w:val="006411E2"/>
    <w:rsid w:val="006419B7"/>
    <w:rsid w:val="006427CA"/>
    <w:rsid w:val="00642CAD"/>
    <w:rsid w:val="00643016"/>
    <w:rsid w:val="006434F6"/>
    <w:rsid w:val="00643AB1"/>
    <w:rsid w:val="006443C0"/>
    <w:rsid w:val="00644827"/>
    <w:rsid w:val="00645483"/>
    <w:rsid w:val="00647039"/>
    <w:rsid w:val="00650104"/>
    <w:rsid w:val="006501CE"/>
    <w:rsid w:val="006507BD"/>
    <w:rsid w:val="00650836"/>
    <w:rsid w:val="00650AF1"/>
    <w:rsid w:val="006512BF"/>
    <w:rsid w:val="00651DD4"/>
    <w:rsid w:val="0065286B"/>
    <w:rsid w:val="0065332A"/>
    <w:rsid w:val="00653E3F"/>
    <w:rsid w:val="00653E71"/>
    <w:rsid w:val="00655183"/>
    <w:rsid w:val="0065535A"/>
    <w:rsid w:val="006556A3"/>
    <w:rsid w:val="00655CB4"/>
    <w:rsid w:val="00655EF1"/>
    <w:rsid w:val="00655FAE"/>
    <w:rsid w:val="0065613D"/>
    <w:rsid w:val="00656490"/>
    <w:rsid w:val="0065683E"/>
    <w:rsid w:val="00656A54"/>
    <w:rsid w:val="00656C5E"/>
    <w:rsid w:val="00656CAC"/>
    <w:rsid w:val="00656E9C"/>
    <w:rsid w:val="00657047"/>
    <w:rsid w:val="00657A26"/>
    <w:rsid w:val="00657F87"/>
    <w:rsid w:val="00660681"/>
    <w:rsid w:val="00660A1A"/>
    <w:rsid w:val="00661EF8"/>
    <w:rsid w:val="00663746"/>
    <w:rsid w:val="00663894"/>
    <w:rsid w:val="00664A67"/>
    <w:rsid w:val="00664EC4"/>
    <w:rsid w:val="00664F26"/>
    <w:rsid w:val="006650A8"/>
    <w:rsid w:val="00666C16"/>
    <w:rsid w:val="00666F41"/>
    <w:rsid w:val="00666FEB"/>
    <w:rsid w:val="006675EE"/>
    <w:rsid w:val="00667E91"/>
    <w:rsid w:val="00670C81"/>
    <w:rsid w:val="00671D5C"/>
    <w:rsid w:val="00672456"/>
    <w:rsid w:val="00672A9F"/>
    <w:rsid w:val="00672D17"/>
    <w:rsid w:val="00672DCA"/>
    <w:rsid w:val="00673267"/>
    <w:rsid w:val="006738C0"/>
    <w:rsid w:val="00673E9A"/>
    <w:rsid w:val="00673EEA"/>
    <w:rsid w:val="006745CD"/>
    <w:rsid w:val="006750DB"/>
    <w:rsid w:val="006753B2"/>
    <w:rsid w:val="00675416"/>
    <w:rsid w:val="00675653"/>
    <w:rsid w:val="0067570B"/>
    <w:rsid w:val="0067770C"/>
    <w:rsid w:val="00677BFF"/>
    <w:rsid w:val="00677D98"/>
    <w:rsid w:val="00677E9E"/>
    <w:rsid w:val="00677FC2"/>
    <w:rsid w:val="00680079"/>
    <w:rsid w:val="006806D0"/>
    <w:rsid w:val="00680767"/>
    <w:rsid w:val="00680A42"/>
    <w:rsid w:val="00681642"/>
    <w:rsid w:val="00681922"/>
    <w:rsid w:val="00681E59"/>
    <w:rsid w:val="0068237B"/>
    <w:rsid w:val="006830EB"/>
    <w:rsid w:val="00683A97"/>
    <w:rsid w:val="00683AE4"/>
    <w:rsid w:val="00683AE6"/>
    <w:rsid w:val="00683CA2"/>
    <w:rsid w:val="0068470D"/>
    <w:rsid w:val="00684993"/>
    <w:rsid w:val="00684B79"/>
    <w:rsid w:val="00684DFC"/>
    <w:rsid w:val="0068627F"/>
    <w:rsid w:val="006867BB"/>
    <w:rsid w:val="0068684F"/>
    <w:rsid w:val="00686F0A"/>
    <w:rsid w:val="0068759C"/>
    <w:rsid w:val="006908FD"/>
    <w:rsid w:val="00690A0A"/>
    <w:rsid w:val="006910CA"/>
    <w:rsid w:val="0069131C"/>
    <w:rsid w:val="00691595"/>
    <w:rsid w:val="0069162D"/>
    <w:rsid w:val="006928FC"/>
    <w:rsid w:val="00692C2B"/>
    <w:rsid w:val="0069317E"/>
    <w:rsid w:val="006931E9"/>
    <w:rsid w:val="006932B7"/>
    <w:rsid w:val="00693A7D"/>
    <w:rsid w:val="00693D07"/>
    <w:rsid w:val="00694EDA"/>
    <w:rsid w:val="00695841"/>
    <w:rsid w:val="006967F1"/>
    <w:rsid w:val="00697834"/>
    <w:rsid w:val="00697CC6"/>
    <w:rsid w:val="006A0894"/>
    <w:rsid w:val="006A114E"/>
    <w:rsid w:val="006A13BF"/>
    <w:rsid w:val="006A1B9E"/>
    <w:rsid w:val="006A1D8E"/>
    <w:rsid w:val="006A20FA"/>
    <w:rsid w:val="006A2804"/>
    <w:rsid w:val="006A3130"/>
    <w:rsid w:val="006A383C"/>
    <w:rsid w:val="006A39AD"/>
    <w:rsid w:val="006A3E24"/>
    <w:rsid w:val="006A4226"/>
    <w:rsid w:val="006A4353"/>
    <w:rsid w:val="006A4992"/>
    <w:rsid w:val="006A4C0B"/>
    <w:rsid w:val="006A5544"/>
    <w:rsid w:val="006A58C9"/>
    <w:rsid w:val="006A5F08"/>
    <w:rsid w:val="006A60EC"/>
    <w:rsid w:val="006A66C8"/>
    <w:rsid w:val="006A6C09"/>
    <w:rsid w:val="006A70EA"/>
    <w:rsid w:val="006A7522"/>
    <w:rsid w:val="006A7713"/>
    <w:rsid w:val="006B052C"/>
    <w:rsid w:val="006B06ED"/>
    <w:rsid w:val="006B0973"/>
    <w:rsid w:val="006B0D14"/>
    <w:rsid w:val="006B2D7D"/>
    <w:rsid w:val="006B3284"/>
    <w:rsid w:val="006B3328"/>
    <w:rsid w:val="006B37BC"/>
    <w:rsid w:val="006B3944"/>
    <w:rsid w:val="006B39FB"/>
    <w:rsid w:val="006B3BF5"/>
    <w:rsid w:val="006B47CA"/>
    <w:rsid w:val="006B487B"/>
    <w:rsid w:val="006B4E5A"/>
    <w:rsid w:val="006B523A"/>
    <w:rsid w:val="006B5555"/>
    <w:rsid w:val="006B7466"/>
    <w:rsid w:val="006C1045"/>
    <w:rsid w:val="006C1C64"/>
    <w:rsid w:val="006C282F"/>
    <w:rsid w:val="006C3A7C"/>
    <w:rsid w:val="006C3D5A"/>
    <w:rsid w:val="006C42BD"/>
    <w:rsid w:val="006C44CA"/>
    <w:rsid w:val="006C45B1"/>
    <w:rsid w:val="006C4F52"/>
    <w:rsid w:val="006C5213"/>
    <w:rsid w:val="006C527D"/>
    <w:rsid w:val="006C52C7"/>
    <w:rsid w:val="006C6720"/>
    <w:rsid w:val="006C6D71"/>
    <w:rsid w:val="006C7033"/>
    <w:rsid w:val="006D0ACA"/>
    <w:rsid w:val="006D0D5C"/>
    <w:rsid w:val="006D0E30"/>
    <w:rsid w:val="006D129F"/>
    <w:rsid w:val="006D15F8"/>
    <w:rsid w:val="006D1E81"/>
    <w:rsid w:val="006D1F0E"/>
    <w:rsid w:val="006D2B79"/>
    <w:rsid w:val="006D2DAD"/>
    <w:rsid w:val="006D3ABD"/>
    <w:rsid w:val="006D40C5"/>
    <w:rsid w:val="006D42DB"/>
    <w:rsid w:val="006D4F5C"/>
    <w:rsid w:val="006D5AAB"/>
    <w:rsid w:val="006D61B3"/>
    <w:rsid w:val="006D6B78"/>
    <w:rsid w:val="006D7119"/>
    <w:rsid w:val="006D72D6"/>
    <w:rsid w:val="006D76C4"/>
    <w:rsid w:val="006D7D1F"/>
    <w:rsid w:val="006E0635"/>
    <w:rsid w:val="006E15EA"/>
    <w:rsid w:val="006E1872"/>
    <w:rsid w:val="006E19F5"/>
    <w:rsid w:val="006E1BFE"/>
    <w:rsid w:val="006E29FC"/>
    <w:rsid w:val="006E36B3"/>
    <w:rsid w:val="006E4489"/>
    <w:rsid w:val="006E49C2"/>
    <w:rsid w:val="006E49F5"/>
    <w:rsid w:val="006E5190"/>
    <w:rsid w:val="006E53F3"/>
    <w:rsid w:val="006E5870"/>
    <w:rsid w:val="006E5ADA"/>
    <w:rsid w:val="006E702E"/>
    <w:rsid w:val="006E72BA"/>
    <w:rsid w:val="006E7DF2"/>
    <w:rsid w:val="006E7EFC"/>
    <w:rsid w:val="006F007D"/>
    <w:rsid w:val="006F062D"/>
    <w:rsid w:val="006F0821"/>
    <w:rsid w:val="006F0CB6"/>
    <w:rsid w:val="006F0EF8"/>
    <w:rsid w:val="006F1029"/>
    <w:rsid w:val="006F1085"/>
    <w:rsid w:val="006F12F0"/>
    <w:rsid w:val="006F131F"/>
    <w:rsid w:val="006F14D8"/>
    <w:rsid w:val="006F2081"/>
    <w:rsid w:val="006F2119"/>
    <w:rsid w:val="006F2970"/>
    <w:rsid w:val="006F31E6"/>
    <w:rsid w:val="006F38C9"/>
    <w:rsid w:val="006F459F"/>
    <w:rsid w:val="006F47EB"/>
    <w:rsid w:val="006F499F"/>
    <w:rsid w:val="006F4E94"/>
    <w:rsid w:val="006F5124"/>
    <w:rsid w:val="006F5F0B"/>
    <w:rsid w:val="006F718A"/>
    <w:rsid w:val="006F725D"/>
    <w:rsid w:val="006F727A"/>
    <w:rsid w:val="006F72B7"/>
    <w:rsid w:val="006F7626"/>
    <w:rsid w:val="006F7701"/>
    <w:rsid w:val="00700664"/>
    <w:rsid w:val="0070093A"/>
    <w:rsid w:val="00700A37"/>
    <w:rsid w:val="007014CF"/>
    <w:rsid w:val="00701824"/>
    <w:rsid w:val="007030BD"/>
    <w:rsid w:val="0070335A"/>
    <w:rsid w:val="00703702"/>
    <w:rsid w:val="007044F2"/>
    <w:rsid w:val="00705395"/>
    <w:rsid w:val="007055B9"/>
    <w:rsid w:val="00705652"/>
    <w:rsid w:val="00705B8D"/>
    <w:rsid w:val="007068F4"/>
    <w:rsid w:val="00706C32"/>
    <w:rsid w:val="00706DF4"/>
    <w:rsid w:val="007076CC"/>
    <w:rsid w:val="00707D5D"/>
    <w:rsid w:val="00707DE1"/>
    <w:rsid w:val="00707FC3"/>
    <w:rsid w:val="0071108A"/>
    <w:rsid w:val="0071109D"/>
    <w:rsid w:val="0071143A"/>
    <w:rsid w:val="00711BA2"/>
    <w:rsid w:val="007127E7"/>
    <w:rsid w:val="00712E07"/>
    <w:rsid w:val="00713640"/>
    <w:rsid w:val="007143C2"/>
    <w:rsid w:val="007149B9"/>
    <w:rsid w:val="00714AD3"/>
    <w:rsid w:val="00714BA5"/>
    <w:rsid w:val="00715BF8"/>
    <w:rsid w:val="00715DB7"/>
    <w:rsid w:val="0071633F"/>
    <w:rsid w:val="007163E1"/>
    <w:rsid w:val="00716519"/>
    <w:rsid w:val="007165D1"/>
    <w:rsid w:val="00716F21"/>
    <w:rsid w:val="0071713B"/>
    <w:rsid w:val="00717784"/>
    <w:rsid w:val="00717CB7"/>
    <w:rsid w:val="007200B3"/>
    <w:rsid w:val="00720130"/>
    <w:rsid w:val="00720C39"/>
    <w:rsid w:val="00720C5D"/>
    <w:rsid w:val="007213D6"/>
    <w:rsid w:val="00721471"/>
    <w:rsid w:val="00721807"/>
    <w:rsid w:val="00721863"/>
    <w:rsid w:val="0072194F"/>
    <w:rsid w:val="00721B19"/>
    <w:rsid w:val="00721B6B"/>
    <w:rsid w:val="0072235A"/>
    <w:rsid w:val="00722775"/>
    <w:rsid w:val="007235E4"/>
    <w:rsid w:val="0072366B"/>
    <w:rsid w:val="00723750"/>
    <w:rsid w:val="00724027"/>
    <w:rsid w:val="007244FE"/>
    <w:rsid w:val="00724A74"/>
    <w:rsid w:val="00724ED6"/>
    <w:rsid w:val="00725002"/>
    <w:rsid w:val="00725026"/>
    <w:rsid w:val="00725135"/>
    <w:rsid w:val="0072532A"/>
    <w:rsid w:val="0072545F"/>
    <w:rsid w:val="007263CF"/>
    <w:rsid w:val="00726828"/>
    <w:rsid w:val="00726EDB"/>
    <w:rsid w:val="00731028"/>
    <w:rsid w:val="007311D5"/>
    <w:rsid w:val="00731B1C"/>
    <w:rsid w:val="00731DE6"/>
    <w:rsid w:val="00732593"/>
    <w:rsid w:val="007329A5"/>
    <w:rsid w:val="00732FD5"/>
    <w:rsid w:val="00733171"/>
    <w:rsid w:val="007336F1"/>
    <w:rsid w:val="00733E60"/>
    <w:rsid w:val="00734198"/>
    <w:rsid w:val="00734B41"/>
    <w:rsid w:val="007351AE"/>
    <w:rsid w:val="00735A98"/>
    <w:rsid w:val="00735F1A"/>
    <w:rsid w:val="00735FF3"/>
    <w:rsid w:val="00736155"/>
    <w:rsid w:val="00737BFF"/>
    <w:rsid w:val="007405D4"/>
    <w:rsid w:val="00740D8C"/>
    <w:rsid w:val="00741349"/>
    <w:rsid w:val="00741432"/>
    <w:rsid w:val="007414AF"/>
    <w:rsid w:val="00741D58"/>
    <w:rsid w:val="00741FF2"/>
    <w:rsid w:val="007423E1"/>
    <w:rsid w:val="00742803"/>
    <w:rsid w:val="00742BB4"/>
    <w:rsid w:val="00743609"/>
    <w:rsid w:val="00743804"/>
    <w:rsid w:val="00743907"/>
    <w:rsid w:val="00743946"/>
    <w:rsid w:val="00743955"/>
    <w:rsid w:val="00743B6F"/>
    <w:rsid w:val="00744ED5"/>
    <w:rsid w:val="00745270"/>
    <w:rsid w:val="007456F6"/>
    <w:rsid w:val="00745B0D"/>
    <w:rsid w:val="00745E6B"/>
    <w:rsid w:val="00746714"/>
    <w:rsid w:val="007468E2"/>
    <w:rsid w:val="00747249"/>
    <w:rsid w:val="00747FD5"/>
    <w:rsid w:val="00750803"/>
    <w:rsid w:val="00751447"/>
    <w:rsid w:val="007521D0"/>
    <w:rsid w:val="00752632"/>
    <w:rsid w:val="0075311E"/>
    <w:rsid w:val="007539D2"/>
    <w:rsid w:val="00753C21"/>
    <w:rsid w:val="00753E48"/>
    <w:rsid w:val="0075481C"/>
    <w:rsid w:val="00755417"/>
    <w:rsid w:val="00755A31"/>
    <w:rsid w:val="00755D87"/>
    <w:rsid w:val="00755D9E"/>
    <w:rsid w:val="00755E27"/>
    <w:rsid w:val="00756FFE"/>
    <w:rsid w:val="00757544"/>
    <w:rsid w:val="00757874"/>
    <w:rsid w:val="007579DC"/>
    <w:rsid w:val="00757DB5"/>
    <w:rsid w:val="007606A8"/>
    <w:rsid w:val="00760A3E"/>
    <w:rsid w:val="00760B2E"/>
    <w:rsid w:val="00760D2E"/>
    <w:rsid w:val="00761144"/>
    <w:rsid w:val="007615FA"/>
    <w:rsid w:val="0076160D"/>
    <w:rsid w:val="00761812"/>
    <w:rsid w:val="00761C14"/>
    <w:rsid w:val="007620A0"/>
    <w:rsid w:val="007629DE"/>
    <w:rsid w:val="00762AE3"/>
    <w:rsid w:val="00762FDD"/>
    <w:rsid w:val="0076363D"/>
    <w:rsid w:val="007638CF"/>
    <w:rsid w:val="00763BBE"/>
    <w:rsid w:val="00764E69"/>
    <w:rsid w:val="0076687D"/>
    <w:rsid w:val="007670F3"/>
    <w:rsid w:val="007705E2"/>
    <w:rsid w:val="0077088A"/>
    <w:rsid w:val="00770C29"/>
    <w:rsid w:val="00770E04"/>
    <w:rsid w:val="00770F74"/>
    <w:rsid w:val="00771F22"/>
    <w:rsid w:val="00772448"/>
    <w:rsid w:val="00772EB3"/>
    <w:rsid w:val="00773367"/>
    <w:rsid w:val="00776169"/>
    <w:rsid w:val="007761A5"/>
    <w:rsid w:val="007762DC"/>
    <w:rsid w:val="0077697F"/>
    <w:rsid w:val="007804B2"/>
    <w:rsid w:val="007804F1"/>
    <w:rsid w:val="00780D5C"/>
    <w:rsid w:val="0078185D"/>
    <w:rsid w:val="0078195B"/>
    <w:rsid w:val="00781C54"/>
    <w:rsid w:val="0078285B"/>
    <w:rsid w:val="00782FB9"/>
    <w:rsid w:val="0078351B"/>
    <w:rsid w:val="007844EA"/>
    <w:rsid w:val="00785687"/>
    <w:rsid w:val="00785897"/>
    <w:rsid w:val="00785B1B"/>
    <w:rsid w:val="00785ECF"/>
    <w:rsid w:val="00786130"/>
    <w:rsid w:val="00786B97"/>
    <w:rsid w:val="00787405"/>
    <w:rsid w:val="00787F50"/>
    <w:rsid w:val="0079031C"/>
    <w:rsid w:val="00790744"/>
    <w:rsid w:val="00790A20"/>
    <w:rsid w:val="00790EDA"/>
    <w:rsid w:val="00790FE0"/>
    <w:rsid w:val="00791D61"/>
    <w:rsid w:val="007924D2"/>
    <w:rsid w:val="007929DB"/>
    <w:rsid w:val="00793831"/>
    <w:rsid w:val="00793F69"/>
    <w:rsid w:val="007943BC"/>
    <w:rsid w:val="0079477B"/>
    <w:rsid w:val="00794DE6"/>
    <w:rsid w:val="007954E4"/>
    <w:rsid w:val="00795565"/>
    <w:rsid w:val="00795C9B"/>
    <w:rsid w:val="00795D0D"/>
    <w:rsid w:val="00796D51"/>
    <w:rsid w:val="00797864"/>
    <w:rsid w:val="007A08AF"/>
    <w:rsid w:val="007A093A"/>
    <w:rsid w:val="007A1293"/>
    <w:rsid w:val="007A15A8"/>
    <w:rsid w:val="007A1CA9"/>
    <w:rsid w:val="007A2030"/>
    <w:rsid w:val="007A29A0"/>
    <w:rsid w:val="007A2DA8"/>
    <w:rsid w:val="007A47B2"/>
    <w:rsid w:val="007A5450"/>
    <w:rsid w:val="007A54D9"/>
    <w:rsid w:val="007A5819"/>
    <w:rsid w:val="007A5E18"/>
    <w:rsid w:val="007A5FEB"/>
    <w:rsid w:val="007A6708"/>
    <w:rsid w:val="007A6B3B"/>
    <w:rsid w:val="007A6B7A"/>
    <w:rsid w:val="007A6DF5"/>
    <w:rsid w:val="007A7A4B"/>
    <w:rsid w:val="007A7BA0"/>
    <w:rsid w:val="007A7BFA"/>
    <w:rsid w:val="007A7E17"/>
    <w:rsid w:val="007B0485"/>
    <w:rsid w:val="007B093D"/>
    <w:rsid w:val="007B1F46"/>
    <w:rsid w:val="007B20C6"/>
    <w:rsid w:val="007B22AF"/>
    <w:rsid w:val="007B2376"/>
    <w:rsid w:val="007B2E1B"/>
    <w:rsid w:val="007B35E3"/>
    <w:rsid w:val="007B3BCA"/>
    <w:rsid w:val="007B49A4"/>
    <w:rsid w:val="007B4A3C"/>
    <w:rsid w:val="007B4E66"/>
    <w:rsid w:val="007B50D2"/>
    <w:rsid w:val="007B5B02"/>
    <w:rsid w:val="007B5B1B"/>
    <w:rsid w:val="007B5D00"/>
    <w:rsid w:val="007B5D71"/>
    <w:rsid w:val="007B5F66"/>
    <w:rsid w:val="007B6970"/>
    <w:rsid w:val="007B717E"/>
    <w:rsid w:val="007B7578"/>
    <w:rsid w:val="007B7677"/>
    <w:rsid w:val="007B7852"/>
    <w:rsid w:val="007B786E"/>
    <w:rsid w:val="007B7F29"/>
    <w:rsid w:val="007C016A"/>
    <w:rsid w:val="007C0509"/>
    <w:rsid w:val="007C0773"/>
    <w:rsid w:val="007C0FA9"/>
    <w:rsid w:val="007C16F1"/>
    <w:rsid w:val="007C1F0B"/>
    <w:rsid w:val="007C1FCC"/>
    <w:rsid w:val="007C248B"/>
    <w:rsid w:val="007C266E"/>
    <w:rsid w:val="007C27C5"/>
    <w:rsid w:val="007C28B9"/>
    <w:rsid w:val="007C34DF"/>
    <w:rsid w:val="007C37F3"/>
    <w:rsid w:val="007C44DB"/>
    <w:rsid w:val="007C4A8B"/>
    <w:rsid w:val="007C4B58"/>
    <w:rsid w:val="007C5233"/>
    <w:rsid w:val="007C533E"/>
    <w:rsid w:val="007C5FA1"/>
    <w:rsid w:val="007C62D9"/>
    <w:rsid w:val="007C6BE1"/>
    <w:rsid w:val="007C6D8F"/>
    <w:rsid w:val="007C6E24"/>
    <w:rsid w:val="007C786C"/>
    <w:rsid w:val="007C7894"/>
    <w:rsid w:val="007D078B"/>
    <w:rsid w:val="007D0981"/>
    <w:rsid w:val="007D1304"/>
    <w:rsid w:val="007D1363"/>
    <w:rsid w:val="007D1875"/>
    <w:rsid w:val="007D1ECE"/>
    <w:rsid w:val="007D2062"/>
    <w:rsid w:val="007D2087"/>
    <w:rsid w:val="007D2C03"/>
    <w:rsid w:val="007D3497"/>
    <w:rsid w:val="007D37DD"/>
    <w:rsid w:val="007D450D"/>
    <w:rsid w:val="007D4E9E"/>
    <w:rsid w:val="007D5043"/>
    <w:rsid w:val="007D5876"/>
    <w:rsid w:val="007D60A3"/>
    <w:rsid w:val="007D680C"/>
    <w:rsid w:val="007D6866"/>
    <w:rsid w:val="007D6CBF"/>
    <w:rsid w:val="007D71B5"/>
    <w:rsid w:val="007D794F"/>
    <w:rsid w:val="007D7BDD"/>
    <w:rsid w:val="007E0059"/>
    <w:rsid w:val="007E15B9"/>
    <w:rsid w:val="007E2B2C"/>
    <w:rsid w:val="007E2CA2"/>
    <w:rsid w:val="007E36D2"/>
    <w:rsid w:val="007E39D9"/>
    <w:rsid w:val="007E3FD4"/>
    <w:rsid w:val="007E47FC"/>
    <w:rsid w:val="007E4C0F"/>
    <w:rsid w:val="007E5A70"/>
    <w:rsid w:val="007E5D9A"/>
    <w:rsid w:val="007E5EB8"/>
    <w:rsid w:val="007E61DD"/>
    <w:rsid w:val="007E657F"/>
    <w:rsid w:val="007E7800"/>
    <w:rsid w:val="007F0104"/>
    <w:rsid w:val="007F03B2"/>
    <w:rsid w:val="007F03DC"/>
    <w:rsid w:val="007F13D3"/>
    <w:rsid w:val="007F142F"/>
    <w:rsid w:val="007F19D3"/>
    <w:rsid w:val="007F20F5"/>
    <w:rsid w:val="007F222C"/>
    <w:rsid w:val="007F2318"/>
    <w:rsid w:val="007F2AE0"/>
    <w:rsid w:val="007F2C04"/>
    <w:rsid w:val="007F2C47"/>
    <w:rsid w:val="007F2C8F"/>
    <w:rsid w:val="007F2CC9"/>
    <w:rsid w:val="007F2E28"/>
    <w:rsid w:val="007F38F5"/>
    <w:rsid w:val="007F3F69"/>
    <w:rsid w:val="007F409C"/>
    <w:rsid w:val="007F4A42"/>
    <w:rsid w:val="007F50A3"/>
    <w:rsid w:val="007F546A"/>
    <w:rsid w:val="007F553E"/>
    <w:rsid w:val="007F5632"/>
    <w:rsid w:val="007F5D00"/>
    <w:rsid w:val="007F6104"/>
    <w:rsid w:val="007F6C9E"/>
    <w:rsid w:val="007F7578"/>
    <w:rsid w:val="007F7BDE"/>
    <w:rsid w:val="007F7FA4"/>
    <w:rsid w:val="00800185"/>
    <w:rsid w:val="00800689"/>
    <w:rsid w:val="00800E7B"/>
    <w:rsid w:val="008017F6"/>
    <w:rsid w:val="008018C8"/>
    <w:rsid w:val="00801B45"/>
    <w:rsid w:val="00801BE3"/>
    <w:rsid w:val="00801E6A"/>
    <w:rsid w:val="00802589"/>
    <w:rsid w:val="0080295D"/>
    <w:rsid w:val="00802C4B"/>
    <w:rsid w:val="008038D7"/>
    <w:rsid w:val="00803ACE"/>
    <w:rsid w:val="00803F8A"/>
    <w:rsid w:val="0080400A"/>
    <w:rsid w:val="00804AB3"/>
    <w:rsid w:val="00805456"/>
    <w:rsid w:val="00805801"/>
    <w:rsid w:val="008068BD"/>
    <w:rsid w:val="00807526"/>
    <w:rsid w:val="00810924"/>
    <w:rsid w:val="0081140A"/>
    <w:rsid w:val="008116A4"/>
    <w:rsid w:val="008130B9"/>
    <w:rsid w:val="008131D0"/>
    <w:rsid w:val="00813B3C"/>
    <w:rsid w:val="00813CDA"/>
    <w:rsid w:val="00813F88"/>
    <w:rsid w:val="00814899"/>
    <w:rsid w:val="00814AC5"/>
    <w:rsid w:val="00814D8B"/>
    <w:rsid w:val="008150C6"/>
    <w:rsid w:val="008151F2"/>
    <w:rsid w:val="00815AB0"/>
    <w:rsid w:val="00815D46"/>
    <w:rsid w:val="0081619D"/>
    <w:rsid w:val="0081620B"/>
    <w:rsid w:val="008163DA"/>
    <w:rsid w:val="0081651E"/>
    <w:rsid w:val="00816AA3"/>
    <w:rsid w:val="00817B5F"/>
    <w:rsid w:val="00820CDB"/>
    <w:rsid w:val="00820DB6"/>
    <w:rsid w:val="00821D68"/>
    <w:rsid w:val="00821F73"/>
    <w:rsid w:val="008225A4"/>
    <w:rsid w:val="00822791"/>
    <w:rsid w:val="00822B94"/>
    <w:rsid w:val="00822DAB"/>
    <w:rsid w:val="00822DC1"/>
    <w:rsid w:val="00822E7E"/>
    <w:rsid w:val="00822ED1"/>
    <w:rsid w:val="00823E51"/>
    <w:rsid w:val="00824793"/>
    <w:rsid w:val="008248B2"/>
    <w:rsid w:val="00824E38"/>
    <w:rsid w:val="008252B9"/>
    <w:rsid w:val="008253F3"/>
    <w:rsid w:val="008256B7"/>
    <w:rsid w:val="00825710"/>
    <w:rsid w:val="0082711B"/>
    <w:rsid w:val="008279DA"/>
    <w:rsid w:val="00827BBF"/>
    <w:rsid w:val="00827D3D"/>
    <w:rsid w:val="00827DFE"/>
    <w:rsid w:val="00830302"/>
    <w:rsid w:val="0083081A"/>
    <w:rsid w:val="00830ED6"/>
    <w:rsid w:val="00831749"/>
    <w:rsid w:val="008325AF"/>
    <w:rsid w:val="00832825"/>
    <w:rsid w:val="00832920"/>
    <w:rsid w:val="00832F33"/>
    <w:rsid w:val="0083317B"/>
    <w:rsid w:val="008337F5"/>
    <w:rsid w:val="0083415B"/>
    <w:rsid w:val="00834494"/>
    <w:rsid w:val="00834D14"/>
    <w:rsid w:val="00835287"/>
    <w:rsid w:val="008364F2"/>
    <w:rsid w:val="0083654C"/>
    <w:rsid w:val="008369E4"/>
    <w:rsid w:val="00837099"/>
    <w:rsid w:val="008373CB"/>
    <w:rsid w:val="00837EA6"/>
    <w:rsid w:val="00840B3B"/>
    <w:rsid w:val="00841986"/>
    <w:rsid w:val="00841BC8"/>
    <w:rsid w:val="00841EB1"/>
    <w:rsid w:val="00842A9A"/>
    <w:rsid w:val="008431F6"/>
    <w:rsid w:val="0084377C"/>
    <w:rsid w:val="00843C6F"/>
    <w:rsid w:val="00844A6D"/>
    <w:rsid w:val="00844A8A"/>
    <w:rsid w:val="00844C25"/>
    <w:rsid w:val="00845022"/>
    <w:rsid w:val="0084530E"/>
    <w:rsid w:val="00845791"/>
    <w:rsid w:val="00845919"/>
    <w:rsid w:val="00845B37"/>
    <w:rsid w:val="0084743E"/>
    <w:rsid w:val="00847B8D"/>
    <w:rsid w:val="008503CB"/>
    <w:rsid w:val="0085113C"/>
    <w:rsid w:val="00851862"/>
    <w:rsid w:val="00852663"/>
    <w:rsid w:val="00852941"/>
    <w:rsid w:val="00852FCB"/>
    <w:rsid w:val="00856667"/>
    <w:rsid w:val="00856F2B"/>
    <w:rsid w:val="00857147"/>
    <w:rsid w:val="008574E8"/>
    <w:rsid w:val="00857532"/>
    <w:rsid w:val="00857D87"/>
    <w:rsid w:val="00857DD1"/>
    <w:rsid w:val="0086009B"/>
    <w:rsid w:val="00861640"/>
    <w:rsid w:val="00861773"/>
    <w:rsid w:val="0086184C"/>
    <w:rsid w:val="00861988"/>
    <w:rsid w:val="00861A5D"/>
    <w:rsid w:val="00862555"/>
    <w:rsid w:val="00862E41"/>
    <w:rsid w:val="00863118"/>
    <w:rsid w:val="00863408"/>
    <w:rsid w:val="0086392F"/>
    <w:rsid w:val="00864E18"/>
    <w:rsid w:val="00865077"/>
    <w:rsid w:val="0086507B"/>
    <w:rsid w:val="008651AA"/>
    <w:rsid w:val="008657A7"/>
    <w:rsid w:val="00865EA3"/>
    <w:rsid w:val="0086696A"/>
    <w:rsid w:val="00866CF8"/>
    <w:rsid w:val="00866DDA"/>
    <w:rsid w:val="00867D1C"/>
    <w:rsid w:val="00867DCF"/>
    <w:rsid w:val="00870197"/>
    <w:rsid w:val="0087108E"/>
    <w:rsid w:val="0087129F"/>
    <w:rsid w:val="00871599"/>
    <w:rsid w:val="00871BC3"/>
    <w:rsid w:val="00872981"/>
    <w:rsid w:val="00872EBB"/>
    <w:rsid w:val="008730C7"/>
    <w:rsid w:val="0087317B"/>
    <w:rsid w:val="0087330F"/>
    <w:rsid w:val="00874E28"/>
    <w:rsid w:val="0087643C"/>
    <w:rsid w:val="0087716B"/>
    <w:rsid w:val="00877646"/>
    <w:rsid w:val="00877AF1"/>
    <w:rsid w:val="0088019F"/>
    <w:rsid w:val="008807E1"/>
    <w:rsid w:val="00880950"/>
    <w:rsid w:val="00880EF8"/>
    <w:rsid w:val="0088103D"/>
    <w:rsid w:val="0088142C"/>
    <w:rsid w:val="00881DD2"/>
    <w:rsid w:val="00881DD7"/>
    <w:rsid w:val="00883604"/>
    <w:rsid w:val="00883C02"/>
    <w:rsid w:val="00884E8F"/>
    <w:rsid w:val="00884FD2"/>
    <w:rsid w:val="008852CA"/>
    <w:rsid w:val="00885642"/>
    <w:rsid w:val="00885F5D"/>
    <w:rsid w:val="00887251"/>
    <w:rsid w:val="008874BA"/>
    <w:rsid w:val="00887F1F"/>
    <w:rsid w:val="008904A3"/>
    <w:rsid w:val="0089080C"/>
    <w:rsid w:val="00890C59"/>
    <w:rsid w:val="00891187"/>
    <w:rsid w:val="008915CE"/>
    <w:rsid w:val="00891CC0"/>
    <w:rsid w:val="0089295C"/>
    <w:rsid w:val="00892D37"/>
    <w:rsid w:val="008936DE"/>
    <w:rsid w:val="00893898"/>
    <w:rsid w:val="008938A1"/>
    <w:rsid w:val="0089390A"/>
    <w:rsid w:val="00893EB5"/>
    <w:rsid w:val="00893F42"/>
    <w:rsid w:val="008940E8"/>
    <w:rsid w:val="00894584"/>
    <w:rsid w:val="00894A24"/>
    <w:rsid w:val="00894BCA"/>
    <w:rsid w:val="0089529D"/>
    <w:rsid w:val="00895504"/>
    <w:rsid w:val="008955D7"/>
    <w:rsid w:val="0089581E"/>
    <w:rsid w:val="0089639E"/>
    <w:rsid w:val="00896DA0"/>
    <w:rsid w:val="00896E35"/>
    <w:rsid w:val="00897182"/>
    <w:rsid w:val="008A0390"/>
    <w:rsid w:val="008A04C6"/>
    <w:rsid w:val="008A0B53"/>
    <w:rsid w:val="008A0DBE"/>
    <w:rsid w:val="008A0E2B"/>
    <w:rsid w:val="008A1A79"/>
    <w:rsid w:val="008A1A82"/>
    <w:rsid w:val="008A2154"/>
    <w:rsid w:val="008A25C2"/>
    <w:rsid w:val="008A341C"/>
    <w:rsid w:val="008A3FDC"/>
    <w:rsid w:val="008A46AD"/>
    <w:rsid w:val="008A4A50"/>
    <w:rsid w:val="008A4C90"/>
    <w:rsid w:val="008A55FC"/>
    <w:rsid w:val="008A5EDE"/>
    <w:rsid w:val="008A65C6"/>
    <w:rsid w:val="008A670E"/>
    <w:rsid w:val="008A67B9"/>
    <w:rsid w:val="008A74E1"/>
    <w:rsid w:val="008A755F"/>
    <w:rsid w:val="008A7846"/>
    <w:rsid w:val="008A7D29"/>
    <w:rsid w:val="008B00B1"/>
    <w:rsid w:val="008B02AD"/>
    <w:rsid w:val="008B086F"/>
    <w:rsid w:val="008B0F81"/>
    <w:rsid w:val="008B122D"/>
    <w:rsid w:val="008B1810"/>
    <w:rsid w:val="008B1A23"/>
    <w:rsid w:val="008B1A4C"/>
    <w:rsid w:val="008B2971"/>
    <w:rsid w:val="008B3DA8"/>
    <w:rsid w:val="008B4C28"/>
    <w:rsid w:val="008B5640"/>
    <w:rsid w:val="008B5659"/>
    <w:rsid w:val="008B56FE"/>
    <w:rsid w:val="008B5B44"/>
    <w:rsid w:val="008B5E91"/>
    <w:rsid w:val="008B61C1"/>
    <w:rsid w:val="008B645E"/>
    <w:rsid w:val="008B6C3D"/>
    <w:rsid w:val="008B71DF"/>
    <w:rsid w:val="008B7A89"/>
    <w:rsid w:val="008C196B"/>
    <w:rsid w:val="008C1CBD"/>
    <w:rsid w:val="008C21BF"/>
    <w:rsid w:val="008C25BE"/>
    <w:rsid w:val="008C298E"/>
    <w:rsid w:val="008C3DBC"/>
    <w:rsid w:val="008C3FEA"/>
    <w:rsid w:val="008C5748"/>
    <w:rsid w:val="008C599B"/>
    <w:rsid w:val="008C5B19"/>
    <w:rsid w:val="008C5DB2"/>
    <w:rsid w:val="008C5FB0"/>
    <w:rsid w:val="008C6567"/>
    <w:rsid w:val="008C6CE7"/>
    <w:rsid w:val="008C72E5"/>
    <w:rsid w:val="008C7326"/>
    <w:rsid w:val="008C7480"/>
    <w:rsid w:val="008C7741"/>
    <w:rsid w:val="008C7FD1"/>
    <w:rsid w:val="008D0398"/>
    <w:rsid w:val="008D0846"/>
    <w:rsid w:val="008D08A9"/>
    <w:rsid w:val="008D14DE"/>
    <w:rsid w:val="008D16FA"/>
    <w:rsid w:val="008D1B25"/>
    <w:rsid w:val="008D2583"/>
    <w:rsid w:val="008D272C"/>
    <w:rsid w:val="008D3765"/>
    <w:rsid w:val="008D3B92"/>
    <w:rsid w:val="008D44F6"/>
    <w:rsid w:val="008D4B7D"/>
    <w:rsid w:val="008D4D4C"/>
    <w:rsid w:val="008D5A74"/>
    <w:rsid w:val="008D5C7A"/>
    <w:rsid w:val="008D67A4"/>
    <w:rsid w:val="008D6AFF"/>
    <w:rsid w:val="008D6D48"/>
    <w:rsid w:val="008D6DD4"/>
    <w:rsid w:val="008D6EAE"/>
    <w:rsid w:val="008D6EFE"/>
    <w:rsid w:val="008D7FEF"/>
    <w:rsid w:val="008E0C7F"/>
    <w:rsid w:val="008E10A1"/>
    <w:rsid w:val="008E12A7"/>
    <w:rsid w:val="008E13CE"/>
    <w:rsid w:val="008E13D3"/>
    <w:rsid w:val="008E1D1C"/>
    <w:rsid w:val="008E2DE2"/>
    <w:rsid w:val="008E3255"/>
    <w:rsid w:val="008E370B"/>
    <w:rsid w:val="008E3F41"/>
    <w:rsid w:val="008E3FF4"/>
    <w:rsid w:val="008E40B5"/>
    <w:rsid w:val="008E4682"/>
    <w:rsid w:val="008E4EA2"/>
    <w:rsid w:val="008E4F69"/>
    <w:rsid w:val="008E513A"/>
    <w:rsid w:val="008E5181"/>
    <w:rsid w:val="008E5D94"/>
    <w:rsid w:val="008E6372"/>
    <w:rsid w:val="008E67D5"/>
    <w:rsid w:val="008E75A2"/>
    <w:rsid w:val="008F013C"/>
    <w:rsid w:val="008F0181"/>
    <w:rsid w:val="008F063F"/>
    <w:rsid w:val="008F0A62"/>
    <w:rsid w:val="008F0C20"/>
    <w:rsid w:val="008F0DC1"/>
    <w:rsid w:val="008F13D6"/>
    <w:rsid w:val="008F166B"/>
    <w:rsid w:val="008F167C"/>
    <w:rsid w:val="008F1AD2"/>
    <w:rsid w:val="008F247D"/>
    <w:rsid w:val="008F2CF1"/>
    <w:rsid w:val="008F2E46"/>
    <w:rsid w:val="008F36BB"/>
    <w:rsid w:val="008F40F4"/>
    <w:rsid w:val="008F468B"/>
    <w:rsid w:val="008F4EDB"/>
    <w:rsid w:val="008F5167"/>
    <w:rsid w:val="008F51F6"/>
    <w:rsid w:val="008F5401"/>
    <w:rsid w:val="008F55B4"/>
    <w:rsid w:val="008F5680"/>
    <w:rsid w:val="008F5C0C"/>
    <w:rsid w:val="008F617F"/>
    <w:rsid w:val="008F6CC8"/>
    <w:rsid w:val="008F6F7D"/>
    <w:rsid w:val="008F706F"/>
    <w:rsid w:val="008F77D2"/>
    <w:rsid w:val="008F7919"/>
    <w:rsid w:val="008F7B64"/>
    <w:rsid w:val="00900261"/>
    <w:rsid w:val="009002B8"/>
    <w:rsid w:val="00900826"/>
    <w:rsid w:val="00900BD7"/>
    <w:rsid w:val="0090142F"/>
    <w:rsid w:val="00901F38"/>
    <w:rsid w:val="0090285C"/>
    <w:rsid w:val="00902CEC"/>
    <w:rsid w:val="00903CEB"/>
    <w:rsid w:val="00903CED"/>
    <w:rsid w:val="00903DE4"/>
    <w:rsid w:val="00904272"/>
    <w:rsid w:val="00904B5A"/>
    <w:rsid w:val="00904B70"/>
    <w:rsid w:val="00905202"/>
    <w:rsid w:val="0090531D"/>
    <w:rsid w:val="0090558E"/>
    <w:rsid w:val="00905866"/>
    <w:rsid w:val="00905AF4"/>
    <w:rsid w:val="009103F2"/>
    <w:rsid w:val="009106E0"/>
    <w:rsid w:val="00910AEA"/>
    <w:rsid w:val="0091216A"/>
    <w:rsid w:val="00912554"/>
    <w:rsid w:val="0091257E"/>
    <w:rsid w:val="0091288C"/>
    <w:rsid w:val="00912ED1"/>
    <w:rsid w:val="00912F76"/>
    <w:rsid w:val="00913092"/>
    <w:rsid w:val="0091388C"/>
    <w:rsid w:val="0091395A"/>
    <w:rsid w:val="009139D1"/>
    <w:rsid w:val="00913A23"/>
    <w:rsid w:val="00913C68"/>
    <w:rsid w:val="009141CD"/>
    <w:rsid w:val="00914227"/>
    <w:rsid w:val="00914299"/>
    <w:rsid w:val="0091440F"/>
    <w:rsid w:val="00914CBA"/>
    <w:rsid w:val="00914E8F"/>
    <w:rsid w:val="00914EDF"/>
    <w:rsid w:val="00915C69"/>
    <w:rsid w:val="00915DCF"/>
    <w:rsid w:val="00916735"/>
    <w:rsid w:val="00916A22"/>
    <w:rsid w:val="00916C03"/>
    <w:rsid w:val="00917748"/>
    <w:rsid w:val="00917D74"/>
    <w:rsid w:val="00920700"/>
    <w:rsid w:val="00920754"/>
    <w:rsid w:val="0092140C"/>
    <w:rsid w:val="0092199D"/>
    <w:rsid w:val="00922AC3"/>
    <w:rsid w:val="00922E9B"/>
    <w:rsid w:val="00923B07"/>
    <w:rsid w:val="00924A06"/>
    <w:rsid w:val="00924DFC"/>
    <w:rsid w:val="009260D2"/>
    <w:rsid w:val="00926EF1"/>
    <w:rsid w:val="00927450"/>
    <w:rsid w:val="00927515"/>
    <w:rsid w:val="0092757E"/>
    <w:rsid w:val="0093011A"/>
    <w:rsid w:val="00930732"/>
    <w:rsid w:val="00930ACF"/>
    <w:rsid w:val="00930B66"/>
    <w:rsid w:val="0093118F"/>
    <w:rsid w:val="009312E7"/>
    <w:rsid w:val="009319AA"/>
    <w:rsid w:val="00931F1C"/>
    <w:rsid w:val="009320AB"/>
    <w:rsid w:val="0093210A"/>
    <w:rsid w:val="00932788"/>
    <w:rsid w:val="00933445"/>
    <w:rsid w:val="00933AF2"/>
    <w:rsid w:val="00934267"/>
    <w:rsid w:val="009343BB"/>
    <w:rsid w:val="009348BB"/>
    <w:rsid w:val="00934DC3"/>
    <w:rsid w:val="009356DC"/>
    <w:rsid w:val="00935905"/>
    <w:rsid w:val="00935F3B"/>
    <w:rsid w:val="009364C0"/>
    <w:rsid w:val="00936B26"/>
    <w:rsid w:val="00937301"/>
    <w:rsid w:val="0093752A"/>
    <w:rsid w:val="00937AE8"/>
    <w:rsid w:val="00940519"/>
    <w:rsid w:val="009408B3"/>
    <w:rsid w:val="00941E4A"/>
    <w:rsid w:val="00941F81"/>
    <w:rsid w:val="00943E1E"/>
    <w:rsid w:val="009441FE"/>
    <w:rsid w:val="00944B84"/>
    <w:rsid w:val="009453EF"/>
    <w:rsid w:val="0094610F"/>
    <w:rsid w:val="0094665F"/>
    <w:rsid w:val="009467E8"/>
    <w:rsid w:val="00946D38"/>
    <w:rsid w:val="009473B0"/>
    <w:rsid w:val="00947B30"/>
    <w:rsid w:val="00947C10"/>
    <w:rsid w:val="00950789"/>
    <w:rsid w:val="009508E0"/>
    <w:rsid w:val="00950B97"/>
    <w:rsid w:val="0095124C"/>
    <w:rsid w:val="0095171F"/>
    <w:rsid w:val="00951B94"/>
    <w:rsid w:val="00951DE4"/>
    <w:rsid w:val="00952233"/>
    <w:rsid w:val="00952F21"/>
    <w:rsid w:val="00953644"/>
    <w:rsid w:val="00953A18"/>
    <w:rsid w:val="009551A6"/>
    <w:rsid w:val="00955641"/>
    <w:rsid w:val="00955E4E"/>
    <w:rsid w:val="00956319"/>
    <w:rsid w:val="009566C9"/>
    <w:rsid w:val="00956F3C"/>
    <w:rsid w:val="00957253"/>
    <w:rsid w:val="009572D4"/>
    <w:rsid w:val="00957826"/>
    <w:rsid w:val="009578B0"/>
    <w:rsid w:val="00960077"/>
    <w:rsid w:val="0096172F"/>
    <w:rsid w:val="0096185F"/>
    <w:rsid w:val="00961C93"/>
    <w:rsid w:val="0096355E"/>
    <w:rsid w:val="00963FF4"/>
    <w:rsid w:val="00964085"/>
    <w:rsid w:val="00964D39"/>
    <w:rsid w:val="00965D99"/>
    <w:rsid w:val="00966022"/>
    <w:rsid w:val="009662A9"/>
    <w:rsid w:val="00966451"/>
    <w:rsid w:val="00966740"/>
    <w:rsid w:val="0096683B"/>
    <w:rsid w:val="00966AF6"/>
    <w:rsid w:val="00966B68"/>
    <w:rsid w:val="00966DB9"/>
    <w:rsid w:val="00970205"/>
    <w:rsid w:val="00970B77"/>
    <w:rsid w:val="009718A0"/>
    <w:rsid w:val="00971FAB"/>
    <w:rsid w:val="009733AC"/>
    <w:rsid w:val="009746C3"/>
    <w:rsid w:val="0097470D"/>
    <w:rsid w:val="00974711"/>
    <w:rsid w:val="0097477A"/>
    <w:rsid w:val="009752C1"/>
    <w:rsid w:val="0097532A"/>
    <w:rsid w:val="00975765"/>
    <w:rsid w:val="009761AE"/>
    <w:rsid w:val="0097622B"/>
    <w:rsid w:val="00976BF0"/>
    <w:rsid w:val="00976F64"/>
    <w:rsid w:val="009778CC"/>
    <w:rsid w:val="00977C65"/>
    <w:rsid w:val="00977EB0"/>
    <w:rsid w:val="0098070B"/>
    <w:rsid w:val="0098075B"/>
    <w:rsid w:val="00981363"/>
    <w:rsid w:val="009817FB"/>
    <w:rsid w:val="00981A09"/>
    <w:rsid w:val="009820E5"/>
    <w:rsid w:val="00982DF9"/>
    <w:rsid w:val="00983135"/>
    <w:rsid w:val="0098328D"/>
    <w:rsid w:val="009832AE"/>
    <w:rsid w:val="00983993"/>
    <w:rsid w:val="00983AA8"/>
    <w:rsid w:val="00983E64"/>
    <w:rsid w:val="00983FC4"/>
    <w:rsid w:val="0098402E"/>
    <w:rsid w:val="0098429A"/>
    <w:rsid w:val="00985C00"/>
    <w:rsid w:val="009864AD"/>
    <w:rsid w:val="00986FB5"/>
    <w:rsid w:val="009873DE"/>
    <w:rsid w:val="00987C76"/>
    <w:rsid w:val="00990125"/>
    <w:rsid w:val="009902BB"/>
    <w:rsid w:val="0099060A"/>
    <w:rsid w:val="00990DF2"/>
    <w:rsid w:val="00991763"/>
    <w:rsid w:val="0099229C"/>
    <w:rsid w:val="0099286A"/>
    <w:rsid w:val="00992891"/>
    <w:rsid w:val="00992CA8"/>
    <w:rsid w:val="00992D61"/>
    <w:rsid w:val="00993651"/>
    <w:rsid w:val="00994147"/>
    <w:rsid w:val="009941F3"/>
    <w:rsid w:val="009944DC"/>
    <w:rsid w:val="00994C17"/>
    <w:rsid w:val="00995A39"/>
    <w:rsid w:val="00995D81"/>
    <w:rsid w:val="0099711D"/>
    <w:rsid w:val="009972A7"/>
    <w:rsid w:val="00997625"/>
    <w:rsid w:val="009A0161"/>
    <w:rsid w:val="009A03BD"/>
    <w:rsid w:val="009A0534"/>
    <w:rsid w:val="009A0C6D"/>
    <w:rsid w:val="009A1026"/>
    <w:rsid w:val="009A142A"/>
    <w:rsid w:val="009A1806"/>
    <w:rsid w:val="009A1AB1"/>
    <w:rsid w:val="009A207C"/>
    <w:rsid w:val="009A314A"/>
    <w:rsid w:val="009A4648"/>
    <w:rsid w:val="009A4726"/>
    <w:rsid w:val="009A4BEB"/>
    <w:rsid w:val="009A52BA"/>
    <w:rsid w:val="009A5B38"/>
    <w:rsid w:val="009A624F"/>
    <w:rsid w:val="009A63AD"/>
    <w:rsid w:val="009A6719"/>
    <w:rsid w:val="009A6AC1"/>
    <w:rsid w:val="009A6F22"/>
    <w:rsid w:val="009A70FC"/>
    <w:rsid w:val="009A7210"/>
    <w:rsid w:val="009B2A1A"/>
    <w:rsid w:val="009B2B57"/>
    <w:rsid w:val="009B3213"/>
    <w:rsid w:val="009B34B0"/>
    <w:rsid w:val="009B364D"/>
    <w:rsid w:val="009B3C12"/>
    <w:rsid w:val="009B3D45"/>
    <w:rsid w:val="009B48DA"/>
    <w:rsid w:val="009B4969"/>
    <w:rsid w:val="009B4CF8"/>
    <w:rsid w:val="009B4F4C"/>
    <w:rsid w:val="009B6F73"/>
    <w:rsid w:val="009B70B3"/>
    <w:rsid w:val="009B7147"/>
    <w:rsid w:val="009B7AAA"/>
    <w:rsid w:val="009C04CB"/>
    <w:rsid w:val="009C0CDD"/>
    <w:rsid w:val="009C1668"/>
    <w:rsid w:val="009C1E2B"/>
    <w:rsid w:val="009C20C3"/>
    <w:rsid w:val="009C21BF"/>
    <w:rsid w:val="009C29DC"/>
    <w:rsid w:val="009C45F8"/>
    <w:rsid w:val="009C4C30"/>
    <w:rsid w:val="009C4E4F"/>
    <w:rsid w:val="009C5072"/>
    <w:rsid w:val="009C5A66"/>
    <w:rsid w:val="009C5CAE"/>
    <w:rsid w:val="009C6969"/>
    <w:rsid w:val="009C6AA3"/>
    <w:rsid w:val="009C6C59"/>
    <w:rsid w:val="009C7EE9"/>
    <w:rsid w:val="009D06EA"/>
    <w:rsid w:val="009D1AE3"/>
    <w:rsid w:val="009D2231"/>
    <w:rsid w:val="009D23C9"/>
    <w:rsid w:val="009D27D6"/>
    <w:rsid w:val="009D2C9A"/>
    <w:rsid w:val="009D3790"/>
    <w:rsid w:val="009D3958"/>
    <w:rsid w:val="009D4FC6"/>
    <w:rsid w:val="009D514F"/>
    <w:rsid w:val="009D5693"/>
    <w:rsid w:val="009D5DE5"/>
    <w:rsid w:val="009D6C08"/>
    <w:rsid w:val="009D6ED5"/>
    <w:rsid w:val="009D7288"/>
    <w:rsid w:val="009D7F70"/>
    <w:rsid w:val="009E0AF2"/>
    <w:rsid w:val="009E186D"/>
    <w:rsid w:val="009E209E"/>
    <w:rsid w:val="009E259C"/>
    <w:rsid w:val="009E2892"/>
    <w:rsid w:val="009E2AFD"/>
    <w:rsid w:val="009E2BE1"/>
    <w:rsid w:val="009E32F7"/>
    <w:rsid w:val="009E3520"/>
    <w:rsid w:val="009E35AD"/>
    <w:rsid w:val="009E35B8"/>
    <w:rsid w:val="009E374C"/>
    <w:rsid w:val="009E3BB5"/>
    <w:rsid w:val="009E4350"/>
    <w:rsid w:val="009E4652"/>
    <w:rsid w:val="009E5599"/>
    <w:rsid w:val="009E5BD4"/>
    <w:rsid w:val="009E662B"/>
    <w:rsid w:val="009E6681"/>
    <w:rsid w:val="009E679B"/>
    <w:rsid w:val="009E7668"/>
    <w:rsid w:val="009E7E4A"/>
    <w:rsid w:val="009F018B"/>
    <w:rsid w:val="009F0CD6"/>
    <w:rsid w:val="009F0EE4"/>
    <w:rsid w:val="009F130F"/>
    <w:rsid w:val="009F1360"/>
    <w:rsid w:val="009F13B6"/>
    <w:rsid w:val="009F174B"/>
    <w:rsid w:val="009F1DD0"/>
    <w:rsid w:val="009F2061"/>
    <w:rsid w:val="009F20AD"/>
    <w:rsid w:val="009F2198"/>
    <w:rsid w:val="009F3533"/>
    <w:rsid w:val="009F367D"/>
    <w:rsid w:val="009F36BC"/>
    <w:rsid w:val="009F370D"/>
    <w:rsid w:val="009F3D01"/>
    <w:rsid w:val="009F3F24"/>
    <w:rsid w:val="009F4296"/>
    <w:rsid w:val="009F441C"/>
    <w:rsid w:val="009F4852"/>
    <w:rsid w:val="009F4DBD"/>
    <w:rsid w:val="009F4E2D"/>
    <w:rsid w:val="009F5A2F"/>
    <w:rsid w:val="009F5EE3"/>
    <w:rsid w:val="009F64F3"/>
    <w:rsid w:val="009F6CBD"/>
    <w:rsid w:val="009F77FF"/>
    <w:rsid w:val="009F7D8F"/>
    <w:rsid w:val="00A00228"/>
    <w:rsid w:val="00A009E1"/>
    <w:rsid w:val="00A00D1B"/>
    <w:rsid w:val="00A00D6E"/>
    <w:rsid w:val="00A01498"/>
    <w:rsid w:val="00A01504"/>
    <w:rsid w:val="00A01ACC"/>
    <w:rsid w:val="00A01B64"/>
    <w:rsid w:val="00A01E46"/>
    <w:rsid w:val="00A01FC4"/>
    <w:rsid w:val="00A01FDB"/>
    <w:rsid w:val="00A02620"/>
    <w:rsid w:val="00A02ED2"/>
    <w:rsid w:val="00A040EF"/>
    <w:rsid w:val="00A041B7"/>
    <w:rsid w:val="00A04B95"/>
    <w:rsid w:val="00A05B04"/>
    <w:rsid w:val="00A05D45"/>
    <w:rsid w:val="00A05DE5"/>
    <w:rsid w:val="00A05FF1"/>
    <w:rsid w:val="00A06026"/>
    <w:rsid w:val="00A06864"/>
    <w:rsid w:val="00A06F9F"/>
    <w:rsid w:val="00A07714"/>
    <w:rsid w:val="00A07AFE"/>
    <w:rsid w:val="00A10313"/>
    <w:rsid w:val="00A1084E"/>
    <w:rsid w:val="00A11127"/>
    <w:rsid w:val="00A123A9"/>
    <w:rsid w:val="00A1278A"/>
    <w:rsid w:val="00A12B06"/>
    <w:rsid w:val="00A14148"/>
    <w:rsid w:val="00A141AC"/>
    <w:rsid w:val="00A14709"/>
    <w:rsid w:val="00A14B57"/>
    <w:rsid w:val="00A14E1C"/>
    <w:rsid w:val="00A153D5"/>
    <w:rsid w:val="00A15FC8"/>
    <w:rsid w:val="00A1600F"/>
    <w:rsid w:val="00A16123"/>
    <w:rsid w:val="00A16F60"/>
    <w:rsid w:val="00A179E6"/>
    <w:rsid w:val="00A2038C"/>
    <w:rsid w:val="00A21474"/>
    <w:rsid w:val="00A21E99"/>
    <w:rsid w:val="00A21EC1"/>
    <w:rsid w:val="00A22073"/>
    <w:rsid w:val="00A228D3"/>
    <w:rsid w:val="00A2303D"/>
    <w:rsid w:val="00A23729"/>
    <w:rsid w:val="00A23D03"/>
    <w:rsid w:val="00A24514"/>
    <w:rsid w:val="00A24594"/>
    <w:rsid w:val="00A24CDD"/>
    <w:rsid w:val="00A252B2"/>
    <w:rsid w:val="00A25D9F"/>
    <w:rsid w:val="00A25E81"/>
    <w:rsid w:val="00A264E4"/>
    <w:rsid w:val="00A2691C"/>
    <w:rsid w:val="00A26BA5"/>
    <w:rsid w:val="00A27FD4"/>
    <w:rsid w:val="00A302FC"/>
    <w:rsid w:val="00A303A1"/>
    <w:rsid w:val="00A30696"/>
    <w:rsid w:val="00A30ABB"/>
    <w:rsid w:val="00A30B4E"/>
    <w:rsid w:val="00A31221"/>
    <w:rsid w:val="00A313BC"/>
    <w:rsid w:val="00A3191F"/>
    <w:rsid w:val="00A31B3F"/>
    <w:rsid w:val="00A31ED5"/>
    <w:rsid w:val="00A32057"/>
    <w:rsid w:val="00A3221C"/>
    <w:rsid w:val="00A333AD"/>
    <w:rsid w:val="00A33BD3"/>
    <w:rsid w:val="00A34032"/>
    <w:rsid w:val="00A349CB"/>
    <w:rsid w:val="00A3510B"/>
    <w:rsid w:val="00A375AC"/>
    <w:rsid w:val="00A377D2"/>
    <w:rsid w:val="00A37962"/>
    <w:rsid w:val="00A379DC"/>
    <w:rsid w:val="00A37AD2"/>
    <w:rsid w:val="00A37CDF"/>
    <w:rsid w:val="00A37E55"/>
    <w:rsid w:val="00A407DF"/>
    <w:rsid w:val="00A40F17"/>
    <w:rsid w:val="00A414C1"/>
    <w:rsid w:val="00A415E1"/>
    <w:rsid w:val="00A418F4"/>
    <w:rsid w:val="00A419AA"/>
    <w:rsid w:val="00A41CDA"/>
    <w:rsid w:val="00A41E82"/>
    <w:rsid w:val="00A42647"/>
    <w:rsid w:val="00A42761"/>
    <w:rsid w:val="00A42B06"/>
    <w:rsid w:val="00A42C8D"/>
    <w:rsid w:val="00A43B9F"/>
    <w:rsid w:val="00A45082"/>
    <w:rsid w:val="00A450AD"/>
    <w:rsid w:val="00A452DD"/>
    <w:rsid w:val="00A46558"/>
    <w:rsid w:val="00A468A3"/>
    <w:rsid w:val="00A47013"/>
    <w:rsid w:val="00A4709D"/>
    <w:rsid w:val="00A471BD"/>
    <w:rsid w:val="00A474C0"/>
    <w:rsid w:val="00A475F7"/>
    <w:rsid w:val="00A47763"/>
    <w:rsid w:val="00A477C5"/>
    <w:rsid w:val="00A47BC4"/>
    <w:rsid w:val="00A50393"/>
    <w:rsid w:val="00A5047A"/>
    <w:rsid w:val="00A509D1"/>
    <w:rsid w:val="00A50F08"/>
    <w:rsid w:val="00A52D4B"/>
    <w:rsid w:val="00A5320C"/>
    <w:rsid w:val="00A53CDB"/>
    <w:rsid w:val="00A544D5"/>
    <w:rsid w:val="00A54515"/>
    <w:rsid w:val="00A54A74"/>
    <w:rsid w:val="00A54D12"/>
    <w:rsid w:val="00A54F01"/>
    <w:rsid w:val="00A55015"/>
    <w:rsid w:val="00A55194"/>
    <w:rsid w:val="00A556D1"/>
    <w:rsid w:val="00A55B83"/>
    <w:rsid w:val="00A5622C"/>
    <w:rsid w:val="00A56D2C"/>
    <w:rsid w:val="00A56ED6"/>
    <w:rsid w:val="00A57331"/>
    <w:rsid w:val="00A573F2"/>
    <w:rsid w:val="00A600AD"/>
    <w:rsid w:val="00A60CCF"/>
    <w:rsid w:val="00A62442"/>
    <w:rsid w:val="00A62766"/>
    <w:rsid w:val="00A62D33"/>
    <w:rsid w:val="00A62EE1"/>
    <w:rsid w:val="00A63A42"/>
    <w:rsid w:val="00A6452F"/>
    <w:rsid w:val="00A64849"/>
    <w:rsid w:val="00A65D43"/>
    <w:rsid w:val="00A664D7"/>
    <w:rsid w:val="00A66F42"/>
    <w:rsid w:val="00A6784F"/>
    <w:rsid w:val="00A67A10"/>
    <w:rsid w:val="00A70748"/>
    <w:rsid w:val="00A70C71"/>
    <w:rsid w:val="00A716B5"/>
    <w:rsid w:val="00A718B5"/>
    <w:rsid w:val="00A71A4F"/>
    <w:rsid w:val="00A72D0E"/>
    <w:rsid w:val="00A73457"/>
    <w:rsid w:val="00A739F8"/>
    <w:rsid w:val="00A73F8E"/>
    <w:rsid w:val="00A75848"/>
    <w:rsid w:val="00A7584E"/>
    <w:rsid w:val="00A76E0D"/>
    <w:rsid w:val="00A7795F"/>
    <w:rsid w:val="00A77B5A"/>
    <w:rsid w:val="00A80342"/>
    <w:rsid w:val="00A807D4"/>
    <w:rsid w:val="00A80BCA"/>
    <w:rsid w:val="00A81663"/>
    <w:rsid w:val="00A81AAD"/>
    <w:rsid w:val="00A81C62"/>
    <w:rsid w:val="00A8213A"/>
    <w:rsid w:val="00A825FE"/>
    <w:rsid w:val="00A82BFA"/>
    <w:rsid w:val="00A837AB"/>
    <w:rsid w:val="00A837CC"/>
    <w:rsid w:val="00A8406D"/>
    <w:rsid w:val="00A842FD"/>
    <w:rsid w:val="00A84859"/>
    <w:rsid w:val="00A848AF"/>
    <w:rsid w:val="00A84A9C"/>
    <w:rsid w:val="00A84E39"/>
    <w:rsid w:val="00A85502"/>
    <w:rsid w:val="00A858F4"/>
    <w:rsid w:val="00A85A7D"/>
    <w:rsid w:val="00A87688"/>
    <w:rsid w:val="00A87B46"/>
    <w:rsid w:val="00A90021"/>
    <w:rsid w:val="00A90273"/>
    <w:rsid w:val="00A917D9"/>
    <w:rsid w:val="00A91835"/>
    <w:rsid w:val="00A9195A"/>
    <w:rsid w:val="00A92A4D"/>
    <w:rsid w:val="00A92AB9"/>
    <w:rsid w:val="00A9390F"/>
    <w:rsid w:val="00A93D3A"/>
    <w:rsid w:val="00A9449A"/>
    <w:rsid w:val="00A94DA4"/>
    <w:rsid w:val="00A958A0"/>
    <w:rsid w:val="00A95B8F"/>
    <w:rsid w:val="00A95E39"/>
    <w:rsid w:val="00A95E40"/>
    <w:rsid w:val="00A9731E"/>
    <w:rsid w:val="00AA002E"/>
    <w:rsid w:val="00AA0344"/>
    <w:rsid w:val="00AA0CB9"/>
    <w:rsid w:val="00AA109C"/>
    <w:rsid w:val="00AA1364"/>
    <w:rsid w:val="00AA1399"/>
    <w:rsid w:val="00AA1E2B"/>
    <w:rsid w:val="00AA215C"/>
    <w:rsid w:val="00AA229E"/>
    <w:rsid w:val="00AA2BC3"/>
    <w:rsid w:val="00AA2CB3"/>
    <w:rsid w:val="00AA33D3"/>
    <w:rsid w:val="00AA4086"/>
    <w:rsid w:val="00AA4739"/>
    <w:rsid w:val="00AA56D1"/>
    <w:rsid w:val="00AA7113"/>
    <w:rsid w:val="00AB0475"/>
    <w:rsid w:val="00AB0A1B"/>
    <w:rsid w:val="00AB102C"/>
    <w:rsid w:val="00AB103B"/>
    <w:rsid w:val="00AB140A"/>
    <w:rsid w:val="00AB142E"/>
    <w:rsid w:val="00AB16DA"/>
    <w:rsid w:val="00AB1877"/>
    <w:rsid w:val="00AB1ADB"/>
    <w:rsid w:val="00AB21CD"/>
    <w:rsid w:val="00AB236C"/>
    <w:rsid w:val="00AB2710"/>
    <w:rsid w:val="00AB30BC"/>
    <w:rsid w:val="00AB47F3"/>
    <w:rsid w:val="00AB4961"/>
    <w:rsid w:val="00AB4BCF"/>
    <w:rsid w:val="00AB55AB"/>
    <w:rsid w:val="00AB58F4"/>
    <w:rsid w:val="00AB6847"/>
    <w:rsid w:val="00AB6C9A"/>
    <w:rsid w:val="00AB794A"/>
    <w:rsid w:val="00AC05F7"/>
    <w:rsid w:val="00AC0F32"/>
    <w:rsid w:val="00AC1E2D"/>
    <w:rsid w:val="00AC235C"/>
    <w:rsid w:val="00AC254E"/>
    <w:rsid w:val="00AC2B99"/>
    <w:rsid w:val="00AC2D0B"/>
    <w:rsid w:val="00AC343D"/>
    <w:rsid w:val="00AC3461"/>
    <w:rsid w:val="00AC35CC"/>
    <w:rsid w:val="00AC3EAB"/>
    <w:rsid w:val="00AC3F4E"/>
    <w:rsid w:val="00AC4220"/>
    <w:rsid w:val="00AC4CA6"/>
    <w:rsid w:val="00AC4CB2"/>
    <w:rsid w:val="00AC59F1"/>
    <w:rsid w:val="00AC654B"/>
    <w:rsid w:val="00AC6954"/>
    <w:rsid w:val="00AC79CE"/>
    <w:rsid w:val="00AD0766"/>
    <w:rsid w:val="00AD08FD"/>
    <w:rsid w:val="00AD228A"/>
    <w:rsid w:val="00AD26EA"/>
    <w:rsid w:val="00AD30EF"/>
    <w:rsid w:val="00AD3A38"/>
    <w:rsid w:val="00AD567E"/>
    <w:rsid w:val="00AD66FF"/>
    <w:rsid w:val="00AD7743"/>
    <w:rsid w:val="00AE0044"/>
    <w:rsid w:val="00AE0FCF"/>
    <w:rsid w:val="00AE105C"/>
    <w:rsid w:val="00AE1560"/>
    <w:rsid w:val="00AE270A"/>
    <w:rsid w:val="00AE29E1"/>
    <w:rsid w:val="00AE2ACE"/>
    <w:rsid w:val="00AE2B0C"/>
    <w:rsid w:val="00AE2C11"/>
    <w:rsid w:val="00AE2F2F"/>
    <w:rsid w:val="00AE31A8"/>
    <w:rsid w:val="00AE3A16"/>
    <w:rsid w:val="00AE3A6C"/>
    <w:rsid w:val="00AE3E64"/>
    <w:rsid w:val="00AE44C2"/>
    <w:rsid w:val="00AE54D4"/>
    <w:rsid w:val="00AE6649"/>
    <w:rsid w:val="00AE68E7"/>
    <w:rsid w:val="00AE6C87"/>
    <w:rsid w:val="00AE705A"/>
    <w:rsid w:val="00AE70A2"/>
    <w:rsid w:val="00AE72AF"/>
    <w:rsid w:val="00AE7481"/>
    <w:rsid w:val="00AE7570"/>
    <w:rsid w:val="00AE79E2"/>
    <w:rsid w:val="00AE7EEA"/>
    <w:rsid w:val="00AF16A6"/>
    <w:rsid w:val="00AF21AD"/>
    <w:rsid w:val="00AF2B0E"/>
    <w:rsid w:val="00AF2FFF"/>
    <w:rsid w:val="00AF4485"/>
    <w:rsid w:val="00AF47C6"/>
    <w:rsid w:val="00AF47EF"/>
    <w:rsid w:val="00AF4EA5"/>
    <w:rsid w:val="00AF5CA6"/>
    <w:rsid w:val="00AF60C0"/>
    <w:rsid w:val="00AF672C"/>
    <w:rsid w:val="00AF7B74"/>
    <w:rsid w:val="00B006C3"/>
    <w:rsid w:val="00B00965"/>
    <w:rsid w:val="00B00BE5"/>
    <w:rsid w:val="00B00C83"/>
    <w:rsid w:val="00B01049"/>
    <w:rsid w:val="00B01740"/>
    <w:rsid w:val="00B0174D"/>
    <w:rsid w:val="00B01E46"/>
    <w:rsid w:val="00B02690"/>
    <w:rsid w:val="00B02907"/>
    <w:rsid w:val="00B02D25"/>
    <w:rsid w:val="00B0375C"/>
    <w:rsid w:val="00B0383B"/>
    <w:rsid w:val="00B038B2"/>
    <w:rsid w:val="00B04B33"/>
    <w:rsid w:val="00B04B59"/>
    <w:rsid w:val="00B04BFC"/>
    <w:rsid w:val="00B04C96"/>
    <w:rsid w:val="00B0516C"/>
    <w:rsid w:val="00B06628"/>
    <w:rsid w:val="00B068F6"/>
    <w:rsid w:val="00B06AC9"/>
    <w:rsid w:val="00B06EB0"/>
    <w:rsid w:val="00B071B4"/>
    <w:rsid w:val="00B1104E"/>
    <w:rsid w:val="00B124A2"/>
    <w:rsid w:val="00B12774"/>
    <w:rsid w:val="00B137AB"/>
    <w:rsid w:val="00B13F11"/>
    <w:rsid w:val="00B143FC"/>
    <w:rsid w:val="00B148A7"/>
    <w:rsid w:val="00B14FB4"/>
    <w:rsid w:val="00B16108"/>
    <w:rsid w:val="00B164A2"/>
    <w:rsid w:val="00B16C8E"/>
    <w:rsid w:val="00B21546"/>
    <w:rsid w:val="00B2159E"/>
    <w:rsid w:val="00B2311C"/>
    <w:rsid w:val="00B23149"/>
    <w:rsid w:val="00B231B3"/>
    <w:rsid w:val="00B23796"/>
    <w:rsid w:val="00B238C8"/>
    <w:rsid w:val="00B23A3E"/>
    <w:rsid w:val="00B23C33"/>
    <w:rsid w:val="00B243ED"/>
    <w:rsid w:val="00B24423"/>
    <w:rsid w:val="00B254B0"/>
    <w:rsid w:val="00B254D6"/>
    <w:rsid w:val="00B259FE"/>
    <w:rsid w:val="00B25C84"/>
    <w:rsid w:val="00B25E99"/>
    <w:rsid w:val="00B2730F"/>
    <w:rsid w:val="00B30405"/>
    <w:rsid w:val="00B30DC2"/>
    <w:rsid w:val="00B30DEF"/>
    <w:rsid w:val="00B30F07"/>
    <w:rsid w:val="00B30F46"/>
    <w:rsid w:val="00B311D2"/>
    <w:rsid w:val="00B31414"/>
    <w:rsid w:val="00B314FD"/>
    <w:rsid w:val="00B3153E"/>
    <w:rsid w:val="00B3181F"/>
    <w:rsid w:val="00B31B5D"/>
    <w:rsid w:val="00B32231"/>
    <w:rsid w:val="00B3279D"/>
    <w:rsid w:val="00B32E61"/>
    <w:rsid w:val="00B32E7D"/>
    <w:rsid w:val="00B33689"/>
    <w:rsid w:val="00B336C3"/>
    <w:rsid w:val="00B34135"/>
    <w:rsid w:val="00B3413B"/>
    <w:rsid w:val="00B3426A"/>
    <w:rsid w:val="00B346DB"/>
    <w:rsid w:val="00B35629"/>
    <w:rsid w:val="00B35A88"/>
    <w:rsid w:val="00B36CA4"/>
    <w:rsid w:val="00B37204"/>
    <w:rsid w:val="00B37221"/>
    <w:rsid w:val="00B373B7"/>
    <w:rsid w:val="00B37443"/>
    <w:rsid w:val="00B379FF"/>
    <w:rsid w:val="00B37B78"/>
    <w:rsid w:val="00B4088B"/>
    <w:rsid w:val="00B41B1B"/>
    <w:rsid w:val="00B42002"/>
    <w:rsid w:val="00B42208"/>
    <w:rsid w:val="00B4239C"/>
    <w:rsid w:val="00B43053"/>
    <w:rsid w:val="00B43AC4"/>
    <w:rsid w:val="00B4445D"/>
    <w:rsid w:val="00B444BD"/>
    <w:rsid w:val="00B44D9E"/>
    <w:rsid w:val="00B44F97"/>
    <w:rsid w:val="00B45F94"/>
    <w:rsid w:val="00B46204"/>
    <w:rsid w:val="00B46B52"/>
    <w:rsid w:val="00B46B8E"/>
    <w:rsid w:val="00B47266"/>
    <w:rsid w:val="00B4790A"/>
    <w:rsid w:val="00B5006C"/>
    <w:rsid w:val="00B504B6"/>
    <w:rsid w:val="00B506B6"/>
    <w:rsid w:val="00B50887"/>
    <w:rsid w:val="00B5163A"/>
    <w:rsid w:val="00B518D1"/>
    <w:rsid w:val="00B51B72"/>
    <w:rsid w:val="00B51E6E"/>
    <w:rsid w:val="00B521E4"/>
    <w:rsid w:val="00B52439"/>
    <w:rsid w:val="00B5345B"/>
    <w:rsid w:val="00B5391B"/>
    <w:rsid w:val="00B53B27"/>
    <w:rsid w:val="00B53E0F"/>
    <w:rsid w:val="00B54174"/>
    <w:rsid w:val="00B5468D"/>
    <w:rsid w:val="00B54C10"/>
    <w:rsid w:val="00B54C9F"/>
    <w:rsid w:val="00B55113"/>
    <w:rsid w:val="00B55121"/>
    <w:rsid w:val="00B55245"/>
    <w:rsid w:val="00B56035"/>
    <w:rsid w:val="00B56F16"/>
    <w:rsid w:val="00B56F72"/>
    <w:rsid w:val="00B57787"/>
    <w:rsid w:val="00B60120"/>
    <w:rsid w:val="00B6020B"/>
    <w:rsid w:val="00B60B97"/>
    <w:rsid w:val="00B61155"/>
    <w:rsid w:val="00B61600"/>
    <w:rsid w:val="00B6229B"/>
    <w:rsid w:val="00B628AE"/>
    <w:rsid w:val="00B62E96"/>
    <w:rsid w:val="00B6303F"/>
    <w:rsid w:val="00B632AC"/>
    <w:rsid w:val="00B63C59"/>
    <w:rsid w:val="00B63C9B"/>
    <w:rsid w:val="00B64854"/>
    <w:rsid w:val="00B648B4"/>
    <w:rsid w:val="00B655D5"/>
    <w:rsid w:val="00B65727"/>
    <w:rsid w:val="00B65ABB"/>
    <w:rsid w:val="00B65C1F"/>
    <w:rsid w:val="00B6643D"/>
    <w:rsid w:val="00B67007"/>
    <w:rsid w:val="00B671CA"/>
    <w:rsid w:val="00B67259"/>
    <w:rsid w:val="00B67B8B"/>
    <w:rsid w:val="00B70935"/>
    <w:rsid w:val="00B713FB"/>
    <w:rsid w:val="00B7174D"/>
    <w:rsid w:val="00B71DAE"/>
    <w:rsid w:val="00B720F9"/>
    <w:rsid w:val="00B72899"/>
    <w:rsid w:val="00B72E2D"/>
    <w:rsid w:val="00B73F1A"/>
    <w:rsid w:val="00B74444"/>
    <w:rsid w:val="00B764B5"/>
    <w:rsid w:val="00B76DD5"/>
    <w:rsid w:val="00B76E10"/>
    <w:rsid w:val="00B76E93"/>
    <w:rsid w:val="00B77050"/>
    <w:rsid w:val="00B7734D"/>
    <w:rsid w:val="00B77DE3"/>
    <w:rsid w:val="00B77EE5"/>
    <w:rsid w:val="00B77F7B"/>
    <w:rsid w:val="00B806F8"/>
    <w:rsid w:val="00B808B3"/>
    <w:rsid w:val="00B80F21"/>
    <w:rsid w:val="00B80F36"/>
    <w:rsid w:val="00B8134A"/>
    <w:rsid w:val="00B8196E"/>
    <w:rsid w:val="00B822CD"/>
    <w:rsid w:val="00B825EE"/>
    <w:rsid w:val="00B829BB"/>
    <w:rsid w:val="00B82B78"/>
    <w:rsid w:val="00B82D57"/>
    <w:rsid w:val="00B834CA"/>
    <w:rsid w:val="00B83BAA"/>
    <w:rsid w:val="00B83CF8"/>
    <w:rsid w:val="00B84C56"/>
    <w:rsid w:val="00B85366"/>
    <w:rsid w:val="00B85724"/>
    <w:rsid w:val="00B85B54"/>
    <w:rsid w:val="00B866C4"/>
    <w:rsid w:val="00B86ABA"/>
    <w:rsid w:val="00B86FEF"/>
    <w:rsid w:val="00B872DF"/>
    <w:rsid w:val="00B875A7"/>
    <w:rsid w:val="00B8790A"/>
    <w:rsid w:val="00B87C49"/>
    <w:rsid w:val="00B906B2"/>
    <w:rsid w:val="00B90C3E"/>
    <w:rsid w:val="00B920B8"/>
    <w:rsid w:val="00B92130"/>
    <w:rsid w:val="00B93D45"/>
    <w:rsid w:val="00B94043"/>
    <w:rsid w:val="00B94777"/>
    <w:rsid w:val="00B94856"/>
    <w:rsid w:val="00B94CEC"/>
    <w:rsid w:val="00B9506C"/>
    <w:rsid w:val="00B9543E"/>
    <w:rsid w:val="00B959F9"/>
    <w:rsid w:val="00B95FFF"/>
    <w:rsid w:val="00B96178"/>
    <w:rsid w:val="00B96849"/>
    <w:rsid w:val="00B96D91"/>
    <w:rsid w:val="00B971B4"/>
    <w:rsid w:val="00B974F0"/>
    <w:rsid w:val="00B978B5"/>
    <w:rsid w:val="00B97A0D"/>
    <w:rsid w:val="00B97ABF"/>
    <w:rsid w:val="00BA030B"/>
    <w:rsid w:val="00BA0644"/>
    <w:rsid w:val="00BA1019"/>
    <w:rsid w:val="00BA110A"/>
    <w:rsid w:val="00BA14CF"/>
    <w:rsid w:val="00BA1EA0"/>
    <w:rsid w:val="00BA295F"/>
    <w:rsid w:val="00BA3195"/>
    <w:rsid w:val="00BA353B"/>
    <w:rsid w:val="00BA3696"/>
    <w:rsid w:val="00BA38FC"/>
    <w:rsid w:val="00BA3FA1"/>
    <w:rsid w:val="00BA40CD"/>
    <w:rsid w:val="00BA4DE2"/>
    <w:rsid w:val="00BA517E"/>
    <w:rsid w:val="00BA6E70"/>
    <w:rsid w:val="00BA6E92"/>
    <w:rsid w:val="00BA7112"/>
    <w:rsid w:val="00BA76CD"/>
    <w:rsid w:val="00BB0335"/>
    <w:rsid w:val="00BB1726"/>
    <w:rsid w:val="00BB24AF"/>
    <w:rsid w:val="00BB27A7"/>
    <w:rsid w:val="00BB28FC"/>
    <w:rsid w:val="00BB2E7A"/>
    <w:rsid w:val="00BB33E8"/>
    <w:rsid w:val="00BB3A5A"/>
    <w:rsid w:val="00BB5508"/>
    <w:rsid w:val="00BB55EC"/>
    <w:rsid w:val="00BB562D"/>
    <w:rsid w:val="00BB60B4"/>
    <w:rsid w:val="00BB60EB"/>
    <w:rsid w:val="00BC016F"/>
    <w:rsid w:val="00BC0317"/>
    <w:rsid w:val="00BC0332"/>
    <w:rsid w:val="00BC0937"/>
    <w:rsid w:val="00BC16C1"/>
    <w:rsid w:val="00BC1897"/>
    <w:rsid w:val="00BC1E5D"/>
    <w:rsid w:val="00BC1F51"/>
    <w:rsid w:val="00BC226F"/>
    <w:rsid w:val="00BC2451"/>
    <w:rsid w:val="00BC2A13"/>
    <w:rsid w:val="00BC2FA9"/>
    <w:rsid w:val="00BC3045"/>
    <w:rsid w:val="00BC325E"/>
    <w:rsid w:val="00BC3C10"/>
    <w:rsid w:val="00BC3C63"/>
    <w:rsid w:val="00BC40E0"/>
    <w:rsid w:val="00BC4E82"/>
    <w:rsid w:val="00BC5151"/>
    <w:rsid w:val="00BC52FF"/>
    <w:rsid w:val="00BC57B9"/>
    <w:rsid w:val="00BC5A90"/>
    <w:rsid w:val="00BC5C6D"/>
    <w:rsid w:val="00BC5DC9"/>
    <w:rsid w:val="00BC63AA"/>
    <w:rsid w:val="00BC657B"/>
    <w:rsid w:val="00BC6779"/>
    <w:rsid w:val="00BC6A9A"/>
    <w:rsid w:val="00BC71DA"/>
    <w:rsid w:val="00BC73DF"/>
    <w:rsid w:val="00BC74CE"/>
    <w:rsid w:val="00BC7F17"/>
    <w:rsid w:val="00BD050D"/>
    <w:rsid w:val="00BD0EAE"/>
    <w:rsid w:val="00BD11F6"/>
    <w:rsid w:val="00BD1A78"/>
    <w:rsid w:val="00BD1DBA"/>
    <w:rsid w:val="00BD3868"/>
    <w:rsid w:val="00BD3969"/>
    <w:rsid w:val="00BD458D"/>
    <w:rsid w:val="00BD494E"/>
    <w:rsid w:val="00BD49A3"/>
    <w:rsid w:val="00BD5BF9"/>
    <w:rsid w:val="00BD6263"/>
    <w:rsid w:val="00BD6407"/>
    <w:rsid w:val="00BD68AA"/>
    <w:rsid w:val="00BD6D9A"/>
    <w:rsid w:val="00BD75F2"/>
    <w:rsid w:val="00BD79ED"/>
    <w:rsid w:val="00BD7A43"/>
    <w:rsid w:val="00BE090B"/>
    <w:rsid w:val="00BE10BC"/>
    <w:rsid w:val="00BE138B"/>
    <w:rsid w:val="00BE18E9"/>
    <w:rsid w:val="00BE1EF9"/>
    <w:rsid w:val="00BE24CC"/>
    <w:rsid w:val="00BE2B92"/>
    <w:rsid w:val="00BE2F2B"/>
    <w:rsid w:val="00BE3B8F"/>
    <w:rsid w:val="00BE4423"/>
    <w:rsid w:val="00BE46A9"/>
    <w:rsid w:val="00BE46F5"/>
    <w:rsid w:val="00BE5BA8"/>
    <w:rsid w:val="00BE60A8"/>
    <w:rsid w:val="00BE7238"/>
    <w:rsid w:val="00BE7290"/>
    <w:rsid w:val="00BE75B2"/>
    <w:rsid w:val="00BE7B33"/>
    <w:rsid w:val="00BF0140"/>
    <w:rsid w:val="00BF0514"/>
    <w:rsid w:val="00BF0E5B"/>
    <w:rsid w:val="00BF0FD1"/>
    <w:rsid w:val="00BF18D2"/>
    <w:rsid w:val="00BF1D19"/>
    <w:rsid w:val="00BF1E98"/>
    <w:rsid w:val="00BF1EB3"/>
    <w:rsid w:val="00BF203C"/>
    <w:rsid w:val="00BF25AF"/>
    <w:rsid w:val="00BF3A9E"/>
    <w:rsid w:val="00BF3C3F"/>
    <w:rsid w:val="00BF3CAE"/>
    <w:rsid w:val="00BF428A"/>
    <w:rsid w:val="00BF432C"/>
    <w:rsid w:val="00BF441C"/>
    <w:rsid w:val="00BF4A06"/>
    <w:rsid w:val="00BF516A"/>
    <w:rsid w:val="00BF532B"/>
    <w:rsid w:val="00BF5A50"/>
    <w:rsid w:val="00BF676D"/>
    <w:rsid w:val="00BF694B"/>
    <w:rsid w:val="00BF6E5F"/>
    <w:rsid w:val="00BF739C"/>
    <w:rsid w:val="00BF784C"/>
    <w:rsid w:val="00BF7FD8"/>
    <w:rsid w:val="00C00B2C"/>
    <w:rsid w:val="00C0263D"/>
    <w:rsid w:val="00C027FA"/>
    <w:rsid w:val="00C0282F"/>
    <w:rsid w:val="00C03989"/>
    <w:rsid w:val="00C039BF"/>
    <w:rsid w:val="00C047F0"/>
    <w:rsid w:val="00C04F88"/>
    <w:rsid w:val="00C0552D"/>
    <w:rsid w:val="00C05812"/>
    <w:rsid w:val="00C059B3"/>
    <w:rsid w:val="00C05FC2"/>
    <w:rsid w:val="00C06228"/>
    <w:rsid w:val="00C0628D"/>
    <w:rsid w:val="00C06C9D"/>
    <w:rsid w:val="00C06F1C"/>
    <w:rsid w:val="00C072D3"/>
    <w:rsid w:val="00C0776E"/>
    <w:rsid w:val="00C103C6"/>
    <w:rsid w:val="00C1059F"/>
    <w:rsid w:val="00C1128A"/>
    <w:rsid w:val="00C11821"/>
    <w:rsid w:val="00C11B4E"/>
    <w:rsid w:val="00C11B5C"/>
    <w:rsid w:val="00C1212B"/>
    <w:rsid w:val="00C1233C"/>
    <w:rsid w:val="00C128C1"/>
    <w:rsid w:val="00C134F4"/>
    <w:rsid w:val="00C1361B"/>
    <w:rsid w:val="00C13878"/>
    <w:rsid w:val="00C13A8E"/>
    <w:rsid w:val="00C14518"/>
    <w:rsid w:val="00C14958"/>
    <w:rsid w:val="00C14E52"/>
    <w:rsid w:val="00C15272"/>
    <w:rsid w:val="00C1570A"/>
    <w:rsid w:val="00C16509"/>
    <w:rsid w:val="00C1672E"/>
    <w:rsid w:val="00C16AB9"/>
    <w:rsid w:val="00C1767F"/>
    <w:rsid w:val="00C17AD8"/>
    <w:rsid w:val="00C17E8D"/>
    <w:rsid w:val="00C20919"/>
    <w:rsid w:val="00C20ACC"/>
    <w:rsid w:val="00C210B0"/>
    <w:rsid w:val="00C22485"/>
    <w:rsid w:val="00C238BA"/>
    <w:rsid w:val="00C24A96"/>
    <w:rsid w:val="00C24D29"/>
    <w:rsid w:val="00C25827"/>
    <w:rsid w:val="00C25902"/>
    <w:rsid w:val="00C25A64"/>
    <w:rsid w:val="00C25B0E"/>
    <w:rsid w:val="00C2650B"/>
    <w:rsid w:val="00C26984"/>
    <w:rsid w:val="00C26D12"/>
    <w:rsid w:val="00C2707D"/>
    <w:rsid w:val="00C272C7"/>
    <w:rsid w:val="00C27B0A"/>
    <w:rsid w:val="00C300A3"/>
    <w:rsid w:val="00C31330"/>
    <w:rsid w:val="00C318C5"/>
    <w:rsid w:val="00C31A6A"/>
    <w:rsid w:val="00C31EB7"/>
    <w:rsid w:val="00C32196"/>
    <w:rsid w:val="00C32713"/>
    <w:rsid w:val="00C32C70"/>
    <w:rsid w:val="00C32FD2"/>
    <w:rsid w:val="00C34651"/>
    <w:rsid w:val="00C347DA"/>
    <w:rsid w:val="00C348CF"/>
    <w:rsid w:val="00C34A49"/>
    <w:rsid w:val="00C351D3"/>
    <w:rsid w:val="00C35833"/>
    <w:rsid w:val="00C36331"/>
    <w:rsid w:val="00C36CFE"/>
    <w:rsid w:val="00C37391"/>
    <w:rsid w:val="00C37516"/>
    <w:rsid w:val="00C378D6"/>
    <w:rsid w:val="00C37AB8"/>
    <w:rsid w:val="00C40106"/>
    <w:rsid w:val="00C40363"/>
    <w:rsid w:val="00C4043E"/>
    <w:rsid w:val="00C404A1"/>
    <w:rsid w:val="00C406E2"/>
    <w:rsid w:val="00C408C0"/>
    <w:rsid w:val="00C41208"/>
    <w:rsid w:val="00C41379"/>
    <w:rsid w:val="00C41877"/>
    <w:rsid w:val="00C41A85"/>
    <w:rsid w:val="00C423AF"/>
    <w:rsid w:val="00C42424"/>
    <w:rsid w:val="00C42675"/>
    <w:rsid w:val="00C42A46"/>
    <w:rsid w:val="00C42D4E"/>
    <w:rsid w:val="00C42FF8"/>
    <w:rsid w:val="00C43052"/>
    <w:rsid w:val="00C431D7"/>
    <w:rsid w:val="00C434EF"/>
    <w:rsid w:val="00C43616"/>
    <w:rsid w:val="00C448AA"/>
    <w:rsid w:val="00C44B0F"/>
    <w:rsid w:val="00C44C52"/>
    <w:rsid w:val="00C44FDE"/>
    <w:rsid w:val="00C44FDF"/>
    <w:rsid w:val="00C451E2"/>
    <w:rsid w:val="00C45484"/>
    <w:rsid w:val="00C45F5E"/>
    <w:rsid w:val="00C46867"/>
    <w:rsid w:val="00C46A9D"/>
    <w:rsid w:val="00C46DAA"/>
    <w:rsid w:val="00C46E55"/>
    <w:rsid w:val="00C46EA9"/>
    <w:rsid w:val="00C47311"/>
    <w:rsid w:val="00C4761A"/>
    <w:rsid w:val="00C50C0F"/>
    <w:rsid w:val="00C50E12"/>
    <w:rsid w:val="00C50F9A"/>
    <w:rsid w:val="00C516D8"/>
    <w:rsid w:val="00C52590"/>
    <w:rsid w:val="00C53879"/>
    <w:rsid w:val="00C54072"/>
    <w:rsid w:val="00C54C99"/>
    <w:rsid w:val="00C55021"/>
    <w:rsid w:val="00C55F9C"/>
    <w:rsid w:val="00C56996"/>
    <w:rsid w:val="00C56BBF"/>
    <w:rsid w:val="00C56D91"/>
    <w:rsid w:val="00C571DB"/>
    <w:rsid w:val="00C577FD"/>
    <w:rsid w:val="00C57D06"/>
    <w:rsid w:val="00C601FB"/>
    <w:rsid w:val="00C606A7"/>
    <w:rsid w:val="00C61186"/>
    <w:rsid w:val="00C61DA3"/>
    <w:rsid w:val="00C61F77"/>
    <w:rsid w:val="00C62028"/>
    <w:rsid w:val="00C62731"/>
    <w:rsid w:val="00C634FE"/>
    <w:rsid w:val="00C63AEB"/>
    <w:rsid w:val="00C64270"/>
    <w:rsid w:val="00C6469E"/>
    <w:rsid w:val="00C658B2"/>
    <w:rsid w:val="00C65A75"/>
    <w:rsid w:val="00C66AE8"/>
    <w:rsid w:val="00C67012"/>
    <w:rsid w:val="00C6743F"/>
    <w:rsid w:val="00C6749E"/>
    <w:rsid w:val="00C67DBC"/>
    <w:rsid w:val="00C70107"/>
    <w:rsid w:val="00C707DB"/>
    <w:rsid w:val="00C70D10"/>
    <w:rsid w:val="00C70D77"/>
    <w:rsid w:val="00C71644"/>
    <w:rsid w:val="00C71649"/>
    <w:rsid w:val="00C71BC6"/>
    <w:rsid w:val="00C74213"/>
    <w:rsid w:val="00C750E2"/>
    <w:rsid w:val="00C75CF5"/>
    <w:rsid w:val="00C75EE0"/>
    <w:rsid w:val="00C767D4"/>
    <w:rsid w:val="00C7685A"/>
    <w:rsid w:val="00C779F7"/>
    <w:rsid w:val="00C77C29"/>
    <w:rsid w:val="00C77D28"/>
    <w:rsid w:val="00C802AB"/>
    <w:rsid w:val="00C807F1"/>
    <w:rsid w:val="00C8095B"/>
    <w:rsid w:val="00C80A97"/>
    <w:rsid w:val="00C80B23"/>
    <w:rsid w:val="00C80F02"/>
    <w:rsid w:val="00C82371"/>
    <w:rsid w:val="00C828CA"/>
    <w:rsid w:val="00C82AFE"/>
    <w:rsid w:val="00C830E4"/>
    <w:rsid w:val="00C83178"/>
    <w:rsid w:val="00C83356"/>
    <w:rsid w:val="00C838E0"/>
    <w:rsid w:val="00C8396D"/>
    <w:rsid w:val="00C842B6"/>
    <w:rsid w:val="00C84611"/>
    <w:rsid w:val="00C850DD"/>
    <w:rsid w:val="00C867A2"/>
    <w:rsid w:val="00C868BF"/>
    <w:rsid w:val="00C87492"/>
    <w:rsid w:val="00C8762D"/>
    <w:rsid w:val="00C87C0D"/>
    <w:rsid w:val="00C9072E"/>
    <w:rsid w:val="00C908EE"/>
    <w:rsid w:val="00C90C05"/>
    <w:rsid w:val="00C90C2D"/>
    <w:rsid w:val="00C912C0"/>
    <w:rsid w:val="00C914DD"/>
    <w:rsid w:val="00C9212F"/>
    <w:rsid w:val="00C926DB"/>
    <w:rsid w:val="00C9281C"/>
    <w:rsid w:val="00C92E9B"/>
    <w:rsid w:val="00C9365F"/>
    <w:rsid w:val="00C93A1A"/>
    <w:rsid w:val="00C941FE"/>
    <w:rsid w:val="00C943B5"/>
    <w:rsid w:val="00C94426"/>
    <w:rsid w:val="00C952A6"/>
    <w:rsid w:val="00C95B75"/>
    <w:rsid w:val="00C96766"/>
    <w:rsid w:val="00C96F1E"/>
    <w:rsid w:val="00CA08E0"/>
    <w:rsid w:val="00CA0B96"/>
    <w:rsid w:val="00CA0F18"/>
    <w:rsid w:val="00CA160A"/>
    <w:rsid w:val="00CA2380"/>
    <w:rsid w:val="00CA2878"/>
    <w:rsid w:val="00CA2C2A"/>
    <w:rsid w:val="00CA34A5"/>
    <w:rsid w:val="00CA4330"/>
    <w:rsid w:val="00CA4451"/>
    <w:rsid w:val="00CA464C"/>
    <w:rsid w:val="00CA4A8B"/>
    <w:rsid w:val="00CA4E47"/>
    <w:rsid w:val="00CA514C"/>
    <w:rsid w:val="00CA52DD"/>
    <w:rsid w:val="00CA5FBF"/>
    <w:rsid w:val="00CA634C"/>
    <w:rsid w:val="00CB0083"/>
    <w:rsid w:val="00CB03D0"/>
    <w:rsid w:val="00CB0E24"/>
    <w:rsid w:val="00CB0FE5"/>
    <w:rsid w:val="00CB1465"/>
    <w:rsid w:val="00CB1504"/>
    <w:rsid w:val="00CB1996"/>
    <w:rsid w:val="00CB1FB6"/>
    <w:rsid w:val="00CB23A5"/>
    <w:rsid w:val="00CB2671"/>
    <w:rsid w:val="00CB299F"/>
    <w:rsid w:val="00CB2EE3"/>
    <w:rsid w:val="00CB2F57"/>
    <w:rsid w:val="00CB327E"/>
    <w:rsid w:val="00CB3339"/>
    <w:rsid w:val="00CB433E"/>
    <w:rsid w:val="00CB4B84"/>
    <w:rsid w:val="00CB4DD3"/>
    <w:rsid w:val="00CB59C4"/>
    <w:rsid w:val="00CB6522"/>
    <w:rsid w:val="00CB7101"/>
    <w:rsid w:val="00CB725F"/>
    <w:rsid w:val="00CB7A73"/>
    <w:rsid w:val="00CC0387"/>
    <w:rsid w:val="00CC0B6B"/>
    <w:rsid w:val="00CC0FE1"/>
    <w:rsid w:val="00CC35BC"/>
    <w:rsid w:val="00CC38E9"/>
    <w:rsid w:val="00CC3B64"/>
    <w:rsid w:val="00CC3C84"/>
    <w:rsid w:val="00CC4145"/>
    <w:rsid w:val="00CC4346"/>
    <w:rsid w:val="00CC4827"/>
    <w:rsid w:val="00CC4D64"/>
    <w:rsid w:val="00CC4EEE"/>
    <w:rsid w:val="00CC50EB"/>
    <w:rsid w:val="00CC5218"/>
    <w:rsid w:val="00CC59E4"/>
    <w:rsid w:val="00CC5D78"/>
    <w:rsid w:val="00CC6131"/>
    <w:rsid w:val="00CC64AB"/>
    <w:rsid w:val="00CC69C3"/>
    <w:rsid w:val="00CC6BB5"/>
    <w:rsid w:val="00CC6F44"/>
    <w:rsid w:val="00CC7412"/>
    <w:rsid w:val="00CC7B4C"/>
    <w:rsid w:val="00CC7B6B"/>
    <w:rsid w:val="00CC7E72"/>
    <w:rsid w:val="00CD032B"/>
    <w:rsid w:val="00CD0443"/>
    <w:rsid w:val="00CD0DE4"/>
    <w:rsid w:val="00CD0FEB"/>
    <w:rsid w:val="00CD13AF"/>
    <w:rsid w:val="00CD1836"/>
    <w:rsid w:val="00CD19C0"/>
    <w:rsid w:val="00CD1A2A"/>
    <w:rsid w:val="00CD2397"/>
    <w:rsid w:val="00CD281B"/>
    <w:rsid w:val="00CD3A75"/>
    <w:rsid w:val="00CD3C6F"/>
    <w:rsid w:val="00CD4148"/>
    <w:rsid w:val="00CD5B6A"/>
    <w:rsid w:val="00CD6FDD"/>
    <w:rsid w:val="00CD7040"/>
    <w:rsid w:val="00CD7A3A"/>
    <w:rsid w:val="00CD7A57"/>
    <w:rsid w:val="00CD7D53"/>
    <w:rsid w:val="00CE0239"/>
    <w:rsid w:val="00CE0993"/>
    <w:rsid w:val="00CE09B2"/>
    <w:rsid w:val="00CE0C4E"/>
    <w:rsid w:val="00CE2479"/>
    <w:rsid w:val="00CE327C"/>
    <w:rsid w:val="00CE3806"/>
    <w:rsid w:val="00CE3B10"/>
    <w:rsid w:val="00CE3C8F"/>
    <w:rsid w:val="00CE459B"/>
    <w:rsid w:val="00CE48CA"/>
    <w:rsid w:val="00CE4934"/>
    <w:rsid w:val="00CE4E83"/>
    <w:rsid w:val="00CE5124"/>
    <w:rsid w:val="00CE5D95"/>
    <w:rsid w:val="00CE688B"/>
    <w:rsid w:val="00CE6F26"/>
    <w:rsid w:val="00CE73FB"/>
    <w:rsid w:val="00CE7510"/>
    <w:rsid w:val="00CE758A"/>
    <w:rsid w:val="00CE7649"/>
    <w:rsid w:val="00CE7C85"/>
    <w:rsid w:val="00CF02A7"/>
    <w:rsid w:val="00CF0393"/>
    <w:rsid w:val="00CF0FD0"/>
    <w:rsid w:val="00CF1AA0"/>
    <w:rsid w:val="00CF2379"/>
    <w:rsid w:val="00CF23F5"/>
    <w:rsid w:val="00CF2484"/>
    <w:rsid w:val="00CF40F9"/>
    <w:rsid w:val="00CF41E2"/>
    <w:rsid w:val="00CF4E00"/>
    <w:rsid w:val="00CF501C"/>
    <w:rsid w:val="00CF5575"/>
    <w:rsid w:val="00CF6BC7"/>
    <w:rsid w:val="00CF6EE3"/>
    <w:rsid w:val="00CF7C1D"/>
    <w:rsid w:val="00D0046E"/>
    <w:rsid w:val="00D00E6E"/>
    <w:rsid w:val="00D020C2"/>
    <w:rsid w:val="00D027B3"/>
    <w:rsid w:val="00D027CD"/>
    <w:rsid w:val="00D04389"/>
    <w:rsid w:val="00D04508"/>
    <w:rsid w:val="00D04D12"/>
    <w:rsid w:val="00D05D22"/>
    <w:rsid w:val="00D05E62"/>
    <w:rsid w:val="00D06041"/>
    <w:rsid w:val="00D062A0"/>
    <w:rsid w:val="00D0788E"/>
    <w:rsid w:val="00D07AF4"/>
    <w:rsid w:val="00D07F21"/>
    <w:rsid w:val="00D101AA"/>
    <w:rsid w:val="00D105EF"/>
    <w:rsid w:val="00D10C69"/>
    <w:rsid w:val="00D113D4"/>
    <w:rsid w:val="00D1144A"/>
    <w:rsid w:val="00D11D37"/>
    <w:rsid w:val="00D11E73"/>
    <w:rsid w:val="00D126BB"/>
    <w:rsid w:val="00D13307"/>
    <w:rsid w:val="00D137B0"/>
    <w:rsid w:val="00D13B4E"/>
    <w:rsid w:val="00D13FB8"/>
    <w:rsid w:val="00D140D3"/>
    <w:rsid w:val="00D14151"/>
    <w:rsid w:val="00D143E2"/>
    <w:rsid w:val="00D14729"/>
    <w:rsid w:val="00D14BDA"/>
    <w:rsid w:val="00D1566E"/>
    <w:rsid w:val="00D158AE"/>
    <w:rsid w:val="00D15931"/>
    <w:rsid w:val="00D159DE"/>
    <w:rsid w:val="00D15EEA"/>
    <w:rsid w:val="00D161E7"/>
    <w:rsid w:val="00D169B5"/>
    <w:rsid w:val="00D1750B"/>
    <w:rsid w:val="00D200F5"/>
    <w:rsid w:val="00D20570"/>
    <w:rsid w:val="00D20608"/>
    <w:rsid w:val="00D216F8"/>
    <w:rsid w:val="00D223A2"/>
    <w:rsid w:val="00D225A7"/>
    <w:rsid w:val="00D22EB6"/>
    <w:rsid w:val="00D22F2D"/>
    <w:rsid w:val="00D23FC9"/>
    <w:rsid w:val="00D241B7"/>
    <w:rsid w:val="00D243AF"/>
    <w:rsid w:val="00D24649"/>
    <w:rsid w:val="00D248DC"/>
    <w:rsid w:val="00D24D23"/>
    <w:rsid w:val="00D26070"/>
    <w:rsid w:val="00D26165"/>
    <w:rsid w:val="00D2622E"/>
    <w:rsid w:val="00D2646B"/>
    <w:rsid w:val="00D265A8"/>
    <w:rsid w:val="00D27400"/>
    <w:rsid w:val="00D27C8C"/>
    <w:rsid w:val="00D27E3B"/>
    <w:rsid w:val="00D27E7C"/>
    <w:rsid w:val="00D3012F"/>
    <w:rsid w:val="00D3039A"/>
    <w:rsid w:val="00D30488"/>
    <w:rsid w:val="00D30864"/>
    <w:rsid w:val="00D309F9"/>
    <w:rsid w:val="00D30A15"/>
    <w:rsid w:val="00D327AA"/>
    <w:rsid w:val="00D32849"/>
    <w:rsid w:val="00D33204"/>
    <w:rsid w:val="00D3327B"/>
    <w:rsid w:val="00D33503"/>
    <w:rsid w:val="00D3383E"/>
    <w:rsid w:val="00D3587D"/>
    <w:rsid w:val="00D35B39"/>
    <w:rsid w:val="00D35ED3"/>
    <w:rsid w:val="00D3616E"/>
    <w:rsid w:val="00D36486"/>
    <w:rsid w:val="00D36B84"/>
    <w:rsid w:val="00D370F4"/>
    <w:rsid w:val="00D37254"/>
    <w:rsid w:val="00D376D6"/>
    <w:rsid w:val="00D40318"/>
    <w:rsid w:val="00D409FF"/>
    <w:rsid w:val="00D413CC"/>
    <w:rsid w:val="00D41630"/>
    <w:rsid w:val="00D41BBE"/>
    <w:rsid w:val="00D42813"/>
    <w:rsid w:val="00D43066"/>
    <w:rsid w:val="00D43596"/>
    <w:rsid w:val="00D43F7C"/>
    <w:rsid w:val="00D44BF7"/>
    <w:rsid w:val="00D44DB6"/>
    <w:rsid w:val="00D450E9"/>
    <w:rsid w:val="00D456E8"/>
    <w:rsid w:val="00D456EC"/>
    <w:rsid w:val="00D457E6"/>
    <w:rsid w:val="00D467AB"/>
    <w:rsid w:val="00D50182"/>
    <w:rsid w:val="00D5031E"/>
    <w:rsid w:val="00D5051E"/>
    <w:rsid w:val="00D50582"/>
    <w:rsid w:val="00D50960"/>
    <w:rsid w:val="00D50C4D"/>
    <w:rsid w:val="00D51145"/>
    <w:rsid w:val="00D51690"/>
    <w:rsid w:val="00D51D38"/>
    <w:rsid w:val="00D53098"/>
    <w:rsid w:val="00D536A9"/>
    <w:rsid w:val="00D5393C"/>
    <w:rsid w:val="00D53CC1"/>
    <w:rsid w:val="00D54181"/>
    <w:rsid w:val="00D54224"/>
    <w:rsid w:val="00D54557"/>
    <w:rsid w:val="00D54E6D"/>
    <w:rsid w:val="00D55ADB"/>
    <w:rsid w:val="00D55F82"/>
    <w:rsid w:val="00D56072"/>
    <w:rsid w:val="00D565D7"/>
    <w:rsid w:val="00D567B8"/>
    <w:rsid w:val="00D56D8F"/>
    <w:rsid w:val="00D57699"/>
    <w:rsid w:val="00D57B7D"/>
    <w:rsid w:val="00D60B00"/>
    <w:rsid w:val="00D60D11"/>
    <w:rsid w:val="00D61451"/>
    <w:rsid w:val="00D61E74"/>
    <w:rsid w:val="00D625BC"/>
    <w:rsid w:val="00D63105"/>
    <w:rsid w:val="00D6322C"/>
    <w:rsid w:val="00D638C9"/>
    <w:rsid w:val="00D64591"/>
    <w:rsid w:val="00D64954"/>
    <w:rsid w:val="00D64C7F"/>
    <w:rsid w:val="00D6682A"/>
    <w:rsid w:val="00D66999"/>
    <w:rsid w:val="00D67AC3"/>
    <w:rsid w:val="00D70483"/>
    <w:rsid w:val="00D706BC"/>
    <w:rsid w:val="00D7176A"/>
    <w:rsid w:val="00D71D4E"/>
    <w:rsid w:val="00D72A62"/>
    <w:rsid w:val="00D72C91"/>
    <w:rsid w:val="00D7301C"/>
    <w:rsid w:val="00D7317A"/>
    <w:rsid w:val="00D738F9"/>
    <w:rsid w:val="00D7618C"/>
    <w:rsid w:val="00D761A2"/>
    <w:rsid w:val="00D76AB4"/>
    <w:rsid w:val="00D76DA0"/>
    <w:rsid w:val="00D774B9"/>
    <w:rsid w:val="00D80B52"/>
    <w:rsid w:val="00D80B73"/>
    <w:rsid w:val="00D80C70"/>
    <w:rsid w:val="00D80DE6"/>
    <w:rsid w:val="00D81240"/>
    <w:rsid w:val="00D818DC"/>
    <w:rsid w:val="00D81F54"/>
    <w:rsid w:val="00D829CF"/>
    <w:rsid w:val="00D82CC8"/>
    <w:rsid w:val="00D82DB6"/>
    <w:rsid w:val="00D830BE"/>
    <w:rsid w:val="00D832AC"/>
    <w:rsid w:val="00D8478B"/>
    <w:rsid w:val="00D85179"/>
    <w:rsid w:val="00D8532C"/>
    <w:rsid w:val="00D8562B"/>
    <w:rsid w:val="00D856A8"/>
    <w:rsid w:val="00D858D2"/>
    <w:rsid w:val="00D85A87"/>
    <w:rsid w:val="00D869FD"/>
    <w:rsid w:val="00D8705A"/>
    <w:rsid w:val="00D87488"/>
    <w:rsid w:val="00D87700"/>
    <w:rsid w:val="00D87B34"/>
    <w:rsid w:val="00D90572"/>
    <w:rsid w:val="00D914BE"/>
    <w:rsid w:val="00D91595"/>
    <w:rsid w:val="00D91687"/>
    <w:rsid w:val="00D92132"/>
    <w:rsid w:val="00D9277F"/>
    <w:rsid w:val="00D92BE3"/>
    <w:rsid w:val="00D92E71"/>
    <w:rsid w:val="00D93960"/>
    <w:rsid w:val="00D93C7D"/>
    <w:rsid w:val="00D9431F"/>
    <w:rsid w:val="00D94538"/>
    <w:rsid w:val="00D945F4"/>
    <w:rsid w:val="00D94DB2"/>
    <w:rsid w:val="00D94E17"/>
    <w:rsid w:val="00D9540C"/>
    <w:rsid w:val="00D95F50"/>
    <w:rsid w:val="00D96641"/>
    <w:rsid w:val="00D967B2"/>
    <w:rsid w:val="00D96D7C"/>
    <w:rsid w:val="00D972E6"/>
    <w:rsid w:val="00D97706"/>
    <w:rsid w:val="00D97A3C"/>
    <w:rsid w:val="00D97A84"/>
    <w:rsid w:val="00D97F23"/>
    <w:rsid w:val="00DA08C6"/>
    <w:rsid w:val="00DA0A41"/>
    <w:rsid w:val="00DA0B39"/>
    <w:rsid w:val="00DA0C31"/>
    <w:rsid w:val="00DA1D67"/>
    <w:rsid w:val="00DA2222"/>
    <w:rsid w:val="00DA223D"/>
    <w:rsid w:val="00DA2A73"/>
    <w:rsid w:val="00DA2B03"/>
    <w:rsid w:val="00DA2FD2"/>
    <w:rsid w:val="00DA3E94"/>
    <w:rsid w:val="00DA3EC6"/>
    <w:rsid w:val="00DA3F83"/>
    <w:rsid w:val="00DA4469"/>
    <w:rsid w:val="00DA455A"/>
    <w:rsid w:val="00DA4BBD"/>
    <w:rsid w:val="00DA4C72"/>
    <w:rsid w:val="00DA559B"/>
    <w:rsid w:val="00DA6CC0"/>
    <w:rsid w:val="00DA6FCB"/>
    <w:rsid w:val="00DA7511"/>
    <w:rsid w:val="00DA7597"/>
    <w:rsid w:val="00DA7B68"/>
    <w:rsid w:val="00DB055B"/>
    <w:rsid w:val="00DB1388"/>
    <w:rsid w:val="00DB1C6A"/>
    <w:rsid w:val="00DB1C94"/>
    <w:rsid w:val="00DB1E28"/>
    <w:rsid w:val="00DB26DE"/>
    <w:rsid w:val="00DB2A39"/>
    <w:rsid w:val="00DB2C57"/>
    <w:rsid w:val="00DB3422"/>
    <w:rsid w:val="00DB34BB"/>
    <w:rsid w:val="00DB406A"/>
    <w:rsid w:val="00DB5380"/>
    <w:rsid w:val="00DB54FC"/>
    <w:rsid w:val="00DB5649"/>
    <w:rsid w:val="00DB57BE"/>
    <w:rsid w:val="00DB5FD3"/>
    <w:rsid w:val="00DB7821"/>
    <w:rsid w:val="00DB7DE9"/>
    <w:rsid w:val="00DC1450"/>
    <w:rsid w:val="00DC18A7"/>
    <w:rsid w:val="00DC1F16"/>
    <w:rsid w:val="00DC2A56"/>
    <w:rsid w:val="00DC2B97"/>
    <w:rsid w:val="00DC2C10"/>
    <w:rsid w:val="00DC2C18"/>
    <w:rsid w:val="00DC37FB"/>
    <w:rsid w:val="00DC3AFE"/>
    <w:rsid w:val="00DC3B7C"/>
    <w:rsid w:val="00DC41A2"/>
    <w:rsid w:val="00DC45DA"/>
    <w:rsid w:val="00DC4A8F"/>
    <w:rsid w:val="00DC4AAE"/>
    <w:rsid w:val="00DC4BCC"/>
    <w:rsid w:val="00DC4FE3"/>
    <w:rsid w:val="00DC5074"/>
    <w:rsid w:val="00DC58A1"/>
    <w:rsid w:val="00DC5D5A"/>
    <w:rsid w:val="00DC6B58"/>
    <w:rsid w:val="00DC6DE4"/>
    <w:rsid w:val="00DC710B"/>
    <w:rsid w:val="00DC7356"/>
    <w:rsid w:val="00DC74E3"/>
    <w:rsid w:val="00DC7DD6"/>
    <w:rsid w:val="00DD0765"/>
    <w:rsid w:val="00DD14FA"/>
    <w:rsid w:val="00DD1857"/>
    <w:rsid w:val="00DD38C9"/>
    <w:rsid w:val="00DD3BFD"/>
    <w:rsid w:val="00DD4308"/>
    <w:rsid w:val="00DD43A5"/>
    <w:rsid w:val="00DD550E"/>
    <w:rsid w:val="00DD597F"/>
    <w:rsid w:val="00DD5E66"/>
    <w:rsid w:val="00DD6060"/>
    <w:rsid w:val="00DD632C"/>
    <w:rsid w:val="00DD6D9E"/>
    <w:rsid w:val="00DD7343"/>
    <w:rsid w:val="00DD74A7"/>
    <w:rsid w:val="00DD7576"/>
    <w:rsid w:val="00DD7C69"/>
    <w:rsid w:val="00DE01D3"/>
    <w:rsid w:val="00DE0972"/>
    <w:rsid w:val="00DE098D"/>
    <w:rsid w:val="00DE0E43"/>
    <w:rsid w:val="00DE18D2"/>
    <w:rsid w:val="00DE1B3D"/>
    <w:rsid w:val="00DE1B8D"/>
    <w:rsid w:val="00DE1BFB"/>
    <w:rsid w:val="00DE1C11"/>
    <w:rsid w:val="00DE1E9C"/>
    <w:rsid w:val="00DE39AF"/>
    <w:rsid w:val="00DE40FF"/>
    <w:rsid w:val="00DE46AC"/>
    <w:rsid w:val="00DE4BE9"/>
    <w:rsid w:val="00DE4C63"/>
    <w:rsid w:val="00DE5996"/>
    <w:rsid w:val="00DE66B5"/>
    <w:rsid w:val="00DE7861"/>
    <w:rsid w:val="00DF0490"/>
    <w:rsid w:val="00DF0E80"/>
    <w:rsid w:val="00DF154E"/>
    <w:rsid w:val="00DF164B"/>
    <w:rsid w:val="00DF1EE4"/>
    <w:rsid w:val="00DF1F47"/>
    <w:rsid w:val="00DF219D"/>
    <w:rsid w:val="00DF2F14"/>
    <w:rsid w:val="00DF348F"/>
    <w:rsid w:val="00DF3D3C"/>
    <w:rsid w:val="00DF4476"/>
    <w:rsid w:val="00DF46CD"/>
    <w:rsid w:val="00DF58DC"/>
    <w:rsid w:val="00DF59D7"/>
    <w:rsid w:val="00DF5A09"/>
    <w:rsid w:val="00DF5DEA"/>
    <w:rsid w:val="00DF65E2"/>
    <w:rsid w:val="00DF66B6"/>
    <w:rsid w:val="00DF6B42"/>
    <w:rsid w:val="00E0018B"/>
    <w:rsid w:val="00E002C1"/>
    <w:rsid w:val="00E007FD"/>
    <w:rsid w:val="00E00ED4"/>
    <w:rsid w:val="00E01339"/>
    <w:rsid w:val="00E01416"/>
    <w:rsid w:val="00E01CCC"/>
    <w:rsid w:val="00E01D3D"/>
    <w:rsid w:val="00E0253E"/>
    <w:rsid w:val="00E02755"/>
    <w:rsid w:val="00E027EC"/>
    <w:rsid w:val="00E02CF7"/>
    <w:rsid w:val="00E02DDE"/>
    <w:rsid w:val="00E02F8F"/>
    <w:rsid w:val="00E033F2"/>
    <w:rsid w:val="00E03655"/>
    <w:rsid w:val="00E03CB4"/>
    <w:rsid w:val="00E04012"/>
    <w:rsid w:val="00E04022"/>
    <w:rsid w:val="00E041F0"/>
    <w:rsid w:val="00E0455F"/>
    <w:rsid w:val="00E04CE3"/>
    <w:rsid w:val="00E051F3"/>
    <w:rsid w:val="00E0525A"/>
    <w:rsid w:val="00E053B6"/>
    <w:rsid w:val="00E05832"/>
    <w:rsid w:val="00E05E76"/>
    <w:rsid w:val="00E062C6"/>
    <w:rsid w:val="00E064F9"/>
    <w:rsid w:val="00E06A52"/>
    <w:rsid w:val="00E06AEE"/>
    <w:rsid w:val="00E06FF3"/>
    <w:rsid w:val="00E076F4"/>
    <w:rsid w:val="00E11A45"/>
    <w:rsid w:val="00E1231A"/>
    <w:rsid w:val="00E12768"/>
    <w:rsid w:val="00E12B87"/>
    <w:rsid w:val="00E13064"/>
    <w:rsid w:val="00E131A7"/>
    <w:rsid w:val="00E13A6A"/>
    <w:rsid w:val="00E13FA9"/>
    <w:rsid w:val="00E14032"/>
    <w:rsid w:val="00E14896"/>
    <w:rsid w:val="00E156A1"/>
    <w:rsid w:val="00E15A30"/>
    <w:rsid w:val="00E16B1C"/>
    <w:rsid w:val="00E16E8F"/>
    <w:rsid w:val="00E178A0"/>
    <w:rsid w:val="00E20071"/>
    <w:rsid w:val="00E20EEA"/>
    <w:rsid w:val="00E218DB"/>
    <w:rsid w:val="00E21E9E"/>
    <w:rsid w:val="00E227FC"/>
    <w:rsid w:val="00E22E2C"/>
    <w:rsid w:val="00E23E26"/>
    <w:rsid w:val="00E244E5"/>
    <w:rsid w:val="00E248BF"/>
    <w:rsid w:val="00E25329"/>
    <w:rsid w:val="00E253A1"/>
    <w:rsid w:val="00E25428"/>
    <w:rsid w:val="00E264E2"/>
    <w:rsid w:val="00E264E7"/>
    <w:rsid w:val="00E26711"/>
    <w:rsid w:val="00E267F2"/>
    <w:rsid w:val="00E26D03"/>
    <w:rsid w:val="00E27306"/>
    <w:rsid w:val="00E274A0"/>
    <w:rsid w:val="00E27724"/>
    <w:rsid w:val="00E2782D"/>
    <w:rsid w:val="00E27867"/>
    <w:rsid w:val="00E27D5F"/>
    <w:rsid w:val="00E30365"/>
    <w:rsid w:val="00E30CFC"/>
    <w:rsid w:val="00E31ACB"/>
    <w:rsid w:val="00E3235C"/>
    <w:rsid w:val="00E324A7"/>
    <w:rsid w:val="00E3268B"/>
    <w:rsid w:val="00E32D53"/>
    <w:rsid w:val="00E33331"/>
    <w:rsid w:val="00E33518"/>
    <w:rsid w:val="00E3457B"/>
    <w:rsid w:val="00E347DF"/>
    <w:rsid w:val="00E349E9"/>
    <w:rsid w:val="00E34B38"/>
    <w:rsid w:val="00E35ADC"/>
    <w:rsid w:val="00E35AE6"/>
    <w:rsid w:val="00E35DBF"/>
    <w:rsid w:val="00E35E02"/>
    <w:rsid w:val="00E362A8"/>
    <w:rsid w:val="00E3642A"/>
    <w:rsid w:val="00E36A3D"/>
    <w:rsid w:val="00E3772E"/>
    <w:rsid w:val="00E37D87"/>
    <w:rsid w:val="00E400E5"/>
    <w:rsid w:val="00E405F0"/>
    <w:rsid w:val="00E41262"/>
    <w:rsid w:val="00E41387"/>
    <w:rsid w:val="00E41A4A"/>
    <w:rsid w:val="00E42023"/>
    <w:rsid w:val="00E420F3"/>
    <w:rsid w:val="00E4218B"/>
    <w:rsid w:val="00E42C43"/>
    <w:rsid w:val="00E43474"/>
    <w:rsid w:val="00E435EC"/>
    <w:rsid w:val="00E437F3"/>
    <w:rsid w:val="00E4400E"/>
    <w:rsid w:val="00E442F3"/>
    <w:rsid w:val="00E44B2B"/>
    <w:rsid w:val="00E452F9"/>
    <w:rsid w:val="00E45574"/>
    <w:rsid w:val="00E45840"/>
    <w:rsid w:val="00E45E38"/>
    <w:rsid w:val="00E46D79"/>
    <w:rsid w:val="00E4753D"/>
    <w:rsid w:val="00E47D21"/>
    <w:rsid w:val="00E47D93"/>
    <w:rsid w:val="00E51823"/>
    <w:rsid w:val="00E51B22"/>
    <w:rsid w:val="00E52351"/>
    <w:rsid w:val="00E52CFC"/>
    <w:rsid w:val="00E5359E"/>
    <w:rsid w:val="00E5376F"/>
    <w:rsid w:val="00E54658"/>
    <w:rsid w:val="00E548D3"/>
    <w:rsid w:val="00E549E8"/>
    <w:rsid w:val="00E5616A"/>
    <w:rsid w:val="00E56C5B"/>
    <w:rsid w:val="00E57A80"/>
    <w:rsid w:val="00E57F62"/>
    <w:rsid w:val="00E60410"/>
    <w:rsid w:val="00E60531"/>
    <w:rsid w:val="00E6105A"/>
    <w:rsid w:val="00E614C3"/>
    <w:rsid w:val="00E61F7D"/>
    <w:rsid w:val="00E6229C"/>
    <w:rsid w:val="00E62604"/>
    <w:rsid w:val="00E62CC5"/>
    <w:rsid w:val="00E630A0"/>
    <w:rsid w:val="00E6375E"/>
    <w:rsid w:val="00E64181"/>
    <w:rsid w:val="00E644BE"/>
    <w:rsid w:val="00E64FA8"/>
    <w:rsid w:val="00E65185"/>
    <w:rsid w:val="00E65209"/>
    <w:rsid w:val="00E65750"/>
    <w:rsid w:val="00E65838"/>
    <w:rsid w:val="00E65969"/>
    <w:rsid w:val="00E6695A"/>
    <w:rsid w:val="00E66B3E"/>
    <w:rsid w:val="00E67F2B"/>
    <w:rsid w:val="00E70026"/>
    <w:rsid w:val="00E705F1"/>
    <w:rsid w:val="00E70B31"/>
    <w:rsid w:val="00E71362"/>
    <w:rsid w:val="00E7171E"/>
    <w:rsid w:val="00E71C32"/>
    <w:rsid w:val="00E7202B"/>
    <w:rsid w:val="00E7289F"/>
    <w:rsid w:val="00E729CE"/>
    <w:rsid w:val="00E72A37"/>
    <w:rsid w:val="00E73031"/>
    <w:rsid w:val="00E73973"/>
    <w:rsid w:val="00E73B49"/>
    <w:rsid w:val="00E73F3D"/>
    <w:rsid w:val="00E7439B"/>
    <w:rsid w:val="00E74D3C"/>
    <w:rsid w:val="00E75284"/>
    <w:rsid w:val="00E754EB"/>
    <w:rsid w:val="00E75EA9"/>
    <w:rsid w:val="00E75FE0"/>
    <w:rsid w:val="00E767FA"/>
    <w:rsid w:val="00E76857"/>
    <w:rsid w:val="00E76945"/>
    <w:rsid w:val="00E7757E"/>
    <w:rsid w:val="00E77F3F"/>
    <w:rsid w:val="00E8084F"/>
    <w:rsid w:val="00E80C0E"/>
    <w:rsid w:val="00E81A38"/>
    <w:rsid w:val="00E8251C"/>
    <w:rsid w:val="00E82B53"/>
    <w:rsid w:val="00E82C2A"/>
    <w:rsid w:val="00E83D02"/>
    <w:rsid w:val="00E83E04"/>
    <w:rsid w:val="00E84A2C"/>
    <w:rsid w:val="00E84D1D"/>
    <w:rsid w:val="00E850C3"/>
    <w:rsid w:val="00E851D5"/>
    <w:rsid w:val="00E86082"/>
    <w:rsid w:val="00E8664D"/>
    <w:rsid w:val="00E867A5"/>
    <w:rsid w:val="00E869B9"/>
    <w:rsid w:val="00E873A9"/>
    <w:rsid w:val="00E87D63"/>
    <w:rsid w:val="00E901BF"/>
    <w:rsid w:val="00E901F7"/>
    <w:rsid w:val="00E903ED"/>
    <w:rsid w:val="00E90C11"/>
    <w:rsid w:val="00E91845"/>
    <w:rsid w:val="00E9199C"/>
    <w:rsid w:val="00E9202D"/>
    <w:rsid w:val="00E92218"/>
    <w:rsid w:val="00E925C1"/>
    <w:rsid w:val="00E929A4"/>
    <w:rsid w:val="00E92DB1"/>
    <w:rsid w:val="00E940D1"/>
    <w:rsid w:val="00E94228"/>
    <w:rsid w:val="00E94890"/>
    <w:rsid w:val="00E94D3E"/>
    <w:rsid w:val="00E95985"/>
    <w:rsid w:val="00E961E6"/>
    <w:rsid w:val="00E96902"/>
    <w:rsid w:val="00E96ACB"/>
    <w:rsid w:val="00E97436"/>
    <w:rsid w:val="00E97AAB"/>
    <w:rsid w:val="00E97C61"/>
    <w:rsid w:val="00EA08AE"/>
    <w:rsid w:val="00EA26A3"/>
    <w:rsid w:val="00EA2AD0"/>
    <w:rsid w:val="00EA3D20"/>
    <w:rsid w:val="00EA4AB0"/>
    <w:rsid w:val="00EA4B46"/>
    <w:rsid w:val="00EA4B56"/>
    <w:rsid w:val="00EA52ED"/>
    <w:rsid w:val="00EA5838"/>
    <w:rsid w:val="00EA585C"/>
    <w:rsid w:val="00EA5932"/>
    <w:rsid w:val="00EA5E41"/>
    <w:rsid w:val="00EA6288"/>
    <w:rsid w:val="00EA7505"/>
    <w:rsid w:val="00EA799A"/>
    <w:rsid w:val="00EA7C6A"/>
    <w:rsid w:val="00EB0004"/>
    <w:rsid w:val="00EB175D"/>
    <w:rsid w:val="00EB226D"/>
    <w:rsid w:val="00EB2626"/>
    <w:rsid w:val="00EB26B7"/>
    <w:rsid w:val="00EB2F5A"/>
    <w:rsid w:val="00EB3AB8"/>
    <w:rsid w:val="00EB455D"/>
    <w:rsid w:val="00EB5508"/>
    <w:rsid w:val="00EB55FC"/>
    <w:rsid w:val="00EB5716"/>
    <w:rsid w:val="00EB6025"/>
    <w:rsid w:val="00EB6253"/>
    <w:rsid w:val="00EB63CF"/>
    <w:rsid w:val="00EB6A84"/>
    <w:rsid w:val="00EB6C84"/>
    <w:rsid w:val="00EC0165"/>
    <w:rsid w:val="00EC0DFE"/>
    <w:rsid w:val="00EC111A"/>
    <w:rsid w:val="00EC20FD"/>
    <w:rsid w:val="00EC2EEC"/>
    <w:rsid w:val="00EC371C"/>
    <w:rsid w:val="00EC399C"/>
    <w:rsid w:val="00EC3C4A"/>
    <w:rsid w:val="00EC4894"/>
    <w:rsid w:val="00EC5A37"/>
    <w:rsid w:val="00EC6A47"/>
    <w:rsid w:val="00EC6D12"/>
    <w:rsid w:val="00EC705A"/>
    <w:rsid w:val="00EC75D9"/>
    <w:rsid w:val="00EC7691"/>
    <w:rsid w:val="00EC790A"/>
    <w:rsid w:val="00EC7B3E"/>
    <w:rsid w:val="00ED09DE"/>
    <w:rsid w:val="00ED0F6A"/>
    <w:rsid w:val="00ED13A2"/>
    <w:rsid w:val="00ED1CB5"/>
    <w:rsid w:val="00ED33BC"/>
    <w:rsid w:val="00ED34C7"/>
    <w:rsid w:val="00ED3663"/>
    <w:rsid w:val="00ED3D6E"/>
    <w:rsid w:val="00ED4702"/>
    <w:rsid w:val="00ED4EE4"/>
    <w:rsid w:val="00ED4F90"/>
    <w:rsid w:val="00ED5107"/>
    <w:rsid w:val="00ED567E"/>
    <w:rsid w:val="00ED5745"/>
    <w:rsid w:val="00ED5C67"/>
    <w:rsid w:val="00ED5D94"/>
    <w:rsid w:val="00ED6702"/>
    <w:rsid w:val="00ED6986"/>
    <w:rsid w:val="00ED6B87"/>
    <w:rsid w:val="00ED71F5"/>
    <w:rsid w:val="00ED7B19"/>
    <w:rsid w:val="00EE08D2"/>
    <w:rsid w:val="00EE0D5E"/>
    <w:rsid w:val="00EE25DA"/>
    <w:rsid w:val="00EE368D"/>
    <w:rsid w:val="00EE4730"/>
    <w:rsid w:val="00EE4A6D"/>
    <w:rsid w:val="00EE5C90"/>
    <w:rsid w:val="00EE5EB8"/>
    <w:rsid w:val="00EE6677"/>
    <w:rsid w:val="00EE6D8F"/>
    <w:rsid w:val="00EE707C"/>
    <w:rsid w:val="00EE72B8"/>
    <w:rsid w:val="00EE7A03"/>
    <w:rsid w:val="00EF0A92"/>
    <w:rsid w:val="00EF0ADA"/>
    <w:rsid w:val="00EF11D8"/>
    <w:rsid w:val="00EF14BF"/>
    <w:rsid w:val="00EF1FEE"/>
    <w:rsid w:val="00EF2BDB"/>
    <w:rsid w:val="00EF307B"/>
    <w:rsid w:val="00EF33DA"/>
    <w:rsid w:val="00EF4695"/>
    <w:rsid w:val="00EF4B1F"/>
    <w:rsid w:val="00EF51EC"/>
    <w:rsid w:val="00EF5985"/>
    <w:rsid w:val="00EF5FBF"/>
    <w:rsid w:val="00EF60CD"/>
    <w:rsid w:val="00EF65B8"/>
    <w:rsid w:val="00EF669F"/>
    <w:rsid w:val="00EF7B2D"/>
    <w:rsid w:val="00EF7F15"/>
    <w:rsid w:val="00F0063A"/>
    <w:rsid w:val="00F014F5"/>
    <w:rsid w:val="00F01691"/>
    <w:rsid w:val="00F01B08"/>
    <w:rsid w:val="00F01B6A"/>
    <w:rsid w:val="00F01DE5"/>
    <w:rsid w:val="00F02341"/>
    <w:rsid w:val="00F02639"/>
    <w:rsid w:val="00F02B8B"/>
    <w:rsid w:val="00F03AC6"/>
    <w:rsid w:val="00F0436A"/>
    <w:rsid w:val="00F055FE"/>
    <w:rsid w:val="00F06BF2"/>
    <w:rsid w:val="00F07AC4"/>
    <w:rsid w:val="00F07BC6"/>
    <w:rsid w:val="00F07E1E"/>
    <w:rsid w:val="00F10891"/>
    <w:rsid w:val="00F10E32"/>
    <w:rsid w:val="00F1124B"/>
    <w:rsid w:val="00F11369"/>
    <w:rsid w:val="00F12147"/>
    <w:rsid w:val="00F124B3"/>
    <w:rsid w:val="00F1280F"/>
    <w:rsid w:val="00F12F99"/>
    <w:rsid w:val="00F1378E"/>
    <w:rsid w:val="00F13856"/>
    <w:rsid w:val="00F13A89"/>
    <w:rsid w:val="00F13CD7"/>
    <w:rsid w:val="00F144D2"/>
    <w:rsid w:val="00F146B7"/>
    <w:rsid w:val="00F147AB"/>
    <w:rsid w:val="00F158F0"/>
    <w:rsid w:val="00F15C15"/>
    <w:rsid w:val="00F16768"/>
    <w:rsid w:val="00F16C8B"/>
    <w:rsid w:val="00F17133"/>
    <w:rsid w:val="00F17266"/>
    <w:rsid w:val="00F17573"/>
    <w:rsid w:val="00F1772C"/>
    <w:rsid w:val="00F20002"/>
    <w:rsid w:val="00F20531"/>
    <w:rsid w:val="00F20F42"/>
    <w:rsid w:val="00F220E5"/>
    <w:rsid w:val="00F22E02"/>
    <w:rsid w:val="00F23A04"/>
    <w:rsid w:val="00F2467F"/>
    <w:rsid w:val="00F24BC8"/>
    <w:rsid w:val="00F25202"/>
    <w:rsid w:val="00F25B0F"/>
    <w:rsid w:val="00F25FA0"/>
    <w:rsid w:val="00F26D71"/>
    <w:rsid w:val="00F26E82"/>
    <w:rsid w:val="00F27123"/>
    <w:rsid w:val="00F27908"/>
    <w:rsid w:val="00F30266"/>
    <w:rsid w:val="00F30569"/>
    <w:rsid w:val="00F305F5"/>
    <w:rsid w:val="00F306C1"/>
    <w:rsid w:val="00F3117F"/>
    <w:rsid w:val="00F31866"/>
    <w:rsid w:val="00F320E8"/>
    <w:rsid w:val="00F323D0"/>
    <w:rsid w:val="00F328E5"/>
    <w:rsid w:val="00F32C96"/>
    <w:rsid w:val="00F32EE6"/>
    <w:rsid w:val="00F33C31"/>
    <w:rsid w:val="00F33C3C"/>
    <w:rsid w:val="00F34357"/>
    <w:rsid w:val="00F345FA"/>
    <w:rsid w:val="00F3469C"/>
    <w:rsid w:val="00F349DB"/>
    <w:rsid w:val="00F34B38"/>
    <w:rsid w:val="00F3505E"/>
    <w:rsid w:val="00F3571A"/>
    <w:rsid w:val="00F35739"/>
    <w:rsid w:val="00F36332"/>
    <w:rsid w:val="00F36BEE"/>
    <w:rsid w:val="00F415CD"/>
    <w:rsid w:val="00F4166F"/>
    <w:rsid w:val="00F419AA"/>
    <w:rsid w:val="00F41DAF"/>
    <w:rsid w:val="00F41E84"/>
    <w:rsid w:val="00F4306E"/>
    <w:rsid w:val="00F430F5"/>
    <w:rsid w:val="00F43BBD"/>
    <w:rsid w:val="00F44152"/>
    <w:rsid w:val="00F4485A"/>
    <w:rsid w:val="00F44955"/>
    <w:rsid w:val="00F44DDB"/>
    <w:rsid w:val="00F45143"/>
    <w:rsid w:val="00F4537A"/>
    <w:rsid w:val="00F45459"/>
    <w:rsid w:val="00F454A9"/>
    <w:rsid w:val="00F45591"/>
    <w:rsid w:val="00F45B33"/>
    <w:rsid w:val="00F46144"/>
    <w:rsid w:val="00F46B86"/>
    <w:rsid w:val="00F46C02"/>
    <w:rsid w:val="00F474FE"/>
    <w:rsid w:val="00F47D85"/>
    <w:rsid w:val="00F5005B"/>
    <w:rsid w:val="00F51107"/>
    <w:rsid w:val="00F5142A"/>
    <w:rsid w:val="00F51542"/>
    <w:rsid w:val="00F52069"/>
    <w:rsid w:val="00F52346"/>
    <w:rsid w:val="00F52B65"/>
    <w:rsid w:val="00F52C11"/>
    <w:rsid w:val="00F52CA8"/>
    <w:rsid w:val="00F52E8F"/>
    <w:rsid w:val="00F534FE"/>
    <w:rsid w:val="00F544D3"/>
    <w:rsid w:val="00F547A5"/>
    <w:rsid w:val="00F54D69"/>
    <w:rsid w:val="00F552B8"/>
    <w:rsid w:val="00F55912"/>
    <w:rsid w:val="00F55B63"/>
    <w:rsid w:val="00F56763"/>
    <w:rsid w:val="00F56777"/>
    <w:rsid w:val="00F56D4C"/>
    <w:rsid w:val="00F57554"/>
    <w:rsid w:val="00F579F3"/>
    <w:rsid w:val="00F57C95"/>
    <w:rsid w:val="00F61FBC"/>
    <w:rsid w:val="00F622A6"/>
    <w:rsid w:val="00F62D72"/>
    <w:rsid w:val="00F62F83"/>
    <w:rsid w:val="00F63502"/>
    <w:rsid w:val="00F64123"/>
    <w:rsid w:val="00F64F72"/>
    <w:rsid w:val="00F65110"/>
    <w:rsid w:val="00F6575C"/>
    <w:rsid w:val="00F65A8D"/>
    <w:rsid w:val="00F65D3E"/>
    <w:rsid w:val="00F65DE7"/>
    <w:rsid w:val="00F66B80"/>
    <w:rsid w:val="00F6712C"/>
    <w:rsid w:val="00F67736"/>
    <w:rsid w:val="00F677DC"/>
    <w:rsid w:val="00F67884"/>
    <w:rsid w:val="00F67CB7"/>
    <w:rsid w:val="00F70A09"/>
    <w:rsid w:val="00F711C0"/>
    <w:rsid w:val="00F71CEE"/>
    <w:rsid w:val="00F71D1B"/>
    <w:rsid w:val="00F72501"/>
    <w:rsid w:val="00F72F68"/>
    <w:rsid w:val="00F74552"/>
    <w:rsid w:val="00F748D3"/>
    <w:rsid w:val="00F75ACA"/>
    <w:rsid w:val="00F75FEC"/>
    <w:rsid w:val="00F7699F"/>
    <w:rsid w:val="00F76A15"/>
    <w:rsid w:val="00F76D74"/>
    <w:rsid w:val="00F770B9"/>
    <w:rsid w:val="00F77EBD"/>
    <w:rsid w:val="00F77EE7"/>
    <w:rsid w:val="00F80307"/>
    <w:rsid w:val="00F815E5"/>
    <w:rsid w:val="00F81635"/>
    <w:rsid w:val="00F81B58"/>
    <w:rsid w:val="00F825FA"/>
    <w:rsid w:val="00F827D4"/>
    <w:rsid w:val="00F83A74"/>
    <w:rsid w:val="00F84231"/>
    <w:rsid w:val="00F84918"/>
    <w:rsid w:val="00F855EB"/>
    <w:rsid w:val="00F85CA8"/>
    <w:rsid w:val="00F85F50"/>
    <w:rsid w:val="00F86798"/>
    <w:rsid w:val="00F86914"/>
    <w:rsid w:val="00F87507"/>
    <w:rsid w:val="00F87666"/>
    <w:rsid w:val="00F9022A"/>
    <w:rsid w:val="00F90C42"/>
    <w:rsid w:val="00F91139"/>
    <w:rsid w:val="00F9117B"/>
    <w:rsid w:val="00F9124D"/>
    <w:rsid w:val="00F92471"/>
    <w:rsid w:val="00F93A5A"/>
    <w:rsid w:val="00F93F77"/>
    <w:rsid w:val="00F94750"/>
    <w:rsid w:val="00F94D47"/>
    <w:rsid w:val="00F94E94"/>
    <w:rsid w:val="00F94F33"/>
    <w:rsid w:val="00F951D1"/>
    <w:rsid w:val="00F95214"/>
    <w:rsid w:val="00F95453"/>
    <w:rsid w:val="00F96318"/>
    <w:rsid w:val="00FA06B1"/>
    <w:rsid w:val="00FA1639"/>
    <w:rsid w:val="00FA1E5F"/>
    <w:rsid w:val="00FA1F12"/>
    <w:rsid w:val="00FA2952"/>
    <w:rsid w:val="00FA3120"/>
    <w:rsid w:val="00FA461B"/>
    <w:rsid w:val="00FA4683"/>
    <w:rsid w:val="00FA4C0D"/>
    <w:rsid w:val="00FA4D1C"/>
    <w:rsid w:val="00FA4F5E"/>
    <w:rsid w:val="00FA50FF"/>
    <w:rsid w:val="00FA5711"/>
    <w:rsid w:val="00FA5A15"/>
    <w:rsid w:val="00FA5EEE"/>
    <w:rsid w:val="00FA6BD4"/>
    <w:rsid w:val="00FA6BDC"/>
    <w:rsid w:val="00FA7A47"/>
    <w:rsid w:val="00FB02D6"/>
    <w:rsid w:val="00FB03EC"/>
    <w:rsid w:val="00FB096B"/>
    <w:rsid w:val="00FB1689"/>
    <w:rsid w:val="00FB1EF9"/>
    <w:rsid w:val="00FB3AC7"/>
    <w:rsid w:val="00FB488B"/>
    <w:rsid w:val="00FB4B57"/>
    <w:rsid w:val="00FB4CD9"/>
    <w:rsid w:val="00FB5165"/>
    <w:rsid w:val="00FB665B"/>
    <w:rsid w:val="00FC024C"/>
    <w:rsid w:val="00FC0373"/>
    <w:rsid w:val="00FC0435"/>
    <w:rsid w:val="00FC0651"/>
    <w:rsid w:val="00FC09C2"/>
    <w:rsid w:val="00FC15B3"/>
    <w:rsid w:val="00FC1767"/>
    <w:rsid w:val="00FC1C2C"/>
    <w:rsid w:val="00FC2076"/>
    <w:rsid w:val="00FC2102"/>
    <w:rsid w:val="00FC2C37"/>
    <w:rsid w:val="00FC2D5F"/>
    <w:rsid w:val="00FC30CB"/>
    <w:rsid w:val="00FC4CA7"/>
    <w:rsid w:val="00FC4F61"/>
    <w:rsid w:val="00FC4F9F"/>
    <w:rsid w:val="00FC51F3"/>
    <w:rsid w:val="00FC5CE5"/>
    <w:rsid w:val="00FC6552"/>
    <w:rsid w:val="00FC6904"/>
    <w:rsid w:val="00FC691C"/>
    <w:rsid w:val="00FC6A85"/>
    <w:rsid w:val="00FC6C38"/>
    <w:rsid w:val="00FC6F12"/>
    <w:rsid w:val="00FC7532"/>
    <w:rsid w:val="00FC755C"/>
    <w:rsid w:val="00FC7DBB"/>
    <w:rsid w:val="00FC7E12"/>
    <w:rsid w:val="00FD00A1"/>
    <w:rsid w:val="00FD00BB"/>
    <w:rsid w:val="00FD03D5"/>
    <w:rsid w:val="00FD05B2"/>
    <w:rsid w:val="00FD0AF4"/>
    <w:rsid w:val="00FD1704"/>
    <w:rsid w:val="00FD1BAC"/>
    <w:rsid w:val="00FD233F"/>
    <w:rsid w:val="00FD2727"/>
    <w:rsid w:val="00FD2810"/>
    <w:rsid w:val="00FD2968"/>
    <w:rsid w:val="00FD3403"/>
    <w:rsid w:val="00FD3700"/>
    <w:rsid w:val="00FD3C1A"/>
    <w:rsid w:val="00FD3DFD"/>
    <w:rsid w:val="00FD4060"/>
    <w:rsid w:val="00FD4DC9"/>
    <w:rsid w:val="00FD4E85"/>
    <w:rsid w:val="00FD54E7"/>
    <w:rsid w:val="00FD5F5A"/>
    <w:rsid w:val="00FD6445"/>
    <w:rsid w:val="00FD6A2A"/>
    <w:rsid w:val="00FD6D52"/>
    <w:rsid w:val="00FD6FD9"/>
    <w:rsid w:val="00FD7E17"/>
    <w:rsid w:val="00FE00CB"/>
    <w:rsid w:val="00FE025F"/>
    <w:rsid w:val="00FE0CBC"/>
    <w:rsid w:val="00FE13F6"/>
    <w:rsid w:val="00FE1D99"/>
    <w:rsid w:val="00FE2558"/>
    <w:rsid w:val="00FE2A85"/>
    <w:rsid w:val="00FE2CCB"/>
    <w:rsid w:val="00FE2D1A"/>
    <w:rsid w:val="00FE2D4E"/>
    <w:rsid w:val="00FE354A"/>
    <w:rsid w:val="00FE37DD"/>
    <w:rsid w:val="00FE44C9"/>
    <w:rsid w:val="00FE4EB4"/>
    <w:rsid w:val="00FE501C"/>
    <w:rsid w:val="00FE530B"/>
    <w:rsid w:val="00FE55A6"/>
    <w:rsid w:val="00FE7DCA"/>
    <w:rsid w:val="00FE7E2D"/>
    <w:rsid w:val="00FF135D"/>
    <w:rsid w:val="00FF13B3"/>
    <w:rsid w:val="00FF146C"/>
    <w:rsid w:val="00FF34A2"/>
    <w:rsid w:val="00FF395D"/>
    <w:rsid w:val="00FF50DA"/>
    <w:rsid w:val="00FF5701"/>
    <w:rsid w:val="00FF5A0F"/>
    <w:rsid w:val="00FF5AC2"/>
    <w:rsid w:val="00FF6283"/>
    <w:rsid w:val="00FF6521"/>
    <w:rsid w:val="00FF6777"/>
    <w:rsid w:val="00FF6C45"/>
    <w:rsid w:val="00FF7338"/>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4DD6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uiPriority w:val="34"/>
    <w:qFormat/>
    <w:rsid w:val="001E720F"/>
    <w:pPr>
      <w:ind w:left="720"/>
    </w:pPr>
  </w:style>
  <w:style w:type="character" w:customStyle="1" w:styleId="HeaderChar">
    <w:name w:val="Header Char"/>
    <w:basedOn w:val="DefaultParagraphFont"/>
    <w:link w:val="Header"/>
    <w:uiPriority w:val="99"/>
    <w:rsid w:val="00EC0DFE"/>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uiPriority w:val="34"/>
    <w:qFormat/>
    <w:rsid w:val="001E720F"/>
    <w:pPr>
      <w:ind w:left="720"/>
    </w:pPr>
  </w:style>
  <w:style w:type="character" w:customStyle="1" w:styleId="HeaderChar">
    <w:name w:val="Header Char"/>
    <w:basedOn w:val="DefaultParagraphFont"/>
    <w:link w:val="Header"/>
    <w:uiPriority w:val="99"/>
    <w:rsid w:val="00EC0DFE"/>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411137">
      <w:bodyDiv w:val="1"/>
      <w:marLeft w:val="0"/>
      <w:marRight w:val="0"/>
      <w:marTop w:val="0"/>
      <w:marBottom w:val="0"/>
      <w:divBdr>
        <w:top w:val="none" w:sz="0" w:space="0" w:color="auto"/>
        <w:left w:val="none" w:sz="0" w:space="0" w:color="auto"/>
        <w:bottom w:val="none" w:sz="0" w:space="0" w:color="auto"/>
        <w:right w:val="none" w:sz="0" w:space="0" w:color="auto"/>
      </w:divBdr>
    </w:div>
    <w:div w:id="409353693">
      <w:bodyDiv w:val="1"/>
      <w:marLeft w:val="0"/>
      <w:marRight w:val="0"/>
      <w:marTop w:val="0"/>
      <w:marBottom w:val="0"/>
      <w:divBdr>
        <w:top w:val="none" w:sz="0" w:space="0" w:color="auto"/>
        <w:left w:val="none" w:sz="0" w:space="0" w:color="auto"/>
        <w:bottom w:val="none" w:sz="0" w:space="0" w:color="auto"/>
        <w:right w:val="none" w:sz="0" w:space="0" w:color="auto"/>
      </w:divBdr>
    </w:div>
    <w:div w:id="441456734">
      <w:bodyDiv w:val="1"/>
      <w:marLeft w:val="0"/>
      <w:marRight w:val="0"/>
      <w:marTop w:val="0"/>
      <w:marBottom w:val="0"/>
      <w:divBdr>
        <w:top w:val="single" w:sz="2" w:space="0" w:color="DEDEDE"/>
        <w:left w:val="single" w:sz="4" w:space="0" w:color="DEDEDE"/>
        <w:bottom w:val="single" w:sz="2" w:space="0" w:color="DEDEDE"/>
        <w:right w:val="single" w:sz="4" w:space="0" w:color="DEDEDE"/>
      </w:divBdr>
      <w:divsChild>
        <w:div w:id="758526783">
          <w:marLeft w:val="0"/>
          <w:marRight w:val="0"/>
          <w:marTop w:val="0"/>
          <w:marBottom w:val="0"/>
          <w:divBdr>
            <w:top w:val="none" w:sz="0" w:space="0" w:color="auto"/>
            <w:left w:val="none" w:sz="0" w:space="0" w:color="auto"/>
            <w:bottom w:val="none" w:sz="0" w:space="0" w:color="auto"/>
            <w:right w:val="none" w:sz="0" w:space="0" w:color="auto"/>
          </w:divBdr>
        </w:div>
      </w:divsChild>
    </w:div>
    <w:div w:id="663246205">
      <w:bodyDiv w:val="1"/>
      <w:marLeft w:val="0"/>
      <w:marRight w:val="0"/>
      <w:marTop w:val="0"/>
      <w:marBottom w:val="0"/>
      <w:divBdr>
        <w:top w:val="none" w:sz="0" w:space="0" w:color="auto"/>
        <w:left w:val="none" w:sz="0" w:space="0" w:color="auto"/>
        <w:bottom w:val="none" w:sz="0" w:space="0" w:color="auto"/>
        <w:right w:val="none" w:sz="0" w:space="0" w:color="auto"/>
      </w:divBdr>
    </w:div>
    <w:div w:id="1016813720">
      <w:bodyDiv w:val="1"/>
      <w:marLeft w:val="0"/>
      <w:marRight w:val="0"/>
      <w:marTop w:val="0"/>
      <w:marBottom w:val="0"/>
      <w:divBdr>
        <w:top w:val="none" w:sz="0" w:space="0" w:color="auto"/>
        <w:left w:val="none" w:sz="0" w:space="0" w:color="auto"/>
        <w:bottom w:val="none" w:sz="0" w:space="0" w:color="auto"/>
        <w:right w:val="none" w:sz="0" w:space="0" w:color="auto"/>
      </w:divBdr>
    </w:div>
    <w:div w:id="1140343006">
      <w:bodyDiv w:val="1"/>
      <w:marLeft w:val="0"/>
      <w:marRight w:val="0"/>
      <w:marTop w:val="0"/>
      <w:marBottom w:val="0"/>
      <w:divBdr>
        <w:top w:val="none" w:sz="0" w:space="0" w:color="auto"/>
        <w:left w:val="none" w:sz="0" w:space="0" w:color="auto"/>
        <w:bottom w:val="none" w:sz="0" w:space="0" w:color="auto"/>
        <w:right w:val="none" w:sz="0" w:space="0" w:color="auto"/>
      </w:divBdr>
      <w:divsChild>
        <w:div w:id="972446691">
          <w:marLeft w:val="0"/>
          <w:marRight w:val="0"/>
          <w:marTop w:val="0"/>
          <w:marBottom w:val="0"/>
          <w:divBdr>
            <w:top w:val="none" w:sz="0" w:space="0" w:color="auto"/>
            <w:left w:val="none" w:sz="0" w:space="0" w:color="auto"/>
            <w:bottom w:val="none" w:sz="0" w:space="0" w:color="auto"/>
            <w:right w:val="none" w:sz="0" w:space="0" w:color="auto"/>
          </w:divBdr>
          <w:divsChild>
            <w:div w:id="11667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93FD8593A80341801924389BFE2A65" ma:contentTypeVersion="0" ma:contentTypeDescription="Create a new document." ma:contentTypeScope="" ma:versionID="197ade58f7717921cf3d092c507c68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120AB-4ECD-4FA7-A6CA-15A41881170D}">
  <ds:schemaRefs>
    <ds:schemaRef ds:uri="http://schemas.microsoft.com/office/2006/documentManagement/types"/>
    <ds:schemaRef ds:uri="http://purl.org/dc/terms/"/>
    <ds:schemaRef ds:uri="http://purl.org/dc/elements/1.1/"/>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AFDDC14-CC83-4BAC-A8D0-F337A5B5E57E}">
  <ds:schemaRefs>
    <ds:schemaRef ds:uri="http://schemas.microsoft.com/sharepoint/v3/contenttype/forms"/>
  </ds:schemaRefs>
</ds:datastoreItem>
</file>

<file path=customXml/itemProps3.xml><?xml version="1.0" encoding="utf-8"?>
<ds:datastoreItem xmlns:ds="http://schemas.openxmlformats.org/officeDocument/2006/customXml" ds:itemID="{8F1962AF-B9C8-4BD9-8497-8A3259582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3F72D24-71D8-45D0-A739-BC0B36077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860</Words>
  <Characters>4902</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lpstr>
    </vt:vector>
  </TitlesOfParts>
  <Company>AIG</Company>
  <LinksUpToDate>false</LinksUpToDate>
  <CharactersWithSpaces>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cp:lastPrinted>2013-04-09T22:08:00Z</cp:lastPrinted>
  <dcterms:created xsi:type="dcterms:W3CDTF">2015-12-02T20:01:00Z</dcterms:created>
  <dcterms:modified xsi:type="dcterms:W3CDTF">2015-12-02T20:01:00Z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0x010100E493FD8593A80341801924389BFE2A65</vt:lpwstr>
  </property>
</Properties>
</file>