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620"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00"/>
        <w:gridCol w:w="4140"/>
        <w:gridCol w:w="4680"/>
      </w:tblGrid>
      <w:tr w:rsidR="00E9632D" w:rsidRPr="004A024A" w14:paraId="12829EE0" w14:textId="77777777" w:rsidTr="00E9632D">
        <w:tc>
          <w:tcPr>
            <w:tcW w:w="5940" w:type="dxa"/>
            <w:gridSpan w:val="2"/>
          </w:tcPr>
          <w:p w14:paraId="12829EDB" w14:textId="77777777" w:rsidR="00E9632D" w:rsidRDefault="00A45052" w:rsidP="00B96178">
            <w:pPr>
              <w:rPr>
                <w:rFonts w:ascii="Arial" w:hAnsi="Arial" w:cs="Arial"/>
                <w:b/>
                <w:sz w:val="16"/>
                <w:szCs w:val="16"/>
              </w:rPr>
            </w:pPr>
            <w:bookmarkStart w:id="0" w:name="_GoBack"/>
            <w:bookmarkEnd w:id="0"/>
            <w:r>
              <w:rPr>
                <w:rFonts w:ascii="Arial" w:hAnsi="Arial" w:cs="Arial"/>
                <w:b/>
                <w:sz w:val="16"/>
                <w:szCs w:val="16"/>
              </w:rPr>
              <w:t>Category</w:t>
            </w:r>
            <w:r w:rsidR="00E9632D" w:rsidRPr="0009606F">
              <w:rPr>
                <w:rFonts w:ascii="Arial" w:hAnsi="Arial" w:cs="Arial"/>
                <w:b/>
                <w:sz w:val="16"/>
                <w:szCs w:val="16"/>
              </w:rPr>
              <w:t>:</w:t>
            </w:r>
            <w:r w:rsidR="00E9632D">
              <w:rPr>
                <w:rFonts w:ascii="Arial" w:hAnsi="Arial" w:cs="Arial"/>
                <w:b/>
                <w:sz w:val="16"/>
                <w:szCs w:val="16"/>
              </w:rPr>
              <w:t xml:space="preserve"> </w:t>
            </w:r>
          </w:p>
          <w:p w14:paraId="12829EDC" w14:textId="77777777" w:rsidR="00A45052" w:rsidRPr="00DF6B20" w:rsidRDefault="00B677DA" w:rsidP="00B96178">
            <w:pPr>
              <w:rPr>
                <w:rFonts w:ascii="Arial" w:hAnsi="Arial" w:cs="Arial"/>
                <w:b/>
                <w:color w:val="00B0F0"/>
                <w:sz w:val="20"/>
                <w:szCs w:val="20"/>
              </w:rPr>
            </w:pPr>
            <w:r w:rsidRPr="00DF6B20">
              <w:rPr>
                <w:rFonts w:ascii="Arial" w:hAnsi="Arial" w:cs="Arial"/>
                <w:b/>
                <w:bCs/>
                <w:color w:val="00B0F0"/>
                <w:sz w:val="20"/>
                <w:szCs w:val="20"/>
              </w:rPr>
              <w:t>Standard</w:t>
            </w:r>
          </w:p>
        </w:tc>
        <w:tc>
          <w:tcPr>
            <w:tcW w:w="4680" w:type="dxa"/>
          </w:tcPr>
          <w:p w14:paraId="12829EDD" w14:textId="77777777" w:rsidR="00E9632D" w:rsidRDefault="00E9632D" w:rsidP="00427A89">
            <w:pPr>
              <w:jc w:val="both"/>
              <w:rPr>
                <w:rFonts w:ascii="Arial" w:hAnsi="Arial" w:cs="Arial"/>
                <w:i/>
                <w:iCs/>
                <w:sz w:val="16"/>
                <w:szCs w:val="16"/>
              </w:rPr>
            </w:pPr>
            <w:r>
              <w:rPr>
                <w:rFonts w:ascii="Arial" w:hAnsi="Arial" w:cs="Arial"/>
                <w:b/>
                <w:bCs/>
                <w:sz w:val="16"/>
                <w:szCs w:val="16"/>
              </w:rPr>
              <w:t>Functional Area</w:t>
            </w:r>
            <w:r>
              <w:rPr>
                <w:rFonts w:ascii="Arial" w:hAnsi="Arial" w:cs="Arial"/>
                <w:i/>
                <w:iCs/>
                <w:sz w:val="16"/>
                <w:szCs w:val="16"/>
              </w:rPr>
              <w:t>:</w:t>
            </w:r>
          </w:p>
          <w:p w14:paraId="12829EDE" w14:textId="77777777" w:rsidR="00E9632D" w:rsidRPr="00DF6B20" w:rsidRDefault="00E9632D" w:rsidP="00427A89">
            <w:pPr>
              <w:jc w:val="both"/>
              <w:rPr>
                <w:b/>
                <w:color w:val="00B0F0"/>
                <w:sz w:val="20"/>
                <w:szCs w:val="20"/>
              </w:rPr>
            </w:pPr>
            <w:r w:rsidRPr="00DF6B20">
              <w:rPr>
                <w:rFonts w:ascii="Arial" w:hAnsi="Arial" w:cs="Arial"/>
                <w:b/>
                <w:iCs/>
                <w:color w:val="00B0F0"/>
                <w:sz w:val="20"/>
                <w:szCs w:val="20"/>
              </w:rPr>
              <w:t xml:space="preserve">Global </w:t>
            </w:r>
            <w:r w:rsidR="00A45052" w:rsidRPr="00DF6B20">
              <w:rPr>
                <w:rFonts w:ascii="Arial" w:hAnsi="Arial" w:cs="Arial"/>
                <w:b/>
                <w:iCs/>
                <w:color w:val="00B0F0"/>
                <w:sz w:val="20"/>
                <w:szCs w:val="20"/>
              </w:rPr>
              <w:t xml:space="preserve">Commercial </w:t>
            </w:r>
            <w:r w:rsidRPr="00DF6B20">
              <w:rPr>
                <w:rFonts w:ascii="Arial" w:hAnsi="Arial" w:cs="Arial"/>
                <w:b/>
                <w:iCs/>
                <w:color w:val="00B0F0"/>
                <w:sz w:val="20"/>
                <w:szCs w:val="20"/>
              </w:rPr>
              <w:t>Underwriting</w:t>
            </w:r>
          </w:p>
          <w:p w14:paraId="12829EDF" w14:textId="77777777" w:rsidR="00E9632D" w:rsidRPr="0009606F" w:rsidRDefault="00E9632D" w:rsidP="00427A89">
            <w:pPr>
              <w:jc w:val="both"/>
              <w:rPr>
                <w:rFonts w:ascii="Arial" w:hAnsi="Arial" w:cs="Arial"/>
                <w:i/>
                <w:iCs/>
                <w:sz w:val="16"/>
                <w:szCs w:val="16"/>
              </w:rPr>
            </w:pPr>
          </w:p>
        </w:tc>
      </w:tr>
      <w:tr w:rsidR="00E9632D" w:rsidRPr="004A024A" w14:paraId="12829EE6" w14:textId="77777777" w:rsidTr="00E9632D">
        <w:tc>
          <w:tcPr>
            <w:tcW w:w="5940" w:type="dxa"/>
            <w:gridSpan w:val="2"/>
          </w:tcPr>
          <w:p w14:paraId="12829EE1" w14:textId="77777777" w:rsidR="00E9632D" w:rsidRDefault="00E9632D" w:rsidP="00B96178">
            <w:pPr>
              <w:jc w:val="both"/>
              <w:rPr>
                <w:rFonts w:ascii="Arial" w:hAnsi="Arial" w:cs="Arial"/>
                <w:i/>
                <w:iCs/>
                <w:sz w:val="16"/>
                <w:szCs w:val="16"/>
              </w:rPr>
            </w:pPr>
            <w:r w:rsidRPr="006D7119">
              <w:rPr>
                <w:rFonts w:ascii="Arial" w:hAnsi="Arial" w:cs="Arial"/>
                <w:b/>
                <w:bCs/>
                <w:sz w:val="16"/>
                <w:szCs w:val="16"/>
              </w:rPr>
              <w:t>Effective Date</w:t>
            </w:r>
            <w:r w:rsidRPr="006D7119">
              <w:rPr>
                <w:rFonts w:ascii="Arial" w:hAnsi="Arial" w:cs="Arial"/>
                <w:i/>
                <w:iCs/>
                <w:sz w:val="16"/>
                <w:szCs w:val="16"/>
              </w:rPr>
              <w:t xml:space="preserve">: </w:t>
            </w:r>
          </w:p>
          <w:p w14:paraId="12829EE2" w14:textId="77777777" w:rsidR="00E9632D" w:rsidRPr="00DF6B20" w:rsidRDefault="00E9632D" w:rsidP="00B96178">
            <w:pPr>
              <w:jc w:val="both"/>
              <w:rPr>
                <w:rFonts w:ascii="Arial" w:hAnsi="Arial" w:cs="Arial"/>
                <w:b/>
                <w:bCs/>
                <w:color w:val="00B0F0"/>
                <w:sz w:val="16"/>
                <w:szCs w:val="16"/>
              </w:rPr>
            </w:pPr>
            <w:r w:rsidRPr="00DF6B20">
              <w:rPr>
                <w:rFonts w:ascii="Arial" w:hAnsi="Arial" w:cs="Arial"/>
                <w:i/>
                <w:iCs/>
                <w:color w:val="00B0F0"/>
                <w:sz w:val="16"/>
                <w:szCs w:val="16"/>
              </w:rPr>
              <w:t xml:space="preserve"> </w:t>
            </w:r>
            <w:r w:rsidR="00A64537" w:rsidRPr="00DF6B20">
              <w:rPr>
                <w:rFonts w:ascii="Arial" w:hAnsi="Arial" w:cs="Arial"/>
                <w:b/>
                <w:i/>
                <w:iCs/>
                <w:color w:val="00B0F0"/>
                <w:sz w:val="20"/>
                <w:szCs w:val="20"/>
              </w:rPr>
              <w:t xml:space="preserve">July </w:t>
            </w:r>
            <w:r w:rsidR="00424CF3" w:rsidRPr="00DF6B20">
              <w:rPr>
                <w:rFonts w:ascii="Arial" w:hAnsi="Arial" w:cs="Arial"/>
                <w:b/>
                <w:i/>
                <w:iCs/>
                <w:color w:val="00B0F0"/>
                <w:sz w:val="20"/>
                <w:szCs w:val="20"/>
              </w:rPr>
              <w:t>1</w:t>
            </w:r>
            <w:r w:rsidR="001B69C7" w:rsidRPr="00DF6B20">
              <w:rPr>
                <w:rFonts w:ascii="Arial" w:hAnsi="Arial" w:cs="Arial"/>
                <w:b/>
                <w:i/>
                <w:iCs/>
                <w:color w:val="00B0F0"/>
                <w:sz w:val="20"/>
                <w:szCs w:val="20"/>
              </w:rPr>
              <w:t>5</w:t>
            </w:r>
            <w:r w:rsidR="00424CF3" w:rsidRPr="00DF6B20">
              <w:rPr>
                <w:rFonts w:ascii="Arial" w:hAnsi="Arial" w:cs="Arial"/>
                <w:b/>
                <w:i/>
                <w:iCs/>
                <w:color w:val="00B0F0"/>
                <w:sz w:val="20"/>
                <w:szCs w:val="20"/>
              </w:rPr>
              <w:t>,</w:t>
            </w:r>
            <w:r w:rsidR="003123BD" w:rsidRPr="00DF6B20">
              <w:rPr>
                <w:rFonts w:ascii="Arial" w:hAnsi="Arial" w:cs="Arial"/>
                <w:b/>
                <w:i/>
                <w:iCs/>
                <w:color w:val="00B0F0"/>
                <w:sz w:val="20"/>
                <w:szCs w:val="20"/>
              </w:rPr>
              <w:t xml:space="preserve"> 2013</w:t>
            </w:r>
            <w:r w:rsidRPr="00DF6B20">
              <w:rPr>
                <w:rFonts w:ascii="Arial" w:hAnsi="Arial" w:cs="Arial"/>
                <w:b/>
                <w:i/>
                <w:iCs/>
                <w:color w:val="00B0F0"/>
                <w:sz w:val="20"/>
                <w:szCs w:val="20"/>
              </w:rPr>
              <w:t xml:space="preserve"> </w:t>
            </w:r>
          </w:p>
        </w:tc>
        <w:tc>
          <w:tcPr>
            <w:tcW w:w="4680" w:type="dxa"/>
          </w:tcPr>
          <w:p w14:paraId="12829EE3" w14:textId="77777777" w:rsidR="00E9632D" w:rsidRDefault="00E9632D" w:rsidP="00B96178">
            <w:pPr>
              <w:rPr>
                <w:rFonts w:ascii="Arial" w:hAnsi="Arial" w:cs="Arial"/>
                <w:i/>
                <w:iCs/>
                <w:sz w:val="16"/>
                <w:szCs w:val="16"/>
              </w:rPr>
            </w:pPr>
            <w:r>
              <w:rPr>
                <w:rFonts w:ascii="Arial" w:hAnsi="Arial" w:cs="Arial"/>
                <w:b/>
                <w:bCs/>
                <w:sz w:val="16"/>
                <w:szCs w:val="16"/>
              </w:rPr>
              <w:t>Date Issued</w:t>
            </w:r>
            <w:r w:rsidRPr="0009606F">
              <w:rPr>
                <w:rFonts w:ascii="Arial" w:hAnsi="Arial" w:cs="Arial"/>
                <w:i/>
                <w:iCs/>
                <w:sz w:val="16"/>
                <w:szCs w:val="16"/>
              </w:rPr>
              <w:t>:</w:t>
            </w:r>
            <w:r>
              <w:rPr>
                <w:rFonts w:ascii="Arial" w:hAnsi="Arial" w:cs="Arial"/>
                <w:i/>
                <w:iCs/>
                <w:sz w:val="16"/>
                <w:szCs w:val="16"/>
              </w:rPr>
              <w:t xml:space="preserve"> </w:t>
            </w:r>
          </w:p>
          <w:p w14:paraId="12829EE4" w14:textId="77777777" w:rsidR="00E9632D" w:rsidRPr="00DF6B20" w:rsidRDefault="00E9632D" w:rsidP="00B96178">
            <w:pPr>
              <w:rPr>
                <w:rFonts w:ascii="Arial" w:hAnsi="Arial" w:cs="Arial"/>
                <w:b/>
                <w:i/>
                <w:iCs/>
                <w:color w:val="00B0F0"/>
                <w:sz w:val="20"/>
                <w:szCs w:val="20"/>
              </w:rPr>
            </w:pPr>
            <w:r>
              <w:rPr>
                <w:rFonts w:ascii="Arial" w:hAnsi="Arial" w:cs="Arial"/>
                <w:i/>
                <w:iCs/>
                <w:sz w:val="16"/>
                <w:szCs w:val="16"/>
              </w:rPr>
              <w:t xml:space="preserve"> </w:t>
            </w:r>
            <w:r w:rsidR="00A64537" w:rsidRPr="00DF6B20">
              <w:rPr>
                <w:rFonts w:ascii="Arial" w:hAnsi="Arial" w:cs="Arial"/>
                <w:b/>
                <w:i/>
                <w:iCs/>
                <w:color w:val="00B0F0"/>
                <w:sz w:val="20"/>
                <w:szCs w:val="20"/>
              </w:rPr>
              <w:t>July 1</w:t>
            </w:r>
            <w:r w:rsidR="001B69C7" w:rsidRPr="00DF6B20">
              <w:rPr>
                <w:rFonts w:ascii="Arial" w:hAnsi="Arial" w:cs="Arial"/>
                <w:b/>
                <w:i/>
                <w:iCs/>
                <w:color w:val="00B0F0"/>
                <w:sz w:val="20"/>
                <w:szCs w:val="20"/>
              </w:rPr>
              <w:t>5</w:t>
            </w:r>
            <w:r w:rsidR="00A64537" w:rsidRPr="00DF6B20">
              <w:rPr>
                <w:rFonts w:ascii="Arial" w:hAnsi="Arial" w:cs="Arial"/>
                <w:b/>
                <w:i/>
                <w:iCs/>
                <w:color w:val="00B0F0"/>
                <w:sz w:val="20"/>
                <w:szCs w:val="20"/>
              </w:rPr>
              <w:t>,</w:t>
            </w:r>
            <w:r w:rsidR="003123BD" w:rsidRPr="00DF6B20">
              <w:rPr>
                <w:rFonts w:ascii="Arial" w:hAnsi="Arial" w:cs="Arial"/>
                <w:b/>
                <w:i/>
                <w:iCs/>
                <w:color w:val="00B0F0"/>
                <w:sz w:val="20"/>
                <w:szCs w:val="20"/>
              </w:rPr>
              <w:t xml:space="preserve"> 2013</w:t>
            </w:r>
          </w:p>
          <w:p w14:paraId="12829EE5" w14:textId="77777777" w:rsidR="00A45052" w:rsidRPr="00AE3A16" w:rsidRDefault="00A45052" w:rsidP="00B96178">
            <w:pPr>
              <w:rPr>
                <w:rFonts w:ascii="Arial" w:hAnsi="Arial" w:cs="Arial"/>
                <w:b/>
                <w:i/>
                <w:iCs/>
                <w:color w:val="0000FF"/>
                <w:sz w:val="20"/>
                <w:szCs w:val="20"/>
              </w:rPr>
            </w:pPr>
          </w:p>
        </w:tc>
      </w:tr>
      <w:tr w:rsidR="0012774B" w:rsidRPr="004A024A" w14:paraId="12829EEC" w14:textId="77777777" w:rsidTr="0012774B">
        <w:trPr>
          <w:trHeight w:val="522"/>
        </w:trPr>
        <w:tc>
          <w:tcPr>
            <w:tcW w:w="5940" w:type="dxa"/>
            <w:gridSpan w:val="2"/>
          </w:tcPr>
          <w:p w14:paraId="12829EE7" w14:textId="77777777" w:rsidR="0012774B" w:rsidRDefault="0012774B" w:rsidP="00CE0239">
            <w:pPr>
              <w:rPr>
                <w:rFonts w:ascii="Arial" w:hAnsi="Arial" w:cs="Arial"/>
                <w:i/>
                <w:iCs/>
                <w:color w:val="FF0000"/>
                <w:sz w:val="16"/>
                <w:szCs w:val="20"/>
              </w:rPr>
            </w:pPr>
            <w:r w:rsidRPr="0009606F">
              <w:rPr>
                <w:rFonts w:ascii="Arial" w:hAnsi="Arial" w:cs="Arial"/>
                <w:b/>
                <w:bCs/>
                <w:sz w:val="16"/>
                <w:szCs w:val="16"/>
              </w:rPr>
              <w:t>Owner:</w:t>
            </w:r>
            <w:r w:rsidRPr="00427A89">
              <w:rPr>
                <w:rFonts w:ascii="Arial" w:hAnsi="Arial" w:cs="Arial"/>
                <w:i/>
                <w:iCs/>
                <w:color w:val="FF0000"/>
                <w:sz w:val="16"/>
                <w:szCs w:val="20"/>
              </w:rPr>
              <w:t xml:space="preserve"> </w:t>
            </w:r>
          </w:p>
          <w:p w14:paraId="12829EE8" w14:textId="77777777" w:rsidR="0012774B" w:rsidRPr="00DF6B20" w:rsidRDefault="0012774B" w:rsidP="00CE0239">
            <w:pPr>
              <w:rPr>
                <w:rFonts w:ascii="Arial" w:hAnsi="Arial" w:cs="Arial"/>
                <w:b/>
                <w:bCs/>
                <w:color w:val="00B0F0"/>
                <w:sz w:val="20"/>
                <w:szCs w:val="20"/>
              </w:rPr>
            </w:pPr>
            <w:r w:rsidRPr="00DF6B20">
              <w:rPr>
                <w:rFonts w:ascii="Arial" w:hAnsi="Arial" w:cs="Arial"/>
                <w:b/>
                <w:bCs/>
                <w:color w:val="00B0F0"/>
                <w:sz w:val="20"/>
                <w:szCs w:val="20"/>
              </w:rPr>
              <w:t xml:space="preserve">Global </w:t>
            </w:r>
            <w:r w:rsidR="00A45052" w:rsidRPr="00DF6B20">
              <w:rPr>
                <w:rFonts w:ascii="Arial" w:hAnsi="Arial" w:cs="Arial"/>
                <w:b/>
                <w:bCs/>
                <w:color w:val="00B0F0"/>
                <w:sz w:val="20"/>
                <w:szCs w:val="20"/>
              </w:rPr>
              <w:t xml:space="preserve">Commercial </w:t>
            </w:r>
            <w:r w:rsidRPr="00DF6B20">
              <w:rPr>
                <w:rFonts w:ascii="Arial" w:hAnsi="Arial" w:cs="Arial"/>
                <w:b/>
                <w:bCs/>
                <w:color w:val="00B0F0"/>
                <w:sz w:val="20"/>
                <w:szCs w:val="20"/>
              </w:rPr>
              <w:t>Underwriting Committee</w:t>
            </w:r>
          </w:p>
          <w:p w14:paraId="12829EE9" w14:textId="77777777" w:rsidR="0012774B" w:rsidRPr="0009606F" w:rsidRDefault="0012774B" w:rsidP="00B96178">
            <w:pPr>
              <w:jc w:val="both"/>
              <w:rPr>
                <w:rFonts w:ascii="Arial" w:hAnsi="Arial" w:cs="Arial"/>
                <w:i/>
                <w:iCs/>
                <w:sz w:val="16"/>
                <w:szCs w:val="16"/>
              </w:rPr>
            </w:pPr>
            <w:r w:rsidRPr="0009606F">
              <w:rPr>
                <w:rFonts w:ascii="Arial" w:hAnsi="Arial" w:cs="Arial"/>
                <w:i/>
                <w:iCs/>
                <w:sz w:val="16"/>
                <w:szCs w:val="16"/>
              </w:rPr>
              <w:br/>
              <w:t xml:space="preserve"> </w:t>
            </w:r>
          </w:p>
        </w:tc>
        <w:tc>
          <w:tcPr>
            <w:tcW w:w="4680" w:type="dxa"/>
          </w:tcPr>
          <w:p w14:paraId="12829EEA" w14:textId="77777777" w:rsidR="0012774B" w:rsidRDefault="0012774B" w:rsidP="00B96178">
            <w:pPr>
              <w:rPr>
                <w:rFonts w:ascii="Arial" w:hAnsi="Arial" w:cs="Arial"/>
                <w:sz w:val="16"/>
                <w:szCs w:val="16"/>
              </w:rPr>
            </w:pPr>
            <w:r w:rsidRPr="0009606F">
              <w:rPr>
                <w:rFonts w:ascii="Arial" w:hAnsi="Arial" w:cs="Arial"/>
                <w:b/>
                <w:bCs/>
                <w:sz w:val="16"/>
                <w:szCs w:val="16"/>
              </w:rPr>
              <w:t>Contact for Questions</w:t>
            </w:r>
            <w:r w:rsidRPr="0009606F">
              <w:rPr>
                <w:rFonts w:ascii="Arial" w:hAnsi="Arial" w:cs="Arial"/>
                <w:sz w:val="16"/>
                <w:szCs w:val="16"/>
              </w:rPr>
              <w:t>:</w:t>
            </w:r>
            <w:r w:rsidRPr="00427A89">
              <w:rPr>
                <w:rFonts w:ascii="Arial" w:hAnsi="Arial" w:cs="Arial"/>
                <w:i/>
                <w:iCs/>
                <w:color w:val="FF0000"/>
                <w:sz w:val="16"/>
                <w:szCs w:val="16"/>
              </w:rPr>
              <w:t xml:space="preserve"> </w:t>
            </w:r>
          </w:p>
          <w:p w14:paraId="12829EEB" w14:textId="77777777" w:rsidR="0012774B" w:rsidRPr="00DF6B20" w:rsidRDefault="004D65CB" w:rsidP="00B96178">
            <w:pPr>
              <w:rPr>
                <w:rFonts w:ascii="Arial" w:hAnsi="Arial" w:cs="Arial"/>
                <w:b/>
                <w:bCs/>
                <w:color w:val="00B0F0"/>
                <w:sz w:val="20"/>
                <w:szCs w:val="20"/>
              </w:rPr>
            </w:pPr>
            <w:r w:rsidRPr="00DF6B20">
              <w:rPr>
                <w:rFonts w:ascii="Arial" w:hAnsi="Arial" w:cs="Arial"/>
                <w:b/>
                <w:bCs/>
                <w:color w:val="00B0F0"/>
                <w:sz w:val="20"/>
                <w:szCs w:val="20"/>
              </w:rPr>
              <w:t xml:space="preserve">Global Commercial </w:t>
            </w:r>
            <w:r w:rsidR="0012774B" w:rsidRPr="00DF6B20">
              <w:rPr>
                <w:rFonts w:ascii="Arial" w:hAnsi="Arial" w:cs="Arial"/>
                <w:b/>
                <w:bCs/>
                <w:color w:val="00B0F0"/>
                <w:sz w:val="20"/>
                <w:szCs w:val="20"/>
              </w:rPr>
              <w:t>Head of Technical Underwriting</w:t>
            </w:r>
          </w:p>
        </w:tc>
      </w:tr>
      <w:tr w:rsidR="0012774B" w:rsidRPr="004A024A" w14:paraId="12829EEE" w14:textId="77777777" w:rsidTr="00A137CA">
        <w:trPr>
          <w:trHeight w:val="522"/>
        </w:trPr>
        <w:tc>
          <w:tcPr>
            <w:tcW w:w="10620" w:type="dxa"/>
            <w:gridSpan w:val="3"/>
          </w:tcPr>
          <w:p w14:paraId="12829EED" w14:textId="77777777" w:rsidR="0012774B" w:rsidRPr="0009606F" w:rsidRDefault="0012774B" w:rsidP="00B96178">
            <w:pPr>
              <w:rPr>
                <w:rFonts w:ascii="Arial" w:hAnsi="Arial" w:cs="Arial"/>
                <w:b/>
                <w:bCs/>
                <w:sz w:val="16"/>
                <w:szCs w:val="16"/>
              </w:rPr>
            </w:pPr>
            <w:r w:rsidRPr="0009606F">
              <w:rPr>
                <w:rFonts w:ascii="Arial" w:hAnsi="Arial" w:cs="Arial"/>
                <w:b/>
                <w:bCs/>
                <w:sz w:val="16"/>
                <w:szCs w:val="16"/>
              </w:rPr>
              <w:t>Approver</w:t>
            </w:r>
            <w:r w:rsidRPr="0009606F">
              <w:rPr>
                <w:rFonts w:ascii="Arial" w:hAnsi="Arial" w:cs="Arial"/>
                <w:sz w:val="16"/>
                <w:szCs w:val="16"/>
              </w:rPr>
              <w:t>:</w:t>
            </w:r>
            <w:r w:rsidRPr="0009606F">
              <w:rPr>
                <w:rFonts w:ascii="Arial" w:hAnsi="Arial" w:cs="Arial"/>
                <w:sz w:val="16"/>
                <w:szCs w:val="16"/>
              </w:rPr>
              <w:br/>
            </w:r>
            <w:r w:rsidR="00A45052" w:rsidRPr="00DF6B20">
              <w:rPr>
                <w:rFonts w:ascii="Arial" w:hAnsi="Arial" w:cs="Arial"/>
                <w:b/>
                <w:bCs/>
                <w:color w:val="00B0F0"/>
                <w:sz w:val="20"/>
                <w:szCs w:val="20"/>
              </w:rPr>
              <w:t>Global</w:t>
            </w:r>
            <w:r w:rsidRPr="00DF6B20">
              <w:rPr>
                <w:rFonts w:ascii="Arial" w:hAnsi="Arial" w:cs="Arial"/>
                <w:b/>
                <w:bCs/>
                <w:color w:val="00B0F0"/>
                <w:sz w:val="20"/>
                <w:szCs w:val="20"/>
              </w:rPr>
              <w:t xml:space="preserve"> Commercial Chief Underwriting Officer</w:t>
            </w:r>
          </w:p>
        </w:tc>
      </w:tr>
      <w:tr w:rsidR="00E92185" w:rsidRPr="004A024A" w14:paraId="12829EF4" w14:textId="77777777" w:rsidTr="00163283">
        <w:tc>
          <w:tcPr>
            <w:tcW w:w="1800" w:type="dxa"/>
          </w:tcPr>
          <w:p w14:paraId="12829EEF" w14:textId="77777777" w:rsidR="00E92185" w:rsidRPr="004A024A" w:rsidRDefault="00E92185" w:rsidP="004813A1">
            <w:pPr>
              <w:spacing w:before="60" w:after="60"/>
              <w:jc w:val="both"/>
              <w:rPr>
                <w:rFonts w:ascii="Arial" w:hAnsi="Arial" w:cs="Arial"/>
                <w:b/>
                <w:sz w:val="20"/>
                <w:szCs w:val="20"/>
              </w:rPr>
            </w:pPr>
            <w:r>
              <w:rPr>
                <w:rFonts w:ascii="Arial" w:hAnsi="Arial" w:cs="Arial"/>
                <w:b/>
                <w:sz w:val="20"/>
                <w:szCs w:val="20"/>
              </w:rPr>
              <w:t>Purpose</w:t>
            </w:r>
          </w:p>
        </w:tc>
        <w:tc>
          <w:tcPr>
            <w:tcW w:w="8820" w:type="dxa"/>
            <w:gridSpan w:val="2"/>
          </w:tcPr>
          <w:p w14:paraId="12829EF0" w14:textId="77777777" w:rsidR="00E92185" w:rsidRDefault="00E92185" w:rsidP="006F0A9F">
            <w:pPr>
              <w:rPr>
                <w:rFonts w:ascii="Arial" w:hAnsi="Arial" w:cs="Arial"/>
                <w:i/>
                <w:iCs/>
                <w:color w:val="FF0000"/>
                <w:sz w:val="16"/>
                <w:szCs w:val="16"/>
              </w:rPr>
            </w:pPr>
          </w:p>
          <w:p w14:paraId="12829EF1" w14:textId="77777777" w:rsidR="00E92185" w:rsidRDefault="00E92185" w:rsidP="006F0A9F">
            <w:pPr>
              <w:tabs>
                <w:tab w:val="num" w:pos="612"/>
              </w:tabs>
              <w:rPr>
                <w:rFonts w:ascii="Arial" w:hAnsi="Arial" w:cs="Arial"/>
                <w:color w:val="000000"/>
                <w:sz w:val="20"/>
                <w:szCs w:val="20"/>
              </w:rPr>
            </w:pPr>
            <w:r>
              <w:rPr>
                <w:rFonts w:ascii="Arial" w:hAnsi="Arial" w:cs="Arial"/>
                <w:sz w:val="20"/>
                <w:szCs w:val="20"/>
              </w:rPr>
              <w:t>The AIG General Insurance – Risk Transfer Policy</w:t>
            </w:r>
            <w:r w:rsidR="00260D28">
              <w:rPr>
                <w:rFonts w:ascii="Arial" w:hAnsi="Arial" w:cs="Arial"/>
                <w:sz w:val="20"/>
                <w:szCs w:val="20"/>
              </w:rPr>
              <w:t xml:space="preserve"> (“the Policy”)</w:t>
            </w:r>
            <w:r>
              <w:rPr>
                <w:rFonts w:ascii="Arial" w:hAnsi="Arial" w:cs="Arial"/>
                <w:color w:val="000000"/>
                <w:sz w:val="20"/>
                <w:szCs w:val="20"/>
              </w:rPr>
              <w:t xml:space="preserve"> requires </w:t>
            </w:r>
            <w:r w:rsidR="00291A36">
              <w:rPr>
                <w:rFonts w:ascii="Arial" w:hAnsi="Arial" w:cs="Arial"/>
                <w:color w:val="000000"/>
                <w:sz w:val="20"/>
                <w:szCs w:val="20"/>
              </w:rPr>
              <w:t xml:space="preserve">risk transfer testing </w:t>
            </w:r>
            <w:r w:rsidR="00455FCB">
              <w:rPr>
                <w:rFonts w:ascii="Arial" w:hAnsi="Arial" w:cs="Arial"/>
                <w:color w:val="000000"/>
                <w:sz w:val="20"/>
                <w:szCs w:val="20"/>
              </w:rPr>
              <w:t>for</w:t>
            </w:r>
            <w:r w:rsidR="00291A36">
              <w:rPr>
                <w:rFonts w:ascii="Arial" w:hAnsi="Arial" w:cs="Arial"/>
                <w:color w:val="000000"/>
                <w:sz w:val="20"/>
                <w:szCs w:val="20"/>
              </w:rPr>
              <w:t xml:space="preserve"> all insurance contracts </w:t>
            </w:r>
            <w:r w:rsidR="00C40757">
              <w:rPr>
                <w:rFonts w:ascii="Arial" w:hAnsi="Arial" w:cs="Arial"/>
                <w:color w:val="000000"/>
                <w:sz w:val="20"/>
                <w:szCs w:val="20"/>
              </w:rPr>
              <w:t xml:space="preserve">and reinsurance </w:t>
            </w:r>
            <w:r w:rsidR="00291A36">
              <w:rPr>
                <w:rFonts w:ascii="Arial" w:hAnsi="Arial" w:cs="Arial"/>
                <w:color w:val="000000"/>
                <w:sz w:val="20"/>
                <w:szCs w:val="20"/>
              </w:rPr>
              <w:t xml:space="preserve">through </w:t>
            </w:r>
            <w:r>
              <w:rPr>
                <w:rFonts w:ascii="Arial" w:hAnsi="Arial" w:cs="Arial"/>
                <w:color w:val="000000"/>
                <w:sz w:val="20"/>
                <w:szCs w:val="20"/>
              </w:rPr>
              <w:t xml:space="preserve">the completion of </w:t>
            </w:r>
            <w:r w:rsidR="00291A36">
              <w:rPr>
                <w:rFonts w:ascii="Arial" w:hAnsi="Arial" w:cs="Arial"/>
                <w:color w:val="000000"/>
                <w:sz w:val="20"/>
                <w:szCs w:val="20"/>
              </w:rPr>
              <w:t xml:space="preserve">either </w:t>
            </w:r>
            <w:r>
              <w:rPr>
                <w:rFonts w:ascii="Arial" w:hAnsi="Arial" w:cs="Arial"/>
                <w:color w:val="000000"/>
                <w:sz w:val="20"/>
                <w:szCs w:val="20"/>
              </w:rPr>
              <w:t xml:space="preserve">a Risk Transfer Worksheet or a Qualitative Review no later than the transaction </w:t>
            </w:r>
            <w:r w:rsidR="00260D28">
              <w:rPr>
                <w:rFonts w:ascii="Arial" w:hAnsi="Arial" w:cs="Arial"/>
                <w:color w:val="000000"/>
                <w:sz w:val="20"/>
                <w:szCs w:val="20"/>
              </w:rPr>
              <w:t>Inception Date</w:t>
            </w:r>
            <w:r>
              <w:rPr>
                <w:rFonts w:ascii="Arial" w:hAnsi="Arial" w:cs="Arial"/>
                <w:color w:val="000000"/>
                <w:sz w:val="20"/>
                <w:szCs w:val="20"/>
              </w:rPr>
              <w:t xml:space="preserve"> unless the product or program structure is </w:t>
            </w:r>
            <w:r w:rsidR="00260D28">
              <w:rPr>
                <w:rFonts w:ascii="Arial" w:hAnsi="Arial" w:cs="Arial"/>
                <w:color w:val="000000"/>
                <w:sz w:val="20"/>
                <w:szCs w:val="20"/>
              </w:rPr>
              <w:t xml:space="preserve">covered by </w:t>
            </w:r>
            <w:r>
              <w:rPr>
                <w:rFonts w:ascii="Arial" w:hAnsi="Arial" w:cs="Arial"/>
                <w:color w:val="000000"/>
                <w:sz w:val="20"/>
                <w:szCs w:val="20"/>
              </w:rPr>
              <w:t>an approved Safe Harbor.</w:t>
            </w:r>
          </w:p>
          <w:p w14:paraId="12829EF2" w14:textId="77777777" w:rsidR="00E92185" w:rsidRDefault="00E92185" w:rsidP="006F0A9F">
            <w:pPr>
              <w:rPr>
                <w:rFonts w:ascii="Arial" w:hAnsi="Arial" w:cs="Arial"/>
                <w:color w:val="000000"/>
                <w:sz w:val="20"/>
                <w:szCs w:val="20"/>
              </w:rPr>
            </w:pPr>
          </w:p>
          <w:p w14:paraId="12829EF3" w14:textId="77777777" w:rsidR="00E92185" w:rsidRPr="00915DCF" w:rsidRDefault="00E92185" w:rsidP="003930DB">
            <w:pPr>
              <w:rPr>
                <w:rFonts w:ascii="Arial" w:hAnsi="Arial" w:cs="Arial"/>
                <w:color w:val="000000"/>
                <w:sz w:val="20"/>
                <w:szCs w:val="20"/>
              </w:rPr>
            </w:pPr>
            <w:r>
              <w:rPr>
                <w:rFonts w:ascii="Arial" w:hAnsi="Arial" w:cs="Arial"/>
                <w:color w:val="000000"/>
                <w:sz w:val="20"/>
                <w:szCs w:val="20"/>
              </w:rPr>
              <w:t>The purpose of this document is to establish the requirements and procedures for determining and maintaining Safe Harbors for Global Commercial products.</w:t>
            </w:r>
            <w:r w:rsidR="003930DB">
              <w:rPr>
                <w:rFonts w:ascii="Arial" w:hAnsi="Arial" w:cs="Arial"/>
                <w:color w:val="000000"/>
                <w:sz w:val="20"/>
                <w:szCs w:val="20"/>
              </w:rPr>
              <w:t xml:space="preserve"> </w:t>
            </w:r>
          </w:p>
        </w:tc>
      </w:tr>
      <w:tr w:rsidR="00E92185" w:rsidRPr="004A024A" w14:paraId="12829EF9" w14:textId="77777777" w:rsidTr="003443A9">
        <w:tc>
          <w:tcPr>
            <w:tcW w:w="1800" w:type="dxa"/>
          </w:tcPr>
          <w:p w14:paraId="12829EF5" w14:textId="77777777" w:rsidR="00E92185" w:rsidRPr="004A024A" w:rsidRDefault="00E92185" w:rsidP="003B4A02">
            <w:pPr>
              <w:spacing w:before="60" w:after="60"/>
              <w:rPr>
                <w:rFonts w:ascii="Arial" w:hAnsi="Arial" w:cs="Arial"/>
                <w:b/>
                <w:sz w:val="20"/>
                <w:szCs w:val="20"/>
              </w:rPr>
            </w:pPr>
            <w:r w:rsidRPr="004A024A">
              <w:rPr>
                <w:rFonts w:ascii="Arial" w:hAnsi="Arial" w:cs="Arial"/>
                <w:b/>
                <w:sz w:val="20"/>
                <w:szCs w:val="20"/>
              </w:rPr>
              <w:t>Scope</w:t>
            </w:r>
          </w:p>
        </w:tc>
        <w:tc>
          <w:tcPr>
            <w:tcW w:w="8820" w:type="dxa"/>
            <w:gridSpan w:val="2"/>
          </w:tcPr>
          <w:p w14:paraId="12829EF6" w14:textId="77777777" w:rsidR="00E92185" w:rsidRDefault="00E92185" w:rsidP="00B5006C">
            <w:pPr>
              <w:tabs>
                <w:tab w:val="num" w:pos="612"/>
              </w:tabs>
              <w:rPr>
                <w:rFonts w:ascii="Arial" w:hAnsi="Arial" w:cs="Arial"/>
                <w:sz w:val="20"/>
                <w:szCs w:val="20"/>
              </w:rPr>
            </w:pPr>
          </w:p>
          <w:p w14:paraId="12829EF7" w14:textId="77777777" w:rsidR="00E92185" w:rsidRPr="00C802AB" w:rsidRDefault="00E92185" w:rsidP="00B5006C">
            <w:pPr>
              <w:tabs>
                <w:tab w:val="num" w:pos="612"/>
              </w:tabs>
              <w:rPr>
                <w:rFonts w:ascii="Arial" w:hAnsi="Arial" w:cs="Arial"/>
                <w:i/>
                <w:iCs/>
                <w:sz w:val="16"/>
                <w:szCs w:val="16"/>
              </w:rPr>
            </w:pPr>
            <w:r w:rsidRPr="00BC2A13">
              <w:rPr>
                <w:rFonts w:ascii="Arial" w:hAnsi="Arial" w:cs="Arial"/>
                <w:sz w:val="20"/>
                <w:szCs w:val="20"/>
              </w:rPr>
              <w:t xml:space="preserve">The </w:t>
            </w:r>
            <w:r>
              <w:rPr>
                <w:rFonts w:ascii="Arial" w:hAnsi="Arial" w:cs="Arial"/>
                <w:sz w:val="20"/>
                <w:szCs w:val="20"/>
              </w:rPr>
              <w:t>requirements set out in this Standard</w:t>
            </w:r>
            <w:r w:rsidRPr="00BC2A13">
              <w:rPr>
                <w:rFonts w:ascii="Arial" w:hAnsi="Arial" w:cs="Arial"/>
                <w:sz w:val="20"/>
                <w:szCs w:val="20"/>
              </w:rPr>
              <w:t xml:space="preserve"> apply to </w:t>
            </w:r>
            <w:r>
              <w:rPr>
                <w:rFonts w:ascii="Arial" w:hAnsi="Arial" w:cs="Arial"/>
                <w:sz w:val="20"/>
                <w:szCs w:val="20"/>
              </w:rPr>
              <w:t>employees of AIG Property Casualty Commercial with responsibility for underwriting or managing insurance risks, policies and portfolios.</w:t>
            </w:r>
          </w:p>
          <w:p w14:paraId="12829EF8" w14:textId="77777777" w:rsidR="00E92185" w:rsidRPr="00427A89" w:rsidRDefault="00E92185" w:rsidP="00427A89">
            <w:pPr>
              <w:autoSpaceDE w:val="0"/>
              <w:autoSpaceDN w:val="0"/>
              <w:adjustRightInd w:val="0"/>
              <w:jc w:val="both"/>
              <w:rPr>
                <w:rFonts w:ascii="Arial" w:hAnsi="Arial" w:cs="Arial"/>
                <w:i/>
                <w:iCs/>
                <w:sz w:val="16"/>
                <w:szCs w:val="16"/>
              </w:rPr>
            </w:pPr>
          </w:p>
        </w:tc>
      </w:tr>
      <w:tr w:rsidR="00E92185" w:rsidRPr="004A024A" w14:paraId="12829EFC" w14:textId="77777777" w:rsidTr="009549C8">
        <w:trPr>
          <w:trHeight w:val="612"/>
        </w:trPr>
        <w:tc>
          <w:tcPr>
            <w:tcW w:w="1800" w:type="dxa"/>
          </w:tcPr>
          <w:p w14:paraId="12829EFA" w14:textId="77777777" w:rsidR="00E92185" w:rsidRPr="004A024A" w:rsidRDefault="00E92185" w:rsidP="003B4A02">
            <w:pPr>
              <w:spacing w:before="60" w:after="60"/>
              <w:rPr>
                <w:rFonts w:ascii="Arial" w:hAnsi="Arial" w:cs="Arial"/>
                <w:b/>
                <w:sz w:val="20"/>
                <w:szCs w:val="20"/>
              </w:rPr>
            </w:pPr>
            <w:r w:rsidRPr="004A024A">
              <w:rPr>
                <w:rFonts w:ascii="Arial" w:hAnsi="Arial" w:cs="Arial"/>
                <w:b/>
                <w:sz w:val="20"/>
                <w:szCs w:val="20"/>
              </w:rPr>
              <w:t>O</w:t>
            </w:r>
            <w:r>
              <w:rPr>
                <w:rFonts w:ascii="Arial" w:hAnsi="Arial" w:cs="Arial"/>
                <w:b/>
                <w:sz w:val="20"/>
                <w:szCs w:val="20"/>
              </w:rPr>
              <w:t>perational Requirement</w:t>
            </w:r>
            <w:r w:rsidRPr="004A024A">
              <w:rPr>
                <w:rFonts w:ascii="Arial" w:hAnsi="Arial" w:cs="Arial"/>
                <w:b/>
                <w:sz w:val="20"/>
                <w:szCs w:val="20"/>
              </w:rPr>
              <w:t>s</w:t>
            </w:r>
          </w:p>
        </w:tc>
        <w:tc>
          <w:tcPr>
            <w:tcW w:w="8820" w:type="dxa"/>
            <w:gridSpan w:val="2"/>
          </w:tcPr>
          <w:p w14:paraId="12829EFB" w14:textId="77777777" w:rsidR="00E92185" w:rsidRPr="00427A89" w:rsidRDefault="00E92185" w:rsidP="00057E48">
            <w:pPr>
              <w:rPr>
                <w:rFonts w:ascii="Arial" w:hAnsi="Arial" w:cs="Arial"/>
                <w:i/>
                <w:iCs/>
                <w:sz w:val="16"/>
                <w:szCs w:val="16"/>
              </w:rPr>
            </w:pPr>
          </w:p>
        </w:tc>
      </w:tr>
      <w:tr w:rsidR="009F3F64" w:rsidRPr="004A024A" w14:paraId="12829F0C" w14:textId="77777777" w:rsidTr="003443A9">
        <w:trPr>
          <w:trHeight w:val="387"/>
        </w:trPr>
        <w:tc>
          <w:tcPr>
            <w:tcW w:w="1800" w:type="dxa"/>
          </w:tcPr>
          <w:p w14:paraId="12829EFD" w14:textId="77777777" w:rsidR="009F3F64" w:rsidRPr="00DF6B20" w:rsidRDefault="009F3F64" w:rsidP="00424CF3">
            <w:pPr>
              <w:spacing w:before="60" w:after="60"/>
              <w:rPr>
                <w:rFonts w:ascii="Arial" w:hAnsi="Arial" w:cs="Arial"/>
                <w:bCs/>
                <w:i/>
                <w:iCs/>
                <w:color w:val="00B0F0"/>
                <w:sz w:val="20"/>
                <w:szCs w:val="20"/>
                <w:highlight w:val="lightGray"/>
              </w:rPr>
            </w:pPr>
            <w:r w:rsidRPr="00DF6B20">
              <w:rPr>
                <w:rFonts w:ascii="Arial" w:hAnsi="Arial" w:cs="Arial"/>
                <w:bCs/>
                <w:i/>
                <w:iCs/>
                <w:color w:val="00B0F0"/>
                <w:sz w:val="20"/>
                <w:szCs w:val="20"/>
              </w:rPr>
              <w:t>Definitions</w:t>
            </w:r>
          </w:p>
        </w:tc>
        <w:tc>
          <w:tcPr>
            <w:tcW w:w="8820" w:type="dxa"/>
            <w:gridSpan w:val="2"/>
          </w:tcPr>
          <w:p w14:paraId="12829EFE" w14:textId="77777777" w:rsidR="009F3F64" w:rsidRDefault="009F3F64" w:rsidP="006F0A9F">
            <w:pPr>
              <w:tabs>
                <w:tab w:val="num" w:pos="612"/>
              </w:tabs>
              <w:rPr>
                <w:rFonts w:ascii="Arial" w:hAnsi="Arial" w:cs="Arial"/>
                <w:sz w:val="20"/>
                <w:szCs w:val="20"/>
              </w:rPr>
            </w:pPr>
          </w:p>
          <w:p w14:paraId="12829EFF" w14:textId="77777777" w:rsidR="009F3F64" w:rsidRDefault="00E00FD1" w:rsidP="006F0A9F">
            <w:pPr>
              <w:tabs>
                <w:tab w:val="num" w:pos="612"/>
              </w:tabs>
              <w:rPr>
                <w:rFonts w:ascii="Arial" w:hAnsi="Arial" w:cs="Arial"/>
                <w:sz w:val="20"/>
                <w:szCs w:val="20"/>
              </w:rPr>
            </w:pPr>
            <w:r>
              <w:rPr>
                <w:rFonts w:ascii="Arial" w:hAnsi="Arial" w:cs="Arial"/>
                <w:sz w:val="20"/>
                <w:szCs w:val="20"/>
              </w:rPr>
              <w:t>As defined in the Policy, a</w:t>
            </w:r>
            <w:r w:rsidR="009F3F64">
              <w:rPr>
                <w:rFonts w:ascii="Arial" w:hAnsi="Arial" w:cs="Arial"/>
                <w:sz w:val="20"/>
                <w:szCs w:val="20"/>
              </w:rPr>
              <w:t xml:space="preserve"> “Safe Harbor” is a product or program structure that, by its nature and defined parameters, is deemed to transfer sufficient </w:t>
            </w:r>
            <w:r w:rsidR="001C6889">
              <w:rPr>
                <w:rFonts w:ascii="Arial" w:hAnsi="Arial" w:cs="Arial"/>
                <w:sz w:val="20"/>
                <w:szCs w:val="20"/>
              </w:rPr>
              <w:t xml:space="preserve">Insurance Risk </w:t>
            </w:r>
            <w:r w:rsidR="009F3F64">
              <w:rPr>
                <w:rFonts w:ascii="Arial" w:hAnsi="Arial" w:cs="Arial"/>
                <w:sz w:val="20"/>
                <w:szCs w:val="20"/>
              </w:rPr>
              <w:t xml:space="preserve">to qualify under the Policy for insurance accounting. </w:t>
            </w:r>
            <w:r w:rsidR="0014560D">
              <w:rPr>
                <w:rFonts w:ascii="Arial" w:hAnsi="Arial" w:cs="Arial"/>
                <w:sz w:val="20"/>
                <w:szCs w:val="20"/>
              </w:rPr>
              <w:t>Safe Harbors</w:t>
            </w:r>
            <w:r w:rsidR="009F3F64">
              <w:rPr>
                <w:rFonts w:ascii="Arial" w:hAnsi="Arial" w:cs="Arial"/>
                <w:sz w:val="20"/>
                <w:szCs w:val="20"/>
              </w:rPr>
              <w:t xml:space="preserve"> are established through a documented approval process</w:t>
            </w:r>
            <w:r>
              <w:rPr>
                <w:rFonts w:ascii="Arial" w:hAnsi="Arial" w:cs="Arial"/>
                <w:sz w:val="20"/>
                <w:szCs w:val="20"/>
              </w:rPr>
              <w:t xml:space="preserve"> required by the Policy</w:t>
            </w:r>
            <w:r w:rsidR="009F3F64">
              <w:rPr>
                <w:rFonts w:ascii="Arial" w:hAnsi="Arial" w:cs="Arial"/>
                <w:sz w:val="20"/>
                <w:szCs w:val="20"/>
              </w:rPr>
              <w:t>.</w:t>
            </w:r>
          </w:p>
          <w:p w14:paraId="12829F00" w14:textId="77777777" w:rsidR="009F3F64" w:rsidRDefault="009F3F64" w:rsidP="006F0A9F">
            <w:pPr>
              <w:tabs>
                <w:tab w:val="num" w:pos="612"/>
              </w:tabs>
              <w:rPr>
                <w:rFonts w:ascii="Arial" w:hAnsi="Arial" w:cs="Arial"/>
                <w:sz w:val="20"/>
                <w:szCs w:val="20"/>
              </w:rPr>
            </w:pPr>
          </w:p>
          <w:p w14:paraId="12829F01" w14:textId="77777777" w:rsidR="009F3F64" w:rsidRDefault="00E00FD1" w:rsidP="006F0A9F">
            <w:pPr>
              <w:tabs>
                <w:tab w:val="num" w:pos="612"/>
              </w:tabs>
              <w:rPr>
                <w:rFonts w:ascii="Arial" w:hAnsi="Arial" w:cs="Arial"/>
                <w:sz w:val="20"/>
                <w:szCs w:val="20"/>
              </w:rPr>
            </w:pPr>
            <w:r>
              <w:rPr>
                <w:rFonts w:ascii="Arial" w:hAnsi="Arial" w:cs="Arial"/>
                <w:sz w:val="20"/>
                <w:szCs w:val="20"/>
              </w:rPr>
              <w:t>As defined in the Policy, a</w:t>
            </w:r>
            <w:r w:rsidR="009F3F64" w:rsidRPr="00A03096">
              <w:rPr>
                <w:rFonts w:ascii="Arial" w:hAnsi="Arial" w:cs="Arial"/>
                <w:sz w:val="20"/>
                <w:szCs w:val="20"/>
              </w:rPr>
              <w:t xml:space="preserve"> </w:t>
            </w:r>
            <w:r w:rsidR="009F3F64">
              <w:rPr>
                <w:rFonts w:ascii="Arial" w:hAnsi="Arial" w:cs="Arial"/>
                <w:sz w:val="20"/>
                <w:szCs w:val="20"/>
              </w:rPr>
              <w:t>“</w:t>
            </w:r>
            <w:r w:rsidR="009F3F64" w:rsidRPr="00A03096">
              <w:rPr>
                <w:rFonts w:ascii="Arial" w:hAnsi="Arial" w:cs="Arial"/>
                <w:sz w:val="20"/>
                <w:szCs w:val="20"/>
              </w:rPr>
              <w:t>Governing Contract</w:t>
            </w:r>
            <w:r w:rsidR="009F3F64">
              <w:rPr>
                <w:rFonts w:ascii="Arial" w:hAnsi="Arial" w:cs="Arial"/>
                <w:sz w:val="20"/>
                <w:szCs w:val="20"/>
              </w:rPr>
              <w:t>” is a</w:t>
            </w:r>
            <w:r w:rsidR="009F3F64" w:rsidRPr="00A03096">
              <w:rPr>
                <w:rFonts w:ascii="Arial" w:hAnsi="Arial" w:cs="Arial"/>
                <w:sz w:val="20"/>
                <w:szCs w:val="20"/>
              </w:rPr>
              <w:t xml:space="preserve"> single substantive agreement</w:t>
            </w:r>
            <w:r w:rsidR="009F3F64">
              <w:rPr>
                <w:rFonts w:ascii="Arial" w:hAnsi="Arial" w:cs="Arial"/>
                <w:sz w:val="20"/>
                <w:szCs w:val="20"/>
              </w:rPr>
              <w:t xml:space="preserve"> </w:t>
            </w:r>
            <w:r w:rsidR="009F3F64" w:rsidRPr="00A03096">
              <w:rPr>
                <w:rFonts w:ascii="Arial" w:hAnsi="Arial" w:cs="Arial"/>
                <w:sz w:val="20"/>
                <w:szCs w:val="20"/>
              </w:rPr>
              <w:t xml:space="preserve">comprising </w:t>
            </w:r>
            <w:r>
              <w:rPr>
                <w:rFonts w:ascii="Arial" w:hAnsi="Arial" w:cs="Arial"/>
                <w:sz w:val="20"/>
                <w:szCs w:val="20"/>
              </w:rPr>
              <w:t xml:space="preserve">all of </w:t>
            </w:r>
            <w:r w:rsidR="009F3F64" w:rsidRPr="00A03096">
              <w:rPr>
                <w:rFonts w:ascii="Arial" w:hAnsi="Arial" w:cs="Arial"/>
                <w:sz w:val="20"/>
                <w:szCs w:val="20"/>
              </w:rPr>
              <w:t>the terms of multiple insurance policies and associated agreements that</w:t>
            </w:r>
            <w:r w:rsidR="009F3F64">
              <w:rPr>
                <w:rFonts w:ascii="Arial" w:hAnsi="Arial" w:cs="Arial"/>
                <w:sz w:val="20"/>
                <w:szCs w:val="20"/>
              </w:rPr>
              <w:t xml:space="preserve"> </w:t>
            </w:r>
            <w:r w:rsidR="009F3F64" w:rsidRPr="00A03096">
              <w:rPr>
                <w:rFonts w:ascii="Arial" w:hAnsi="Arial" w:cs="Arial"/>
                <w:sz w:val="20"/>
                <w:szCs w:val="20"/>
              </w:rPr>
              <w:t>provide related coverage through policies which are linked in an overall agreement with the</w:t>
            </w:r>
            <w:r w:rsidR="009F3F64">
              <w:rPr>
                <w:rFonts w:ascii="Arial" w:hAnsi="Arial" w:cs="Arial"/>
                <w:sz w:val="20"/>
                <w:szCs w:val="20"/>
              </w:rPr>
              <w:t xml:space="preserve"> </w:t>
            </w:r>
            <w:r w:rsidR="009F3F64" w:rsidRPr="00A03096">
              <w:rPr>
                <w:rFonts w:ascii="Arial" w:hAnsi="Arial" w:cs="Arial"/>
                <w:sz w:val="20"/>
                <w:szCs w:val="20"/>
              </w:rPr>
              <w:t xml:space="preserve">insured. </w:t>
            </w:r>
            <w:r w:rsidR="004C1692">
              <w:rPr>
                <w:rFonts w:ascii="Arial" w:hAnsi="Arial" w:cs="Arial"/>
                <w:sz w:val="20"/>
                <w:szCs w:val="20"/>
              </w:rPr>
              <w:t xml:space="preserve">  </w:t>
            </w:r>
            <w:r w:rsidR="009F3F64" w:rsidRPr="00A03096">
              <w:rPr>
                <w:rFonts w:ascii="Arial" w:hAnsi="Arial" w:cs="Arial"/>
                <w:sz w:val="20"/>
                <w:szCs w:val="20"/>
              </w:rPr>
              <w:t>The policies that form the basis of the agreement and are part of the Governing</w:t>
            </w:r>
            <w:r w:rsidR="009F3F64">
              <w:rPr>
                <w:rFonts w:ascii="Arial" w:hAnsi="Arial" w:cs="Arial"/>
                <w:sz w:val="20"/>
                <w:szCs w:val="20"/>
              </w:rPr>
              <w:t xml:space="preserve"> </w:t>
            </w:r>
            <w:r w:rsidR="009F3F64" w:rsidRPr="00A03096">
              <w:rPr>
                <w:rFonts w:ascii="Arial" w:hAnsi="Arial" w:cs="Arial"/>
                <w:sz w:val="20"/>
                <w:szCs w:val="20"/>
              </w:rPr>
              <w:t>Contract must have features that work in conjunction to meet the risk management</w:t>
            </w:r>
            <w:r w:rsidR="009F3F64">
              <w:rPr>
                <w:rFonts w:ascii="Arial" w:hAnsi="Arial" w:cs="Arial"/>
                <w:sz w:val="20"/>
                <w:szCs w:val="20"/>
              </w:rPr>
              <w:t xml:space="preserve"> </w:t>
            </w:r>
            <w:r w:rsidR="009F3F64" w:rsidRPr="00A03096">
              <w:rPr>
                <w:rFonts w:ascii="Arial" w:hAnsi="Arial" w:cs="Arial"/>
                <w:sz w:val="20"/>
                <w:szCs w:val="20"/>
              </w:rPr>
              <w:t>objectives of the insured. The policies are typically related and often linked in one or</w:t>
            </w:r>
            <w:r w:rsidR="009F3F64">
              <w:rPr>
                <w:rFonts w:ascii="Arial" w:hAnsi="Arial" w:cs="Arial"/>
                <w:sz w:val="20"/>
                <w:szCs w:val="20"/>
              </w:rPr>
              <w:t xml:space="preserve"> </w:t>
            </w:r>
            <w:r w:rsidR="009F3F64" w:rsidRPr="00A03096">
              <w:rPr>
                <w:rFonts w:ascii="Arial" w:hAnsi="Arial" w:cs="Arial"/>
                <w:sz w:val="20"/>
                <w:szCs w:val="20"/>
              </w:rPr>
              <w:t>several of the following manners:</w:t>
            </w:r>
          </w:p>
          <w:p w14:paraId="12829F02" w14:textId="77777777" w:rsidR="009F3F64" w:rsidRPr="00A03096" w:rsidRDefault="009F3F64" w:rsidP="006F0A9F">
            <w:pPr>
              <w:tabs>
                <w:tab w:val="num" w:pos="612"/>
              </w:tabs>
              <w:rPr>
                <w:rFonts w:ascii="Arial" w:hAnsi="Arial" w:cs="Arial"/>
                <w:sz w:val="20"/>
                <w:szCs w:val="20"/>
              </w:rPr>
            </w:pPr>
          </w:p>
          <w:p w14:paraId="12829F03" w14:textId="77777777" w:rsidR="009F3F64" w:rsidRPr="00A03096" w:rsidRDefault="009F3F64" w:rsidP="006F0A9F">
            <w:pPr>
              <w:numPr>
                <w:ilvl w:val="0"/>
                <w:numId w:val="17"/>
              </w:numPr>
              <w:rPr>
                <w:rFonts w:ascii="Arial" w:hAnsi="Arial" w:cs="Arial"/>
                <w:sz w:val="20"/>
                <w:szCs w:val="20"/>
              </w:rPr>
            </w:pPr>
            <w:r w:rsidRPr="00A03096">
              <w:rPr>
                <w:rFonts w:ascii="Arial" w:hAnsi="Arial" w:cs="Arial"/>
                <w:sz w:val="20"/>
                <w:szCs w:val="20"/>
              </w:rPr>
              <w:t>Integrated Underwriting and Pricing</w:t>
            </w:r>
          </w:p>
          <w:p w14:paraId="12829F04" w14:textId="77777777" w:rsidR="009F3F64" w:rsidRPr="00A03096" w:rsidRDefault="009F3F64" w:rsidP="006F0A9F">
            <w:pPr>
              <w:numPr>
                <w:ilvl w:val="0"/>
                <w:numId w:val="17"/>
              </w:numPr>
              <w:rPr>
                <w:rFonts w:ascii="Arial" w:hAnsi="Arial" w:cs="Arial"/>
                <w:sz w:val="20"/>
                <w:szCs w:val="20"/>
              </w:rPr>
            </w:pPr>
            <w:r w:rsidRPr="00A03096">
              <w:rPr>
                <w:rFonts w:ascii="Arial" w:hAnsi="Arial" w:cs="Arial"/>
                <w:sz w:val="20"/>
                <w:szCs w:val="20"/>
              </w:rPr>
              <w:t>Common Tenure</w:t>
            </w:r>
          </w:p>
          <w:p w14:paraId="12829F05" w14:textId="77777777" w:rsidR="009F3F64" w:rsidRPr="00A03096" w:rsidRDefault="009F3F64" w:rsidP="006F0A9F">
            <w:pPr>
              <w:numPr>
                <w:ilvl w:val="0"/>
                <w:numId w:val="17"/>
              </w:numPr>
              <w:rPr>
                <w:rFonts w:ascii="Arial" w:hAnsi="Arial" w:cs="Arial"/>
                <w:sz w:val="20"/>
                <w:szCs w:val="20"/>
              </w:rPr>
            </w:pPr>
            <w:r w:rsidRPr="00A03096">
              <w:rPr>
                <w:rFonts w:ascii="Arial" w:hAnsi="Arial" w:cs="Arial"/>
                <w:sz w:val="20"/>
                <w:szCs w:val="20"/>
              </w:rPr>
              <w:t>Common Billing and Collection</w:t>
            </w:r>
          </w:p>
          <w:p w14:paraId="12829F06" w14:textId="77777777" w:rsidR="009F3F64" w:rsidRPr="00A03096" w:rsidRDefault="009F3F64" w:rsidP="006F0A9F">
            <w:pPr>
              <w:numPr>
                <w:ilvl w:val="0"/>
                <w:numId w:val="17"/>
              </w:numPr>
              <w:rPr>
                <w:rFonts w:ascii="Arial" w:hAnsi="Arial" w:cs="Arial"/>
                <w:sz w:val="20"/>
                <w:szCs w:val="20"/>
              </w:rPr>
            </w:pPr>
            <w:r w:rsidRPr="00A03096">
              <w:rPr>
                <w:rFonts w:ascii="Arial" w:hAnsi="Arial" w:cs="Arial"/>
                <w:sz w:val="20"/>
                <w:szCs w:val="20"/>
              </w:rPr>
              <w:t>Common Collateral</w:t>
            </w:r>
          </w:p>
          <w:p w14:paraId="12829F07" w14:textId="77777777" w:rsidR="009F3F64" w:rsidRPr="00A03096" w:rsidRDefault="009F3F64" w:rsidP="006F0A9F">
            <w:pPr>
              <w:numPr>
                <w:ilvl w:val="0"/>
                <w:numId w:val="17"/>
              </w:numPr>
              <w:rPr>
                <w:rFonts w:ascii="Arial" w:hAnsi="Arial" w:cs="Arial"/>
                <w:sz w:val="20"/>
                <w:szCs w:val="20"/>
              </w:rPr>
            </w:pPr>
            <w:r w:rsidRPr="00A03096">
              <w:rPr>
                <w:rFonts w:ascii="Arial" w:hAnsi="Arial" w:cs="Arial"/>
                <w:sz w:val="20"/>
                <w:szCs w:val="20"/>
              </w:rPr>
              <w:t>Common Guarantees</w:t>
            </w:r>
          </w:p>
          <w:p w14:paraId="12829F08" w14:textId="77777777" w:rsidR="009F3F64" w:rsidRPr="00A03096" w:rsidRDefault="009F3F64" w:rsidP="006F0A9F">
            <w:pPr>
              <w:numPr>
                <w:ilvl w:val="0"/>
                <w:numId w:val="17"/>
              </w:numPr>
              <w:rPr>
                <w:rFonts w:ascii="Arial" w:hAnsi="Arial" w:cs="Arial"/>
                <w:sz w:val="20"/>
                <w:szCs w:val="20"/>
              </w:rPr>
            </w:pPr>
            <w:r w:rsidRPr="00A03096">
              <w:rPr>
                <w:rFonts w:ascii="Arial" w:hAnsi="Arial" w:cs="Arial"/>
                <w:sz w:val="20"/>
                <w:szCs w:val="20"/>
              </w:rPr>
              <w:t>Common Funding</w:t>
            </w:r>
          </w:p>
          <w:p w14:paraId="12829F09" w14:textId="77777777" w:rsidR="009F3F64" w:rsidRDefault="009F3F64" w:rsidP="006F0A9F">
            <w:pPr>
              <w:numPr>
                <w:ilvl w:val="0"/>
                <w:numId w:val="17"/>
              </w:numPr>
              <w:rPr>
                <w:rFonts w:ascii="Arial" w:hAnsi="Arial" w:cs="Arial"/>
                <w:sz w:val="20"/>
                <w:szCs w:val="20"/>
              </w:rPr>
            </w:pPr>
            <w:r w:rsidRPr="00A03096">
              <w:rPr>
                <w:rFonts w:ascii="Arial" w:hAnsi="Arial" w:cs="Arial"/>
                <w:sz w:val="20"/>
                <w:szCs w:val="20"/>
              </w:rPr>
              <w:t>Integrated Claims Processing and Settlement</w:t>
            </w:r>
          </w:p>
          <w:p w14:paraId="12829F0A" w14:textId="77777777" w:rsidR="009F3F64" w:rsidRDefault="009F3F64" w:rsidP="006F0A9F">
            <w:pPr>
              <w:tabs>
                <w:tab w:val="num" w:pos="612"/>
              </w:tabs>
              <w:rPr>
                <w:rFonts w:ascii="Arial" w:hAnsi="Arial" w:cs="Arial"/>
                <w:sz w:val="20"/>
                <w:szCs w:val="20"/>
              </w:rPr>
            </w:pPr>
          </w:p>
          <w:p w14:paraId="12829F0B" w14:textId="77777777" w:rsidR="00076B59" w:rsidRDefault="00076B59" w:rsidP="00E00FD1">
            <w:pPr>
              <w:tabs>
                <w:tab w:val="num" w:pos="612"/>
              </w:tabs>
              <w:rPr>
                <w:rFonts w:ascii="Arial" w:hAnsi="Arial" w:cs="Arial"/>
                <w:sz w:val="20"/>
                <w:szCs w:val="20"/>
              </w:rPr>
            </w:pPr>
          </w:p>
        </w:tc>
      </w:tr>
      <w:tr w:rsidR="009F3F64" w:rsidRPr="004A024A" w14:paraId="12829F1A" w14:textId="77777777" w:rsidTr="003443A9">
        <w:trPr>
          <w:trHeight w:val="387"/>
        </w:trPr>
        <w:tc>
          <w:tcPr>
            <w:tcW w:w="1800" w:type="dxa"/>
          </w:tcPr>
          <w:p w14:paraId="12829F0D" w14:textId="77777777" w:rsidR="009F3F64" w:rsidRPr="00DF6B20" w:rsidRDefault="009F3F64" w:rsidP="004912A9">
            <w:pPr>
              <w:rPr>
                <w:rFonts w:ascii="Arial" w:hAnsi="Arial" w:cs="Arial"/>
                <w:i/>
                <w:color w:val="00B0F0"/>
                <w:sz w:val="20"/>
                <w:szCs w:val="20"/>
              </w:rPr>
            </w:pPr>
            <w:r w:rsidRPr="00DF6B20">
              <w:rPr>
                <w:rFonts w:ascii="Arial" w:hAnsi="Arial" w:cs="Arial"/>
                <w:i/>
                <w:color w:val="00B0F0"/>
                <w:sz w:val="20"/>
                <w:szCs w:val="20"/>
              </w:rPr>
              <w:t>Pre</w:t>
            </w:r>
            <w:r w:rsidR="00455FCB" w:rsidRPr="00DF6B20">
              <w:rPr>
                <w:rFonts w:ascii="Arial" w:hAnsi="Arial" w:cs="Arial"/>
                <w:i/>
                <w:color w:val="00B0F0"/>
                <w:sz w:val="20"/>
                <w:szCs w:val="20"/>
              </w:rPr>
              <w:t>-</w:t>
            </w:r>
            <w:r w:rsidRPr="00DF6B20">
              <w:rPr>
                <w:rFonts w:ascii="Arial" w:hAnsi="Arial" w:cs="Arial"/>
                <w:i/>
                <w:color w:val="00B0F0"/>
                <w:sz w:val="20"/>
                <w:szCs w:val="20"/>
              </w:rPr>
              <w:t xml:space="preserve"> qualification</w:t>
            </w:r>
          </w:p>
        </w:tc>
        <w:tc>
          <w:tcPr>
            <w:tcW w:w="8820" w:type="dxa"/>
            <w:gridSpan w:val="2"/>
          </w:tcPr>
          <w:p w14:paraId="12829F0E" w14:textId="77777777" w:rsidR="009F3F64" w:rsidRDefault="009F3F64" w:rsidP="006F0A9F">
            <w:pPr>
              <w:autoSpaceDE w:val="0"/>
              <w:autoSpaceDN w:val="0"/>
              <w:adjustRightInd w:val="0"/>
              <w:rPr>
                <w:rFonts w:ascii="Arial" w:eastAsia="Times New Roman" w:hAnsi="Arial"/>
                <w:sz w:val="20"/>
                <w:szCs w:val="20"/>
                <w:lang w:eastAsia="en-US"/>
              </w:rPr>
            </w:pPr>
          </w:p>
          <w:p w14:paraId="12829F0F" w14:textId="77777777" w:rsidR="009F3F64" w:rsidRDefault="009F3F64" w:rsidP="006F0A9F">
            <w:pPr>
              <w:autoSpaceDE w:val="0"/>
              <w:autoSpaceDN w:val="0"/>
              <w:adjustRightInd w:val="0"/>
              <w:rPr>
                <w:rFonts w:ascii="Arial" w:eastAsia="Times New Roman" w:hAnsi="Arial"/>
                <w:sz w:val="20"/>
                <w:szCs w:val="20"/>
                <w:lang w:eastAsia="en-US"/>
              </w:rPr>
            </w:pPr>
            <w:r w:rsidRPr="00DB3D71">
              <w:rPr>
                <w:rFonts w:ascii="Arial" w:eastAsia="Times New Roman" w:hAnsi="Arial"/>
                <w:sz w:val="20"/>
                <w:szCs w:val="20"/>
                <w:lang w:eastAsia="en-US"/>
              </w:rPr>
              <w:t xml:space="preserve">With respect to the level of risk transfer testing required, </w:t>
            </w:r>
            <w:r>
              <w:rPr>
                <w:rFonts w:ascii="Arial" w:eastAsia="Times New Roman" w:hAnsi="Arial"/>
                <w:sz w:val="20"/>
                <w:szCs w:val="20"/>
                <w:lang w:eastAsia="en-US"/>
              </w:rPr>
              <w:t>as a general description,</w:t>
            </w:r>
            <w:r w:rsidRPr="00DB3D71">
              <w:rPr>
                <w:rFonts w:ascii="Arial" w:eastAsia="Times New Roman" w:hAnsi="Arial"/>
                <w:sz w:val="20"/>
                <w:szCs w:val="20"/>
                <w:lang w:eastAsia="en-US"/>
              </w:rPr>
              <w:t xml:space="preserve"> </w:t>
            </w:r>
            <w:r w:rsidR="00C40757">
              <w:rPr>
                <w:rFonts w:ascii="Arial" w:eastAsia="Times New Roman" w:hAnsi="Arial"/>
                <w:sz w:val="20"/>
                <w:szCs w:val="20"/>
                <w:lang w:eastAsia="en-US"/>
              </w:rPr>
              <w:t xml:space="preserve">insurance </w:t>
            </w:r>
            <w:r w:rsidRPr="00DB3D71">
              <w:rPr>
                <w:rFonts w:ascii="Arial" w:eastAsia="Times New Roman" w:hAnsi="Arial"/>
                <w:sz w:val="20"/>
                <w:szCs w:val="20"/>
                <w:lang w:eastAsia="en-US"/>
              </w:rPr>
              <w:lastRenderedPageBreak/>
              <w:t>contracts</w:t>
            </w:r>
            <w:r w:rsidR="00C40757">
              <w:rPr>
                <w:rFonts w:ascii="Arial" w:eastAsia="Times New Roman" w:hAnsi="Arial"/>
                <w:sz w:val="20"/>
                <w:szCs w:val="20"/>
                <w:lang w:eastAsia="en-US"/>
              </w:rPr>
              <w:t xml:space="preserve"> and reinsurance</w:t>
            </w:r>
            <w:r w:rsidRPr="00DB3D71">
              <w:rPr>
                <w:rFonts w:ascii="Arial" w:eastAsia="Times New Roman" w:hAnsi="Arial"/>
                <w:sz w:val="20"/>
                <w:szCs w:val="20"/>
                <w:lang w:eastAsia="en-US"/>
              </w:rPr>
              <w:t xml:space="preserve"> are categorized into the</w:t>
            </w:r>
            <w:r>
              <w:rPr>
                <w:rFonts w:ascii="Arial" w:eastAsia="Times New Roman" w:hAnsi="Arial"/>
                <w:sz w:val="20"/>
                <w:szCs w:val="20"/>
                <w:lang w:eastAsia="en-US"/>
              </w:rPr>
              <w:t xml:space="preserve"> </w:t>
            </w:r>
            <w:r w:rsidRPr="00DB3D71">
              <w:rPr>
                <w:rFonts w:ascii="Arial" w:eastAsia="Times New Roman" w:hAnsi="Arial"/>
                <w:sz w:val="20"/>
                <w:szCs w:val="20"/>
                <w:lang w:eastAsia="en-US"/>
              </w:rPr>
              <w:t>three categories below</w:t>
            </w:r>
            <w:r w:rsidR="00BF49DA">
              <w:rPr>
                <w:rFonts w:ascii="Arial" w:eastAsia="Times New Roman" w:hAnsi="Arial"/>
                <w:sz w:val="20"/>
                <w:szCs w:val="20"/>
                <w:lang w:eastAsia="en-US"/>
              </w:rPr>
              <w:t>:</w:t>
            </w:r>
            <w:r w:rsidR="00BF49DA" w:rsidRPr="00DB3D71">
              <w:rPr>
                <w:rFonts w:ascii="Arial" w:eastAsia="Times New Roman" w:hAnsi="Arial"/>
                <w:sz w:val="20"/>
                <w:szCs w:val="20"/>
                <w:lang w:eastAsia="en-US"/>
              </w:rPr>
              <w:t xml:space="preserve"> </w:t>
            </w:r>
          </w:p>
          <w:p w14:paraId="12829F10" w14:textId="77777777" w:rsidR="009F3F64" w:rsidRPr="00DB3D71" w:rsidRDefault="009F3F64" w:rsidP="006F0A9F">
            <w:pPr>
              <w:autoSpaceDE w:val="0"/>
              <w:autoSpaceDN w:val="0"/>
              <w:adjustRightInd w:val="0"/>
              <w:rPr>
                <w:rFonts w:ascii="Arial" w:eastAsia="Times New Roman" w:hAnsi="Arial"/>
                <w:sz w:val="20"/>
                <w:szCs w:val="20"/>
                <w:lang w:eastAsia="en-US"/>
              </w:rPr>
            </w:pPr>
          </w:p>
          <w:p w14:paraId="12829F11" w14:textId="77777777" w:rsidR="009F3F64" w:rsidRDefault="009F3F64" w:rsidP="006F0A9F">
            <w:pPr>
              <w:numPr>
                <w:ilvl w:val="0"/>
                <w:numId w:val="18"/>
              </w:numPr>
              <w:autoSpaceDE w:val="0"/>
              <w:autoSpaceDN w:val="0"/>
              <w:adjustRightInd w:val="0"/>
              <w:rPr>
                <w:rFonts w:ascii="Arial" w:eastAsia="Times New Roman" w:hAnsi="Arial"/>
                <w:sz w:val="20"/>
                <w:szCs w:val="20"/>
                <w:lang w:eastAsia="en-US"/>
              </w:rPr>
            </w:pPr>
            <w:r w:rsidRPr="001904BE">
              <w:rPr>
                <w:rFonts w:ascii="Arial" w:eastAsia="Times New Roman" w:hAnsi="Arial"/>
                <w:sz w:val="20"/>
                <w:szCs w:val="20"/>
                <w:u w:val="single"/>
                <w:lang w:eastAsia="en-US"/>
              </w:rPr>
              <w:t>Self-Evident</w:t>
            </w:r>
            <w:r w:rsidRPr="00DB3D71">
              <w:rPr>
                <w:rFonts w:ascii="Arial" w:eastAsia="Times New Roman" w:hAnsi="Arial"/>
                <w:sz w:val="20"/>
                <w:szCs w:val="20"/>
                <w:lang w:eastAsia="en-US"/>
              </w:rPr>
              <w:t>: Contracts that could be considered exempt from risk transfer testing as</w:t>
            </w:r>
            <w:r>
              <w:rPr>
                <w:rFonts w:ascii="Arial" w:eastAsia="Times New Roman" w:hAnsi="Arial"/>
                <w:sz w:val="20"/>
                <w:szCs w:val="20"/>
                <w:lang w:eastAsia="en-US"/>
              </w:rPr>
              <w:t xml:space="preserve"> </w:t>
            </w:r>
            <w:r w:rsidRPr="00DB3D71">
              <w:rPr>
                <w:rFonts w:ascii="Arial" w:eastAsia="Times New Roman" w:hAnsi="Arial"/>
                <w:sz w:val="20"/>
                <w:szCs w:val="20"/>
                <w:lang w:eastAsia="en-US"/>
              </w:rPr>
              <w:t>there are clearly no risk mitigating features in the contract. An example of this</w:t>
            </w:r>
            <w:r>
              <w:rPr>
                <w:rFonts w:ascii="Arial" w:eastAsia="Times New Roman" w:hAnsi="Arial"/>
                <w:sz w:val="20"/>
                <w:szCs w:val="20"/>
                <w:lang w:eastAsia="en-US"/>
              </w:rPr>
              <w:t xml:space="preserve"> </w:t>
            </w:r>
            <w:r w:rsidRPr="00DB3D71">
              <w:rPr>
                <w:rFonts w:ascii="Arial" w:eastAsia="Times New Roman" w:hAnsi="Arial"/>
                <w:sz w:val="20"/>
                <w:szCs w:val="20"/>
                <w:lang w:eastAsia="en-US"/>
              </w:rPr>
              <w:t xml:space="preserve">contract type </w:t>
            </w:r>
            <w:r w:rsidR="003930DB">
              <w:rPr>
                <w:rFonts w:ascii="Arial" w:eastAsia="Times New Roman" w:hAnsi="Arial"/>
                <w:sz w:val="20"/>
                <w:szCs w:val="20"/>
                <w:lang w:eastAsia="en-US"/>
              </w:rPr>
              <w:t>is</w:t>
            </w:r>
            <w:r w:rsidRPr="00DB3D71">
              <w:rPr>
                <w:rFonts w:ascii="Arial" w:eastAsia="Times New Roman" w:hAnsi="Arial"/>
                <w:sz w:val="20"/>
                <w:szCs w:val="20"/>
                <w:lang w:eastAsia="en-US"/>
              </w:rPr>
              <w:t xml:space="preserve"> a straight quota share</w:t>
            </w:r>
            <w:r w:rsidR="00C40757">
              <w:rPr>
                <w:rFonts w:ascii="Arial" w:eastAsia="Times New Roman" w:hAnsi="Arial"/>
                <w:sz w:val="20"/>
                <w:szCs w:val="20"/>
                <w:lang w:eastAsia="en-US"/>
              </w:rPr>
              <w:t xml:space="preserve"> reinsurance transaction</w:t>
            </w:r>
            <w:r w:rsidRPr="00DB3D71">
              <w:rPr>
                <w:rFonts w:ascii="Arial" w:eastAsia="Times New Roman" w:hAnsi="Arial"/>
                <w:sz w:val="20"/>
                <w:szCs w:val="20"/>
                <w:lang w:eastAsia="en-US"/>
              </w:rPr>
              <w:t>, with fixed terms and no risk-limiting or</w:t>
            </w:r>
            <w:r>
              <w:rPr>
                <w:rFonts w:ascii="Arial" w:eastAsia="Times New Roman" w:hAnsi="Arial"/>
                <w:sz w:val="20"/>
                <w:szCs w:val="20"/>
                <w:lang w:eastAsia="en-US"/>
              </w:rPr>
              <w:t xml:space="preserve"> </w:t>
            </w:r>
            <w:r w:rsidRPr="00DB3D71">
              <w:rPr>
                <w:rFonts w:ascii="Arial" w:eastAsia="Times New Roman" w:hAnsi="Arial"/>
                <w:sz w:val="20"/>
                <w:szCs w:val="20"/>
                <w:lang w:eastAsia="en-US"/>
              </w:rPr>
              <w:t>variable terms (including no sharing of positive experience).</w:t>
            </w:r>
          </w:p>
          <w:p w14:paraId="12829F12" w14:textId="77777777" w:rsidR="009F3F64" w:rsidRPr="00DB3D71" w:rsidRDefault="009F3F64" w:rsidP="006F0A9F">
            <w:pPr>
              <w:autoSpaceDE w:val="0"/>
              <w:autoSpaceDN w:val="0"/>
              <w:adjustRightInd w:val="0"/>
              <w:rPr>
                <w:rFonts w:ascii="Arial" w:eastAsia="Times New Roman" w:hAnsi="Arial"/>
                <w:sz w:val="20"/>
                <w:szCs w:val="20"/>
                <w:lang w:eastAsia="en-US"/>
              </w:rPr>
            </w:pPr>
          </w:p>
          <w:p w14:paraId="12829F13" w14:textId="77777777" w:rsidR="009F3F64" w:rsidRPr="001904BE" w:rsidRDefault="009F3F64" w:rsidP="006F0A9F">
            <w:pPr>
              <w:numPr>
                <w:ilvl w:val="0"/>
                <w:numId w:val="18"/>
              </w:numPr>
              <w:autoSpaceDE w:val="0"/>
              <w:autoSpaceDN w:val="0"/>
              <w:adjustRightInd w:val="0"/>
              <w:rPr>
                <w:rFonts w:ascii="Arial" w:eastAsia="Times New Roman" w:hAnsi="Arial"/>
                <w:sz w:val="20"/>
                <w:szCs w:val="20"/>
                <w:lang w:eastAsia="en-US"/>
              </w:rPr>
            </w:pPr>
            <w:r w:rsidRPr="001904BE">
              <w:rPr>
                <w:rFonts w:ascii="Arial" w:eastAsia="Times New Roman" w:hAnsi="Arial"/>
                <w:sz w:val="20"/>
                <w:szCs w:val="20"/>
                <w:u w:val="single"/>
                <w:lang w:eastAsia="en-US"/>
              </w:rPr>
              <w:t>Reasonably Self-Evident</w:t>
            </w:r>
            <w:r w:rsidRPr="00DB3D71">
              <w:rPr>
                <w:rFonts w:ascii="Arial" w:eastAsia="Times New Roman" w:hAnsi="Arial"/>
                <w:sz w:val="20"/>
                <w:szCs w:val="20"/>
                <w:lang w:eastAsia="en-US"/>
              </w:rPr>
              <w:t>: Contracts for which risk transfer is nevertheless considered</w:t>
            </w:r>
            <w:r>
              <w:rPr>
                <w:rFonts w:ascii="Arial" w:eastAsia="Times New Roman" w:hAnsi="Arial"/>
                <w:sz w:val="20"/>
                <w:szCs w:val="20"/>
                <w:lang w:eastAsia="en-US"/>
              </w:rPr>
              <w:t xml:space="preserve"> clear </w:t>
            </w:r>
            <w:r w:rsidRPr="00DB3D71">
              <w:rPr>
                <w:rFonts w:ascii="Arial" w:eastAsia="Times New Roman" w:hAnsi="Arial"/>
                <w:sz w:val="20"/>
                <w:szCs w:val="20"/>
                <w:lang w:eastAsia="en-US"/>
              </w:rPr>
              <w:t>based on the class, terms, and/or individual characteristics of the contract(s). An</w:t>
            </w:r>
            <w:r>
              <w:rPr>
                <w:rFonts w:ascii="Arial" w:eastAsia="Times New Roman" w:hAnsi="Arial"/>
                <w:sz w:val="20"/>
                <w:szCs w:val="20"/>
                <w:lang w:eastAsia="en-US"/>
              </w:rPr>
              <w:t xml:space="preserve"> </w:t>
            </w:r>
            <w:r w:rsidRPr="00DB3D71">
              <w:rPr>
                <w:rFonts w:ascii="Arial" w:eastAsia="Times New Roman" w:hAnsi="Arial"/>
                <w:sz w:val="20"/>
                <w:szCs w:val="20"/>
                <w:lang w:eastAsia="en-US"/>
              </w:rPr>
              <w:t>example of this type of contract could be a single year property catastrophe contract,</w:t>
            </w:r>
            <w:r>
              <w:rPr>
                <w:rFonts w:ascii="Arial" w:eastAsia="Times New Roman" w:hAnsi="Arial"/>
                <w:sz w:val="20"/>
                <w:szCs w:val="20"/>
                <w:lang w:eastAsia="en-US"/>
              </w:rPr>
              <w:t xml:space="preserve"> </w:t>
            </w:r>
            <w:r w:rsidRPr="00DB3D71">
              <w:rPr>
                <w:rFonts w:ascii="Arial" w:eastAsia="Times New Roman" w:hAnsi="Arial"/>
                <w:sz w:val="20"/>
                <w:szCs w:val="20"/>
                <w:lang w:eastAsia="en-US"/>
              </w:rPr>
              <w:t>or a casualty contract with not more than a few risk-limiting features (e.g., a sub-</w:t>
            </w:r>
            <w:r w:rsidRPr="001904BE">
              <w:rPr>
                <w:rFonts w:eastAsia="Times New Roman"/>
                <w:sz w:val="23"/>
                <w:szCs w:val="23"/>
                <w:lang w:eastAsia="en-US"/>
              </w:rPr>
              <w:t xml:space="preserve"> </w:t>
            </w:r>
            <w:r w:rsidRPr="001904BE">
              <w:rPr>
                <w:rFonts w:ascii="Arial" w:eastAsia="Times New Roman" w:hAnsi="Arial"/>
                <w:sz w:val="20"/>
                <w:szCs w:val="20"/>
                <w:lang w:eastAsia="en-US"/>
              </w:rPr>
              <w:t>limit) that,</w:t>
            </w:r>
            <w:r>
              <w:rPr>
                <w:rFonts w:ascii="Arial" w:eastAsia="Times New Roman" w:hAnsi="Arial"/>
                <w:sz w:val="20"/>
                <w:szCs w:val="20"/>
                <w:lang w:eastAsia="en-US"/>
              </w:rPr>
              <w:t xml:space="preserve"> whether considered alone or in </w:t>
            </w:r>
            <w:r w:rsidRPr="001904BE">
              <w:rPr>
                <w:rFonts w:ascii="Arial" w:eastAsia="Times New Roman" w:hAnsi="Arial"/>
                <w:sz w:val="20"/>
                <w:szCs w:val="20"/>
                <w:lang w:eastAsia="en-US"/>
              </w:rPr>
              <w:t>the aggregate, do not undermine</w:t>
            </w:r>
            <w:r>
              <w:rPr>
                <w:rFonts w:ascii="Arial" w:eastAsia="Times New Roman" w:hAnsi="Arial"/>
                <w:sz w:val="20"/>
                <w:szCs w:val="20"/>
                <w:lang w:eastAsia="en-US"/>
              </w:rPr>
              <w:t xml:space="preserve"> </w:t>
            </w:r>
            <w:r w:rsidRPr="001904BE">
              <w:rPr>
                <w:rFonts w:ascii="Arial" w:eastAsia="Times New Roman" w:hAnsi="Arial"/>
                <w:sz w:val="20"/>
                <w:szCs w:val="20"/>
                <w:lang w:eastAsia="en-US"/>
              </w:rPr>
              <w:t>fundamental characteristics of risk transfer present in the contract.</w:t>
            </w:r>
          </w:p>
          <w:p w14:paraId="12829F14" w14:textId="77777777" w:rsidR="009F3F64" w:rsidRDefault="009F3F64" w:rsidP="006F0A9F">
            <w:pPr>
              <w:rPr>
                <w:rFonts w:ascii="Arial" w:eastAsia="Times New Roman" w:hAnsi="Arial"/>
                <w:sz w:val="20"/>
                <w:szCs w:val="20"/>
                <w:lang w:eastAsia="en-US"/>
              </w:rPr>
            </w:pPr>
          </w:p>
          <w:p w14:paraId="12829F15" w14:textId="77777777" w:rsidR="009F3F64" w:rsidRDefault="009F3F64" w:rsidP="006F0A9F">
            <w:pPr>
              <w:numPr>
                <w:ilvl w:val="0"/>
                <w:numId w:val="18"/>
              </w:numPr>
              <w:rPr>
                <w:rFonts w:ascii="Arial" w:eastAsia="Times New Roman" w:hAnsi="Arial"/>
                <w:sz w:val="20"/>
                <w:szCs w:val="20"/>
                <w:lang w:eastAsia="en-US"/>
              </w:rPr>
            </w:pPr>
            <w:r w:rsidRPr="001904BE">
              <w:rPr>
                <w:rFonts w:ascii="Arial" w:eastAsia="Times New Roman" w:hAnsi="Arial"/>
                <w:sz w:val="20"/>
                <w:szCs w:val="20"/>
                <w:u w:val="single"/>
                <w:lang w:eastAsia="en-US"/>
              </w:rPr>
              <w:t>Not Reasonably Self-Evident</w:t>
            </w:r>
            <w:r w:rsidRPr="001904BE">
              <w:rPr>
                <w:rFonts w:ascii="Arial" w:eastAsia="Times New Roman" w:hAnsi="Arial"/>
                <w:sz w:val="20"/>
                <w:szCs w:val="20"/>
                <w:lang w:eastAsia="en-US"/>
              </w:rPr>
              <w:t xml:space="preserve">: Contracts for which risk transfer is not </w:t>
            </w:r>
            <w:r w:rsidR="00C62B22">
              <w:rPr>
                <w:rFonts w:ascii="Arial" w:eastAsia="Times New Roman" w:hAnsi="Arial"/>
                <w:sz w:val="20"/>
                <w:szCs w:val="20"/>
                <w:lang w:eastAsia="en-US"/>
              </w:rPr>
              <w:t>self</w:t>
            </w:r>
            <w:r w:rsidR="00C40757">
              <w:rPr>
                <w:rFonts w:ascii="Arial" w:eastAsia="Times New Roman" w:hAnsi="Arial"/>
                <w:sz w:val="20"/>
                <w:szCs w:val="20"/>
                <w:lang w:eastAsia="en-US"/>
              </w:rPr>
              <w:t>-</w:t>
            </w:r>
            <w:r w:rsidR="00C62B22">
              <w:rPr>
                <w:rFonts w:ascii="Arial" w:eastAsia="Times New Roman" w:hAnsi="Arial"/>
                <w:sz w:val="20"/>
                <w:szCs w:val="20"/>
                <w:lang w:eastAsia="en-US"/>
              </w:rPr>
              <w:t xml:space="preserve">evident or not </w:t>
            </w:r>
            <w:r w:rsidRPr="001904BE">
              <w:rPr>
                <w:rFonts w:ascii="Arial" w:eastAsia="Times New Roman" w:hAnsi="Arial"/>
                <w:sz w:val="20"/>
                <w:szCs w:val="20"/>
                <w:lang w:eastAsia="en-US"/>
              </w:rPr>
              <w:t>reasonably</w:t>
            </w:r>
            <w:r>
              <w:rPr>
                <w:rFonts w:ascii="Arial" w:eastAsia="Times New Roman" w:hAnsi="Arial"/>
                <w:sz w:val="20"/>
                <w:szCs w:val="20"/>
                <w:lang w:eastAsia="en-US"/>
              </w:rPr>
              <w:t xml:space="preserve"> </w:t>
            </w:r>
            <w:r w:rsidRPr="001904BE">
              <w:rPr>
                <w:rFonts w:ascii="Arial" w:eastAsia="Times New Roman" w:hAnsi="Arial"/>
                <w:sz w:val="20"/>
                <w:szCs w:val="20"/>
                <w:lang w:eastAsia="en-US"/>
              </w:rPr>
              <w:t>self-evident, so that some type of quantitative cash flow analysis must be performed</w:t>
            </w:r>
            <w:r>
              <w:rPr>
                <w:rFonts w:ascii="Arial" w:eastAsia="Times New Roman" w:hAnsi="Arial"/>
                <w:sz w:val="20"/>
                <w:szCs w:val="20"/>
                <w:lang w:eastAsia="en-US"/>
              </w:rPr>
              <w:t xml:space="preserve"> </w:t>
            </w:r>
            <w:r w:rsidRPr="001904BE">
              <w:rPr>
                <w:rFonts w:ascii="Arial" w:eastAsia="Times New Roman" w:hAnsi="Arial"/>
                <w:sz w:val="20"/>
                <w:szCs w:val="20"/>
                <w:lang w:eastAsia="en-US"/>
              </w:rPr>
              <w:t>in order to assess risk transfer. Examples of such contracts would be aggregate excess</w:t>
            </w:r>
            <w:r>
              <w:rPr>
                <w:rFonts w:ascii="Arial" w:eastAsia="Times New Roman" w:hAnsi="Arial"/>
                <w:sz w:val="20"/>
                <w:szCs w:val="20"/>
                <w:lang w:eastAsia="en-US"/>
              </w:rPr>
              <w:t xml:space="preserve"> </w:t>
            </w:r>
            <w:r w:rsidRPr="001904BE">
              <w:rPr>
                <w:rFonts w:ascii="Arial" w:eastAsia="Times New Roman" w:hAnsi="Arial"/>
                <w:sz w:val="20"/>
                <w:szCs w:val="20"/>
                <w:lang w:eastAsia="en-US"/>
              </w:rPr>
              <w:t>of loss contracts containing significant risk-limiting features.</w:t>
            </w:r>
          </w:p>
          <w:p w14:paraId="12829F16" w14:textId="77777777" w:rsidR="009F3F64" w:rsidRPr="001904BE" w:rsidRDefault="009F3F64" w:rsidP="006F0A9F">
            <w:pPr>
              <w:rPr>
                <w:rFonts w:ascii="Arial" w:eastAsia="Times New Roman" w:hAnsi="Arial"/>
                <w:sz w:val="20"/>
                <w:szCs w:val="20"/>
                <w:lang w:eastAsia="en-US"/>
              </w:rPr>
            </w:pPr>
          </w:p>
          <w:p w14:paraId="12829F17" w14:textId="77777777" w:rsidR="009F3F64" w:rsidRPr="001904BE" w:rsidRDefault="009F3F64" w:rsidP="006F0A9F">
            <w:pPr>
              <w:rPr>
                <w:rFonts w:ascii="Arial" w:eastAsia="Times New Roman" w:hAnsi="Arial"/>
                <w:sz w:val="20"/>
                <w:szCs w:val="20"/>
                <w:lang w:eastAsia="en-US"/>
              </w:rPr>
            </w:pPr>
            <w:r w:rsidRPr="001904BE">
              <w:rPr>
                <w:rFonts w:ascii="Arial" w:eastAsia="Times New Roman" w:hAnsi="Arial"/>
                <w:sz w:val="20"/>
                <w:szCs w:val="20"/>
                <w:lang w:eastAsia="en-US"/>
              </w:rPr>
              <w:t>Self- Evident contracts and Reasonably Self- Evident contracts may qualify to receive Safe</w:t>
            </w:r>
          </w:p>
          <w:p w14:paraId="12829F18" w14:textId="77777777" w:rsidR="009F3F64" w:rsidRDefault="009F3F64" w:rsidP="006F0A9F">
            <w:pPr>
              <w:rPr>
                <w:rFonts w:ascii="Arial" w:eastAsia="Times New Roman" w:hAnsi="Arial"/>
                <w:sz w:val="20"/>
                <w:szCs w:val="20"/>
                <w:lang w:eastAsia="en-US"/>
              </w:rPr>
            </w:pPr>
            <w:r w:rsidRPr="001904BE">
              <w:rPr>
                <w:rFonts w:ascii="Arial" w:eastAsia="Times New Roman" w:hAnsi="Arial"/>
                <w:sz w:val="20"/>
                <w:szCs w:val="20"/>
                <w:lang w:eastAsia="en-US"/>
              </w:rPr>
              <w:t>Harbor</w:t>
            </w:r>
            <w:r>
              <w:rPr>
                <w:rFonts w:ascii="Arial" w:eastAsia="Times New Roman" w:hAnsi="Arial"/>
                <w:sz w:val="20"/>
                <w:szCs w:val="20"/>
                <w:lang w:eastAsia="en-US"/>
              </w:rPr>
              <w:t xml:space="preserve"> treatment, as described below.</w:t>
            </w:r>
            <w:r w:rsidR="00C40757">
              <w:rPr>
                <w:rFonts w:ascii="Arial" w:eastAsia="Times New Roman" w:hAnsi="Arial"/>
                <w:sz w:val="20"/>
                <w:szCs w:val="20"/>
                <w:lang w:eastAsia="en-US"/>
              </w:rPr>
              <w:t xml:space="preserve">  Contracts that are Not Reasonably Self-Eviden</w:t>
            </w:r>
            <w:r w:rsidR="00BF49DA">
              <w:rPr>
                <w:rFonts w:ascii="Arial" w:eastAsia="Times New Roman" w:hAnsi="Arial"/>
                <w:sz w:val="20"/>
                <w:szCs w:val="20"/>
                <w:lang w:eastAsia="en-US"/>
              </w:rPr>
              <w:t xml:space="preserve">t must be evaluated using </w:t>
            </w:r>
            <w:r w:rsidR="00BF49DA">
              <w:rPr>
                <w:rFonts w:ascii="Arial" w:hAnsi="Arial" w:cs="Arial"/>
                <w:color w:val="000000"/>
                <w:sz w:val="20"/>
                <w:szCs w:val="20"/>
              </w:rPr>
              <w:t>either a Risk Transfer Worksheet or a Qualitative Review.</w:t>
            </w:r>
          </w:p>
          <w:p w14:paraId="12829F19" w14:textId="77777777" w:rsidR="009F3F64" w:rsidRPr="00DB3D71" w:rsidRDefault="009F3F64" w:rsidP="006F0A9F">
            <w:pPr>
              <w:rPr>
                <w:rFonts w:ascii="Arial" w:hAnsi="Arial" w:cs="Arial"/>
                <w:sz w:val="20"/>
                <w:szCs w:val="20"/>
              </w:rPr>
            </w:pPr>
          </w:p>
        </w:tc>
      </w:tr>
      <w:tr w:rsidR="009F3F64" w:rsidRPr="004A024A" w14:paraId="12829F1F" w14:textId="77777777" w:rsidTr="003443A9">
        <w:trPr>
          <w:trHeight w:val="387"/>
        </w:trPr>
        <w:tc>
          <w:tcPr>
            <w:tcW w:w="1800" w:type="dxa"/>
          </w:tcPr>
          <w:p w14:paraId="12829F1B" w14:textId="77777777" w:rsidR="009F3F64" w:rsidRPr="00DF6B20" w:rsidRDefault="009F3F64" w:rsidP="00455FCB">
            <w:pPr>
              <w:rPr>
                <w:rFonts w:ascii="Arial" w:hAnsi="Arial" w:cs="Arial"/>
                <w:i/>
                <w:color w:val="00B0F0"/>
                <w:sz w:val="20"/>
                <w:szCs w:val="20"/>
              </w:rPr>
            </w:pPr>
            <w:r w:rsidRPr="00DF6B20">
              <w:rPr>
                <w:rFonts w:ascii="Arial" w:hAnsi="Arial" w:cs="Arial"/>
                <w:i/>
                <w:color w:val="00B0F0"/>
                <w:sz w:val="20"/>
                <w:szCs w:val="20"/>
              </w:rPr>
              <w:lastRenderedPageBreak/>
              <w:t xml:space="preserve">Governing </w:t>
            </w:r>
            <w:r w:rsidR="00455FCB" w:rsidRPr="00DF6B20">
              <w:rPr>
                <w:rFonts w:ascii="Arial" w:hAnsi="Arial" w:cs="Arial"/>
                <w:i/>
                <w:color w:val="00B0F0"/>
                <w:sz w:val="20"/>
                <w:szCs w:val="20"/>
              </w:rPr>
              <w:t>Contract</w:t>
            </w:r>
          </w:p>
        </w:tc>
        <w:tc>
          <w:tcPr>
            <w:tcW w:w="8820" w:type="dxa"/>
            <w:gridSpan w:val="2"/>
          </w:tcPr>
          <w:p w14:paraId="12829F1C" w14:textId="77777777" w:rsidR="009F3F64" w:rsidRDefault="009F3F64" w:rsidP="006F0A9F">
            <w:pPr>
              <w:autoSpaceDE w:val="0"/>
              <w:autoSpaceDN w:val="0"/>
              <w:adjustRightInd w:val="0"/>
              <w:rPr>
                <w:rFonts w:ascii="Arial" w:eastAsia="Times New Roman" w:hAnsi="Arial"/>
                <w:sz w:val="20"/>
                <w:szCs w:val="20"/>
                <w:lang w:eastAsia="en-US"/>
              </w:rPr>
            </w:pPr>
          </w:p>
          <w:p w14:paraId="12829F1D" w14:textId="77777777" w:rsidR="009F3F64" w:rsidRPr="00A03096" w:rsidRDefault="009F3F64" w:rsidP="006F0A9F">
            <w:pPr>
              <w:autoSpaceDE w:val="0"/>
              <w:autoSpaceDN w:val="0"/>
              <w:adjustRightInd w:val="0"/>
              <w:rPr>
                <w:rFonts w:ascii="Arial" w:eastAsia="Times New Roman" w:hAnsi="Arial"/>
                <w:sz w:val="20"/>
                <w:szCs w:val="20"/>
                <w:lang w:eastAsia="en-US"/>
              </w:rPr>
            </w:pPr>
            <w:r w:rsidRPr="00A03096">
              <w:rPr>
                <w:rFonts w:ascii="Arial" w:eastAsia="Times New Roman" w:hAnsi="Arial"/>
                <w:sz w:val="20"/>
                <w:szCs w:val="20"/>
                <w:lang w:eastAsia="en-US"/>
              </w:rPr>
              <w:t xml:space="preserve">To the extent that multiple insurance policies and associated agreements are entered into together between </w:t>
            </w:r>
            <w:r w:rsidR="00C40757">
              <w:rPr>
                <w:rFonts w:ascii="Arial" w:eastAsia="Times New Roman" w:hAnsi="Arial"/>
                <w:sz w:val="20"/>
                <w:szCs w:val="20"/>
                <w:lang w:eastAsia="en-US"/>
              </w:rPr>
              <w:t xml:space="preserve">an </w:t>
            </w:r>
            <w:r w:rsidRPr="00A03096">
              <w:rPr>
                <w:rFonts w:ascii="Arial" w:eastAsia="Times New Roman" w:hAnsi="Arial"/>
                <w:sz w:val="20"/>
                <w:szCs w:val="20"/>
                <w:lang w:eastAsia="en-US"/>
              </w:rPr>
              <w:t xml:space="preserve">AIG </w:t>
            </w:r>
            <w:r w:rsidR="00C40757">
              <w:rPr>
                <w:rFonts w:ascii="Arial" w:eastAsia="Times New Roman" w:hAnsi="Arial"/>
                <w:sz w:val="20"/>
                <w:szCs w:val="20"/>
                <w:lang w:eastAsia="en-US"/>
              </w:rPr>
              <w:t xml:space="preserve">company </w:t>
            </w:r>
            <w:r w:rsidRPr="00A03096">
              <w:rPr>
                <w:rFonts w:ascii="Arial" w:eastAsia="Times New Roman" w:hAnsi="Arial"/>
                <w:sz w:val="20"/>
                <w:szCs w:val="20"/>
                <w:lang w:eastAsia="en-US"/>
              </w:rPr>
              <w:t xml:space="preserve">(including those issued by various AIG subsidiaries) and an insured (including various subsidiaries of a single customer) as part of a Governing Contract, sufficiency of risk transfer is to be assessed for those insurance policies as a single group, and a separate assessment of each </w:t>
            </w:r>
            <w:r w:rsidR="00CB1A0C">
              <w:rPr>
                <w:rFonts w:ascii="Arial" w:eastAsia="Times New Roman" w:hAnsi="Arial"/>
                <w:sz w:val="20"/>
                <w:szCs w:val="20"/>
                <w:lang w:eastAsia="en-US"/>
              </w:rPr>
              <w:t xml:space="preserve">insurance </w:t>
            </w:r>
            <w:r w:rsidRPr="00A03096">
              <w:rPr>
                <w:rFonts w:ascii="Arial" w:eastAsia="Times New Roman" w:hAnsi="Arial"/>
                <w:sz w:val="20"/>
                <w:szCs w:val="20"/>
                <w:lang w:eastAsia="en-US"/>
              </w:rPr>
              <w:t>policy in the group is not required.</w:t>
            </w:r>
          </w:p>
          <w:p w14:paraId="12829F1E" w14:textId="77777777" w:rsidR="009F3F64" w:rsidRDefault="009F3F64" w:rsidP="006F0A9F">
            <w:pPr>
              <w:autoSpaceDE w:val="0"/>
              <w:autoSpaceDN w:val="0"/>
              <w:adjustRightInd w:val="0"/>
              <w:rPr>
                <w:rFonts w:ascii="Arial" w:eastAsia="Times New Roman" w:hAnsi="Arial"/>
                <w:sz w:val="20"/>
                <w:szCs w:val="20"/>
                <w:lang w:eastAsia="en-US"/>
              </w:rPr>
            </w:pPr>
          </w:p>
        </w:tc>
      </w:tr>
      <w:tr w:rsidR="009F3F64" w:rsidRPr="004A024A" w14:paraId="12829F34" w14:textId="77777777" w:rsidTr="003443A9">
        <w:trPr>
          <w:trHeight w:val="387"/>
        </w:trPr>
        <w:tc>
          <w:tcPr>
            <w:tcW w:w="1800" w:type="dxa"/>
          </w:tcPr>
          <w:p w14:paraId="12829F20" w14:textId="77777777" w:rsidR="009F3F64" w:rsidRPr="00DF6B20" w:rsidRDefault="009F3F64" w:rsidP="00B5006C">
            <w:pPr>
              <w:rPr>
                <w:rFonts w:ascii="Arial" w:hAnsi="Arial" w:cs="Arial"/>
                <w:i/>
                <w:color w:val="00B0F0"/>
                <w:sz w:val="20"/>
                <w:szCs w:val="20"/>
              </w:rPr>
            </w:pPr>
            <w:r w:rsidRPr="00DF6B20">
              <w:rPr>
                <w:rFonts w:ascii="Arial" w:hAnsi="Arial" w:cs="Arial"/>
                <w:i/>
                <w:color w:val="00B0F0"/>
                <w:sz w:val="20"/>
                <w:szCs w:val="20"/>
              </w:rPr>
              <w:t>Documentation Requirements for Safe Harbor treatment</w:t>
            </w:r>
          </w:p>
        </w:tc>
        <w:tc>
          <w:tcPr>
            <w:tcW w:w="8820" w:type="dxa"/>
            <w:gridSpan w:val="2"/>
          </w:tcPr>
          <w:p w14:paraId="12829F21" w14:textId="77777777" w:rsidR="009F3F64" w:rsidRDefault="009F3F64" w:rsidP="006F0A9F">
            <w:pPr>
              <w:jc w:val="both"/>
              <w:rPr>
                <w:rFonts w:ascii="Arial" w:hAnsi="Arial" w:cs="Arial"/>
                <w:sz w:val="20"/>
                <w:szCs w:val="20"/>
              </w:rPr>
            </w:pPr>
          </w:p>
          <w:p w14:paraId="12829F22" w14:textId="77777777" w:rsidR="009F3F64" w:rsidRDefault="0014560D" w:rsidP="006F0A9F">
            <w:pPr>
              <w:jc w:val="both"/>
              <w:rPr>
                <w:rFonts w:ascii="Arial" w:hAnsi="Arial" w:cs="Arial"/>
                <w:sz w:val="20"/>
                <w:szCs w:val="20"/>
              </w:rPr>
            </w:pPr>
            <w:r>
              <w:rPr>
                <w:rFonts w:ascii="Arial" w:hAnsi="Arial" w:cs="Arial"/>
                <w:sz w:val="20"/>
                <w:szCs w:val="20"/>
              </w:rPr>
              <w:t xml:space="preserve">Product </w:t>
            </w:r>
            <w:r w:rsidR="00FD26FF">
              <w:rPr>
                <w:rFonts w:ascii="Arial" w:hAnsi="Arial" w:cs="Arial"/>
                <w:sz w:val="20"/>
                <w:szCs w:val="20"/>
              </w:rPr>
              <w:t>tower</w:t>
            </w:r>
            <w:r w:rsidR="00FD26FF" w:rsidRPr="00852BAD">
              <w:rPr>
                <w:rFonts w:ascii="Arial" w:hAnsi="Arial" w:cs="Arial"/>
                <w:sz w:val="20"/>
                <w:szCs w:val="20"/>
              </w:rPr>
              <w:t xml:space="preserve"> </w:t>
            </w:r>
            <w:r w:rsidR="009F3F64" w:rsidRPr="00852BAD">
              <w:rPr>
                <w:rFonts w:ascii="Arial" w:hAnsi="Arial" w:cs="Arial"/>
                <w:sz w:val="20"/>
                <w:szCs w:val="20"/>
              </w:rPr>
              <w:t xml:space="preserve">management </w:t>
            </w:r>
            <w:r w:rsidR="009F3F64">
              <w:rPr>
                <w:rFonts w:ascii="Arial" w:hAnsi="Arial" w:cs="Arial"/>
                <w:sz w:val="20"/>
                <w:szCs w:val="20"/>
              </w:rPr>
              <w:t>i</w:t>
            </w:r>
            <w:r>
              <w:rPr>
                <w:rFonts w:ascii="Arial" w:hAnsi="Arial" w:cs="Arial"/>
                <w:sz w:val="20"/>
                <w:szCs w:val="20"/>
              </w:rPr>
              <w:t>s responsible for establishing</w:t>
            </w:r>
            <w:r w:rsidR="009F3F64">
              <w:rPr>
                <w:rFonts w:ascii="Arial" w:hAnsi="Arial" w:cs="Arial"/>
                <w:sz w:val="20"/>
                <w:szCs w:val="20"/>
              </w:rPr>
              <w:t xml:space="preserve"> Safe Harbor</w:t>
            </w:r>
            <w:r>
              <w:rPr>
                <w:rFonts w:ascii="Arial" w:hAnsi="Arial" w:cs="Arial"/>
                <w:sz w:val="20"/>
                <w:szCs w:val="20"/>
              </w:rPr>
              <w:t>s.</w:t>
            </w:r>
          </w:p>
          <w:p w14:paraId="12829F23" w14:textId="77777777" w:rsidR="009F3F64" w:rsidRDefault="009F3F64" w:rsidP="006F0A9F">
            <w:pPr>
              <w:jc w:val="both"/>
              <w:rPr>
                <w:rFonts w:ascii="Arial" w:hAnsi="Arial" w:cs="Arial"/>
                <w:sz w:val="20"/>
                <w:szCs w:val="20"/>
              </w:rPr>
            </w:pPr>
          </w:p>
          <w:p w14:paraId="12829F24" w14:textId="77777777" w:rsidR="009F3F64" w:rsidRDefault="009F3F64" w:rsidP="006F0A9F">
            <w:pPr>
              <w:jc w:val="both"/>
              <w:rPr>
                <w:rFonts w:ascii="Arial" w:hAnsi="Arial" w:cs="Arial"/>
                <w:sz w:val="20"/>
                <w:szCs w:val="20"/>
              </w:rPr>
            </w:pPr>
            <w:smartTag w:uri="urn:schemas-microsoft-com:office:smarttags" w:element="place">
              <w:smartTag w:uri="urn:schemas-microsoft-com:office:smarttags" w:element="PlaceName">
                <w:r w:rsidRPr="00852BAD">
                  <w:rPr>
                    <w:rFonts w:ascii="Arial" w:hAnsi="Arial" w:cs="Arial"/>
                    <w:sz w:val="20"/>
                    <w:szCs w:val="20"/>
                  </w:rPr>
                  <w:t>Safe</w:t>
                </w:r>
              </w:smartTag>
              <w:r w:rsidRPr="00852BAD">
                <w:rPr>
                  <w:rFonts w:ascii="Arial" w:hAnsi="Arial" w:cs="Arial"/>
                  <w:sz w:val="20"/>
                  <w:szCs w:val="20"/>
                </w:rPr>
                <w:t xml:space="preserve"> </w:t>
              </w:r>
              <w:smartTag w:uri="urn:schemas-microsoft-com:office:smarttags" w:element="PlaceType">
                <w:r w:rsidRPr="00852BAD">
                  <w:rPr>
                    <w:rFonts w:ascii="Arial" w:hAnsi="Arial" w:cs="Arial"/>
                    <w:sz w:val="20"/>
                    <w:szCs w:val="20"/>
                  </w:rPr>
                  <w:t>Harbor</w:t>
                </w:r>
              </w:smartTag>
            </w:smartTag>
            <w:r w:rsidRPr="00852BAD">
              <w:rPr>
                <w:rFonts w:ascii="Arial" w:hAnsi="Arial" w:cs="Arial"/>
                <w:sz w:val="20"/>
                <w:szCs w:val="20"/>
              </w:rPr>
              <w:t xml:space="preserve"> rationale </w:t>
            </w:r>
            <w:r>
              <w:rPr>
                <w:rFonts w:ascii="Arial" w:hAnsi="Arial" w:cs="Arial"/>
                <w:sz w:val="20"/>
                <w:szCs w:val="20"/>
              </w:rPr>
              <w:t xml:space="preserve">must be documented in a </w:t>
            </w:r>
            <w:r w:rsidRPr="00852BAD">
              <w:rPr>
                <w:rFonts w:ascii="Arial" w:hAnsi="Arial" w:cs="Arial"/>
                <w:sz w:val="20"/>
                <w:szCs w:val="20"/>
              </w:rPr>
              <w:t xml:space="preserve">memorandum </w:t>
            </w:r>
            <w:r>
              <w:rPr>
                <w:rFonts w:ascii="Arial" w:hAnsi="Arial" w:cs="Arial"/>
                <w:sz w:val="20"/>
                <w:szCs w:val="20"/>
              </w:rPr>
              <w:t>that must</w:t>
            </w:r>
            <w:r w:rsidRPr="00852BAD">
              <w:rPr>
                <w:rFonts w:ascii="Arial" w:hAnsi="Arial" w:cs="Arial"/>
                <w:sz w:val="20"/>
                <w:szCs w:val="20"/>
              </w:rPr>
              <w:t>, at a minimum, include:</w:t>
            </w:r>
          </w:p>
          <w:p w14:paraId="12829F25" w14:textId="77777777" w:rsidR="009F3F64" w:rsidRPr="00852BAD" w:rsidRDefault="009F3F64" w:rsidP="006F0A9F">
            <w:pPr>
              <w:jc w:val="both"/>
              <w:rPr>
                <w:rFonts w:ascii="Arial" w:hAnsi="Arial" w:cs="Arial"/>
                <w:sz w:val="20"/>
                <w:szCs w:val="20"/>
              </w:rPr>
            </w:pPr>
          </w:p>
          <w:p w14:paraId="12829F26" w14:textId="77777777" w:rsidR="009F3F64" w:rsidRDefault="009F3F64" w:rsidP="006F0A9F">
            <w:pPr>
              <w:numPr>
                <w:ilvl w:val="0"/>
                <w:numId w:val="19"/>
              </w:numPr>
              <w:jc w:val="both"/>
              <w:rPr>
                <w:rFonts w:ascii="Arial" w:hAnsi="Arial" w:cs="Arial"/>
                <w:sz w:val="20"/>
                <w:szCs w:val="20"/>
              </w:rPr>
            </w:pPr>
            <w:r w:rsidRPr="00852BAD">
              <w:rPr>
                <w:rFonts w:ascii="Arial" w:hAnsi="Arial" w:cs="Arial"/>
                <w:sz w:val="20"/>
                <w:szCs w:val="20"/>
              </w:rPr>
              <w:t>A detailed description of the product</w:t>
            </w:r>
            <w:r>
              <w:rPr>
                <w:rFonts w:ascii="Arial" w:hAnsi="Arial" w:cs="Arial"/>
                <w:sz w:val="20"/>
                <w:szCs w:val="20"/>
              </w:rPr>
              <w:t>,</w:t>
            </w:r>
            <w:r w:rsidRPr="00852BAD">
              <w:rPr>
                <w:rFonts w:ascii="Arial" w:hAnsi="Arial" w:cs="Arial"/>
                <w:sz w:val="20"/>
                <w:szCs w:val="20"/>
              </w:rPr>
              <w:t xml:space="preserve"> or group of similar products</w:t>
            </w:r>
            <w:r>
              <w:rPr>
                <w:rFonts w:ascii="Arial" w:hAnsi="Arial" w:cs="Arial"/>
                <w:sz w:val="20"/>
                <w:szCs w:val="20"/>
              </w:rPr>
              <w:t>,</w:t>
            </w:r>
            <w:r w:rsidRPr="00852BAD">
              <w:rPr>
                <w:rFonts w:ascii="Arial" w:hAnsi="Arial" w:cs="Arial"/>
                <w:sz w:val="20"/>
                <w:szCs w:val="20"/>
              </w:rPr>
              <w:t xml:space="preserve"> eligible for </w:t>
            </w:r>
            <w:smartTag w:uri="urn:schemas-microsoft-com:office:smarttags" w:element="place">
              <w:smartTag w:uri="urn:schemas-microsoft-com:office:smarttags" w:element="PlaceName">
                <w:r w:rsidRPr="00852BAD">
                  <w:rPr>
                    <w:rFonts w:ascii="Arial" w:hAnsi="Arial" w:cs="Arial"/>
                    <w:sz w:val="20"/>
                    <w:szCs w:val="20"/>
                  </w:rPr>
                  <w:t>Safe</w:t>
                </w:r>
              </w:smartTag>
              <w:r>
                <w:rPr>
                  <w:rFonts w:ascii="Arial" w:hAnsi="Arial" w:cs="Arial"/>
                  <w:sz w:val="20"/>
                  <w:szCs w:val="20"/>
                </w:rPr>
                <w:t xml:space="preserve"> </w:t>
              </w:r>
              <w:smartTag w:uri="urn:schemas-microsoft-com:office:smarttags" w:element="PlaceType">
                <w:r w:rsidRPr="00852BAD">
                  <w:rPr>
                    <w:rFonts w:ascii="Arial" w:hAnsi="Arial" w:cs="Arial"/>
                    <w:sz w:val="20"/>
                    <w:szCs w:val="20"/>
                  </w:rPr>
                  <w:t>Harbor</w:t>
                </w:r>
              </w:smartTag>
            </w:smartTag>
            <w:r w:rsidRPr="00852BAD">
              <w:rPr>
                <w:rFonts w:ascii="Arial" w:hAnsi="Arial" w:cs="Arial"/>
                <w:sz w:val="20"/>
                <w:szCs w:val="20"/>
              </w:rPr>
              <w:t xml:space="preserve"> treatment, including a description of th</w:t>
            </w:r>
            <w:r>
              <w:rPr>
                <w:rFonts w:ascii="Arial" w:hAnsi="Arial" w:cs="Arial"/>
                <w:sz w:val="20"/>
                <w:szCs w:val="20"/>
              </w:rPr>
              <w:t>e economic intent of purchasers</w:t>
            </w:r>
            <w:r w:rsidR="00CB1A0C">
              <w:rPr>
                <w:rFonts w:ascii="Arial" w:hAnsi="Arial" w:cs="Arial"/>
                <w:sz w:val="20"/>
                <w:szCs w:val="20"/>
              </w:rPr>
              <w:t>;</w:t>
            </w:r>
          </w:p>
          <w:p w14:paraId="12829F27" w14:textId="77777777" w:rsidR="009F3F64" w:rsidRPr="00852BAD" w:rsidRDefault="009F3F64" w:rsidP="006F0A9F">
            <w:pPr>
              <w:jc w:val="both"/>
              <w:rPr>
                <w:rFonts w:ascii="Arial" w:hAnsi="Arial" w:cs="Arial"/>
                <w:sz w:val="20"/>
                <w:szCs w:val="20"/>
              </w:rPr>
            </w:pPr>
          </w:p>
          <w:p w14:paraId="12829F28" w14:textId="77777777" w:rsidR="009F3F64" w:rsidRDefault="009F3F64" w:rsidP="006F0A9F">
            <w:pPr>
              <w:numPr>
                <w:ilvl w:val="0"/>
                <w:numId w:val="19"/>
              </w:numPr>
              <w:jc w:val="both"/>
              <w:rPr>
                <w:rFonts w:ascii="Arial" w:hAnsi="Arial" w:cs="Arial"/>
                <w:sz w:val="20"/>
                <w:szCs w:val="20"/>
              </w:rPr>
            </w:pPr>
            <w:r w:rsidRPr="00852BAD">
              <w:rPr>
                <w:rFonts w:ascii="Arial" w:hAnsi="Arial" w:cs="Arial"/>
                <w:sz w:val="20"/>
                <w:szCs w:val="20"/>
              </w:rPr>
              <w:t>An analysis substantiating the sufficiency of risk transfer which addresses the</w:t>
            </w:r>
            <w:r>
              <w:rPr>
                <w:rFonts w:ascii="Arial" w:hAnsi="Arial" w:cs="Arial"/>
                <w:sz w:val="20"/>
                <w:szCs w:val="20"/>
              </w:rPr>
              <w:t xml:space="preserve"> </w:t>
            </w:r>
            <w:r w:rsidRPr="00852BAD">
              <w:rPr>
                <w:rFonts w:ascii="Arial" w:hAnsi="Arial" w:cs="Arial"/>
                <w:sz w:val="20"/>
                <w:szCs w:val="20"/>
              </w:rPr>
              <w:t xml:space="preserve">reasonable possibility of realizing a </w:t>
            </w:r>
            <w:r w:rsidR="00C62B22">
              <w:rPr>
                <w:rFonts w:ascii="Arial" w:hAnsi="Arial" w:cs="Arial"/>
                <w:sz w:val="20"/>
                <w:szCs w:val="20"/>
              </w:rPr>
              <w:t xml:space="preserve"> sufficient </w:t>
            </w:r>
            <w:r w:rsidRPr="00852BAD">
              <w:rPr>
                <w:rFonts w:ascii="Arial" w:hAnsi="Arial" w:cs="Arial"/>
                <w:sz w:val="20"/>
                <w:szCs w:val="20"/>
              </w:rPr>
              <w:t>l</w:t>
            </w:r>
            <w:r>
              <w:rPr>
                <w:rFonts w:ascii="Arial" w:hAnsi="Arial" w:cs="Arial"/>
                <w:sz w:val="20"/>
                <w:szCs w:val="20"/>
              </w:rPr>
              <w:t>oss</w:t>
            </w:r>
            <w:r w:rsidR="00CB1A0C">
              <w:rPr>
                <w:rFonts w:ascii="Arial" w:hAnsi="Arial" w:cs="Arial"/>
                <w:sz w:val="20"/>
                <w:szCs w:val="20"/>
              </w:rPr>
              <w:t>;</w:t>
            </w:r>
          </w:p>
          <w:p w14:paraId="12829F29" w14:textId="77777777" w:rsidR="009F3F64" w:rsidRPr="00852BAD" w:rsidRDefault="009F3F64" w:rsidP="006F0A9F">
            <w:pPr>
              <w:jc w:val="both"/>
              <w:rPr>
                <w:rFonts w:ascii="Arial" w:hAnsi="Arial" w:cs="Arial"/>
                <w:sz w:val="20"/>
                <w:szCs w:val="20"/>
              </w:rPr>
            </w:pPr>
          </w:p>
          <w:p w14:paraId="12829F2A" w14:textId="77777777" w:rsidR="009F3F64" w:rsidRPr="00852BAD" w:rsidRDefault="009F3F64" w:rsidP="006F0A9F">
            <w:pPr>
              <w:numPr>
                <w:ilvl w:val="0"/>
                <w:numId w:val="19"/>
              </w:numPr>
              <w:jc w:val="both"/>
              <w:rPr>
                <w:rFonts w:ascii="Arial" w:hAnsi="Arial" w:cs="Arial"/>
                <w:sz w:val="20"/>
                <w:szCs w:val="20"/>
              </w:rPr>
            </w:pPr>
            <w:r w:rsidRPr="00852BAD">
              <w:rPr>
                <w:rFonts w:ascii="Arial" w:hAnsi="Arial" w:cs="Arial"/>
                <w:sz w:val="20"/>
                <w:szCs w:val="20"/>
              </w:rPr>
              <w:t xml:space="preserve">A statement as to the presence or absence of </w:t>
            </w:r>
            <w:r w:rsidR="00C40757" w:rsidRPr="00852BAD">
              <w:rPr>
                <w:rFonts w:ascii="Arial" w:hAnsi="Arial" w:cs="Arial"/>
                <w:sz w:val="20"/>
                <w:szCs w:val="20"/>
              </w:rPr>
              <w:t>risk</w:t>
            </w:r>
            <w:r w:rsidR="00C40757">
              <w:rPr>
                <w:rFonts w:ascii="Arial" w:hAnsi="Arial" w:cs="Arial"/>
                <w:sz w:val="20"/>
                <w:szCs w:val="20"/>
              </w:rPr>
              <w:t>-</w:t>
            </w:r>
            <w:r w:rsidRPr="00852BAD">
              <w:rPr>
                <w:rFonts w:ascii="Arial" w:hAnsi="Arial" w:cs="Arial"/>
                <w:sz w:val="20"/>
                <w:szCs w:val="20"/>
              </w:rPr>
              <w:t>limiting features such as those</w:t>
            </w:r>
            <w:r>
              <w:rPr>
                <w:rFonts w:ascii="Arial" w:hAnsi="Arial" w:cs="Arial"/>
                <w:sz w:val="20"/>
                <w:szCs w:val="20"/>
              </w:rPr>
              <w:t xml:space="preserve"> </w:t>
            </w:r>
            <w:r w:rsidRPr="00852BAD">
              <w:rPr>
                <w:rFonts w:ascii="Arial" w:hAnsi="Arial" w:cs="Arial"/>
                <w:sz w:val="20"/>
                <w:szCs w:val="20"/>
              </w:rPr>
              <w:t xml:space="preserve">summarized in </w:t>
            </w:r>
            <w:r w:rsidRPr="00C40757">
              <w:rPr>
                <w:rFonts w:ascii="Arial" w:hAnsi="Arial" w:cs="Arial"/>
                <w:b/>
                <w:sz w:val="20"/>
                <w:szCs w:val="20"/>
              </w:rPr>
              <w:t xml:space="preserve">Appendix A </w:t>
            </w:r>
            <w:r w:rsidRPr="00852BAD">
              <w:rPr>
                <w:rFonts w:ascii="Arial" w:hAnsi="Arial" w:cs="Arial"/>
                <w:sz w:val="20"/>
                <w:szCs w:val="20"/>
              </w:rPr>
              <w:t xml:space="preserve">or </w:t>
            </w:r>
            <w:r w:rsidRPr="00C40757">
              <w:rPr>
                <w:rFonts w:ascii="Arial" w:hAnsi="Arial" w:cs="Arial"/>
                <w:b/>
                <w:sz w:val="20"/>
                <w:szCs w:val="20"/>
              </w:rPr>
              <w:t>B</w:t>
            </w:r>
            <w:r>
              <w:rPr>
                <w:rFonts w:ascii="Arial" w:hAnsi="Arial" w:cs="Arial"/>
                <w:sz w:val="20"/>
                <w:szCs w:val="20"/>
              </w:rPr>
              <w:t xml:space="preserve"> of the Policy</w:t>
            </w:r>
            <w:r w:rsidRPr="00852BAD">
              <w:rPr>
                <w:rFonts w:ascii="Arial" w:hAnsi="Arial" w:cs="Arial"/>
                <w:sz w:val="20"/>
                <w:szCs w:val="20"/>
              </w:rPr>
              <w:t>, as applicable, and in the presence of any such</w:t>
            </w:r>
            <w:r>
              <w:rPr>
                <w:rFonts w:ascii="Arial" w:hAnsi="Arial" w:cs="Arial"/>
                <w:sz w:val="20"/>
                <w:szCs w:val="20"/>
              </w:rPr>
              <w:t xml:space="preserve"> </w:t>
            </w:r>
            <w:r w:rsidRPr="00852BAD">
              <w:rPr>
                <w:rFonts w:ascii="Arial" w:hAnsi="Arial" w:cs="Arial"/>
                <w:sz w:val="20"/>
                <w:szCs w:val="20"/>
              </w:rPr>
              <w:t xml:space="preserve">features, a </w:t>
            </w:r>
            <w:r w:rsidR="00C62B22">
              <w:rPr>
                <w:rFonts w:ascii="Arial" w:hAnsi="Arial" w:cs="Arial"/>
                <w:sz w:val="20"/>
                <w:szCs w:val="20"/>
              </w:rPr>
              <w:t xml:space="preserve">documented </w:t>
            </w:r>
            <w:r w:rsidRPr="00852BAD">
              <w:rPr>
                <w:rFonts w:ascii="Arial" w:hAnsi="Arial" w:cs="Arial"/>
                <w:sz w:val="20"/>
                <w:szCs w:val="20"/>
              </w:rPr>
              <w:t>discussion of how t</w:t>
            </w:r>
            <w:r>
              <w:rPr>
                <w:rFonts w:ascii="Arial" w:hAnsi="Arial" w:cs="Arial"/>
                <w:sz w:val="20"/>
                <w:szCs w:val="20"/>
              </w:rPr>
              <w:t xml:space="preserve">he product or program structure </w:t>
            </w:r>
            <w:r w:rsidRPr="00852BAD">
              <w:rPr>
                <w:rFonts w:ascii="Arial" w:hAnsi="Arial" w:cs="Arial"/>
                <w:sz w:val="20"/>
                <w:szCs w:val="20"/>
              </w:rPr>
              <w:t>nonetheless transfers</w:t>
            </w:r>
            <w:r>
              <w:rPr>
                <w:rFonts w:ascii="Arial" w:hAnsi="Arial" w:cs="Arial"/>
                <w:sz w:val="20"/>
                <w:szCs w:val="20"/>
              </w:rPr>
              <w:t xml:space="preserve"> </w:t>
            </w:r>
            <w:r w:rsidRPr="00852BAD">
              <w:rPr>
                <w:rFonts w:ascii="Arial" w:hAnsi="Arial" w:cs="Arial"/>
                <w:sz w:val="20"/>
                <w:szCs w:val="20"/>
              </w:rPr>
              <w:t>sufficient i</w:t>
            </w:r>
            <w:r>
              <w:rPr>
                <w:rFonts w:ascii="Arial" w:hAnsi="Arial" w:cs="Arial"/>
                <w:sz w:val="20"/>
                <w:szCs w:val="20"/>
              </w:rPr>
              <w:t>nsurance risk in every instance</w:t>
            </w:r>
            <w:r w:rsidR="00CB1A0C">
              <w:rPr>
                <w:rFonts w:ascii="Arial" w:hAnsi="Arial" w:cs="Arial"/>
                <w:sz w:val="20"/>
                <w:szCs w:val="20"/>
              </w:rPr>
              <w:t>;</w:t>
            </w:r>
          </w:p>
          <w:p w14:paraId="12829F2B" w14:textId="77777777" w:rsidR="009F3F64" w:rsidRDefault="009F3F64" w:rsidP="006F0A9F">
            <w:pPr>
              <w:jc w:val="both"/>
              <w:rPr>
                <w:rFonts w:ascii="Arial" w:hAnsi="Arial" w:cs="Arial"/>
                <w:sz w:val="20"/>
                <w:szCs w:val="20"/>
              </w:rPr>
            </w:pPr>
          </w:p>
          <w:p w14:paraId="12829F2C" w14:textId="77777777" w:rsidR="009F3F64" w:rsidRDefault="009F3F64" w:rsidP="006F0A9F">
            <w:pPr>
              <w:numPr>
                <w:ilvl w:val="0"/>
                <w:numId w:val="19"/>
              </w:numPr>
              <w:jc w:val="both"/>
              <w:rPr>
                <w:rFonts w:ascii="Arial" w:hAnsi="Arial" w:cs="Arial"/>
                <w:sz w:val="20"/>
                <w:szCs w:val="20"/>
              </w:rPr>
            </w:pPr>
            <w:r w:rsidRPr="00852BAD">
              <w:rPr>
                <w:rFonts w:ascii="Arial" w:hAnsi="Arial" w:cs="Arial"/>
                <w:sz w:val="20"/>
                <w:szCs w:val="20"/>
              </w:rPr>
              <w:t>If thresholds relative to risk (e.g.</w:t>
            </w:r>
            <w:r>
              <w:rPr>
                <w:rFonts w:ascii="Arial" w:hAnsi="Arial" w:cs="Arial"/>
                <w:sz w:val="20"/>
                <w:szCs w:val="20"/>
              </w:rPr>
              <w:t>, premium to aggregate limit) are</w:t>
            </w:r>
            <w:r w:rsidRPr="00852BAD">
              <w:rPr>
                <w:rFonts w:ascii="Arial" w:hAnsi="Arial" w:cs="Arial"/>
                <w:sz w:val="20"/>
                <w:szCs w:val="20"/>
              </w:rPr>
              <w:t xml:space="preserve"> established to</w:t>
            </w:r>
            <w:r>
              <w:rPr>
                <w:rFonts w:ascii="Arial" w:hAnsi="Arial" w:cs="Arial"/>
                <w:sz w:val="20"/>
                <w:szCs w:val="20"/>
              </w:rPr>
              <w:t xml:space="preserve"> </w:t>
            </w:r>
            <w:r w:rsidRPr="00852BAD">
              <w:rPr>
                <w:rFonts w:ascii="Arial" w:hAnsi="Arial" w:cs="Arial"/>
                <w:sz w:val="20"/>
                <w:szCs w:val="20"/>
              </w:rPr>
              <w:t xml:space="preserve">qualify the product or program for Safe Harbor treatment, there must be a </w:t>
            </w:r>
            <w:r w:rsidR="00C62B22">
              <w:rPr>
                <w:rFonts w:ascii="Arial" w:hAnsi="Arial" w:cs="Arial"/>
                <w:sz w:val="20"/>
                <w:szCs w:val="20"/>
              </w:rPr>
              <w:t xml:space="preserve">documented </w:t>
            </w:r>
            <w:r w:rsidRPr="00852BAD">
              <w:rPr>
                <w:rFonts w:ascii="Arial" w:hAnsi="Arial" w:cs="Arial"/>
                <w:sz w:val="20"/>
                <w:szCs w:val="20"/>
              </w:rPr>
              <w:t>discussion</w:t>
            </w:r>
            <w:r>
              <w:rPr>
                <w:rFonts w:ascii="Arial" w:hAnsi="Arial" w:cs="Arial"/>
                <w:sz w:val="20"/>
                <w:szCs w:val="20"/>
              </w:rPr>
              <w:t xml:space="preserve"> </w:t>
            </w:r>
            <w:r w:rsidRPr="00852BAD">
              <w:rPr>
                <w:rFonts w:ascii="Arial" w:hAnsi="Arial" w:cs="Arial"/>
                <w:sz w:val="20"/>
                <w:szCs w:val="20"/>
              </w:rPr>
              <w:t>of the basis for selecting the applicable threshold, describing why that threshold is</w:t>
            </w:r>
            <w:r>
              <w:rPr>
                <w:rFonts w:ascii="Arial" w:hAnsi="Arial" w:cs="Arial"/>
                <w:sz w:val="20"/>
                <w:szCs w:val="20"/>
              </w:rPr>
              <w:t xml:space="preserve"> </w:t>
            </w:r>
            <w:r w:rsidRPr="00852BAD">
              <w:rPr>
                <w:rFonts w:ascii="Arial" w:hAnsi="Arial" w:cs="Arial"/>
                <w:sz w:val="20"/>
                <w:szCs w:val="20"/>
              </w:rPr>
              <w:t>expected to provide Safe Harbor treatment only for contracts that, if reviewed</w:t>
            </w:r>
            <w:r>
              <w:rPr>
                <w:rFonts w:ascii="Arial" w:hAnsi="Arial" w:cs="Arial"/>
                <w:sz w:val="20"/>
                <w:szCs w:val="20"/>
              </w:rPr>
              <w:t xml:space="preserve"> </w:t>
            </w:r>
            <w:r w:rsidRPr="00852BAD">
              <w:rPr>
                <w:rFonts w:ascii="Arial" w:hAnsi="Arial" w:cs="Arial"/>
                <w:sz w:val="20"/>
                <w:szCs w:val="20"/>
              </w:rPr>
              <w:t>individually, would be certain to qualify for insurance accounting. The threshold</w:t>
            </w:r>
            <w:r>
              <w:rPr>
                <w:rFonts w:ascii="Arial" w:hAnsi="Arial" w:cs="Arial"/>
                <w:sz w:val="20"/>
                <w:szCs w:val="20"/>
              </w:rPr>
              <w:t xml:space="preserve"> </w:t>
            </w:r>
            <w:r w:rsidRPr="00852BAD">
              <w:rPr>
                <w:rFonts w:ascii="Arial" w:hAnsi="Arial" w:cs="Arial"/>
                <w:sz w:val="20"/>
                <w:szCs w:val="20"/>
              </w:rPr>
              <w:lastRenderedPageBreak/>
              <w:t>requirement must be clearly described. Any premium thresholds must provide an</w:t>
            </w:r>
            <w:r>
              <w:rPr>
                <w:rFonts w:ascii="Arial" w:hAnsi="Arial" w:cs="Arial"/>
                <w:sz w:val="20"/>
                <w:szCs w:val="20"/>
              </w:rPr>
              <w:t xml:space="preserve"> </w:t>
            </w:r>
            <w:r w:rsidRPr="00852BAD">
              <w:rPr>
                <w:rFonts w:ascii="Arial" w:hAnsi="Arial" w:cs="Arial"/>
                <w:sz w:val="20"/>
                <w:szCs w:val="20"/>
              </w:rPr>
              <w:t>indication as to whether the threshold is based on gross or net written premium. An</w:t>
            </w:r>
            <w:r>
              <w:rPr>
                <w:rFonts w:ascii="Arial" w:hAnsi="Arial" w:cs="Arial"/>
                <w:sz w:val="20"/>
                <w:szCs w:val="20"/>
              </w:rPr>
              <w:t xml:space="preserve"> </w:t>
            </w:r>
            <w:r w:rsidRPr="00852BAD">
              <w:rPr>
                <w:rFonts w:ascii="Arial" w:hAnsi="Arial" w:cs="Arial"/>
                <w:sz w:val="20"/>
                <w:szCs w:val="20"/>
              </w:rPr>
              <w:t>actuarial analysis is required where a premium threshold is established for loss</w:t>
            </w:r>
            <w:r>
              <w:rPr>
                <w:rFonts w:ascii="Arial" w:hAnsi="Arial" w:cs="Arial"/>
                <w:sz w:val="20"/>
                <w:szCs w:val="20"/>
              </w:rPr>
              <w:t xml:space="preserve"> </w:t>
            </w:r>
            <w:r w:rsidRPr="00852BAD">
              <w:rPr>
                <w:rFonts w:ascii="Arial" w:hAnsi="Arial" w:cs="Arial"/>
                <w:sz w:val="20"/>
                <w:szCs w:val="20"/>
              </w:rPr>
              <w:t>responsive rating plan business;</w:t>
            </w:r>
          </w:p>
          <w:p w14:paraId="12829F2D" w14:textId="77777777" w:rsidR="009F3F64" w:rsidRPr="00852BAD" w:rsidRDefault="009F3F64" w:rsidP="006F0A9F">
            <w:pPr>
              <w:jc w:val="both"/>
              <w:rPr>
                <w:rFonts w:ascii="Arial" w:hAnsi="Arial" w:cs="Arial"/>
                <w:sz w:val="20"/>
                <w:szCs w:val="20"/>
              </w:rPr>
            </w:pPr>
          </w:p>
          <w:p w14:paraId="12829F2E" w14:textId="77777777" w:rsidR="009F3F64" w:rsidRDefault="009F3F64" w:rsidP="006F0A9F">
            <w:pPr>
              <w:numPr>
                <w:ilvl w:val="0"/>
                <w:numId w:val="19"/>
              </w:numPr>
              <w:jc w:val="both"/>
              <w:rPr>
                <w:rFonts w:ascii="Arial" w:hAnsi="Arial" w:cs="Arial"/>
                <w:sz w:val="20"/>
                <w:szCs w:val="20"/>
              </w:rPr>
            </w:pPr>
            <w:r w:rsidRPr="00852BAD">
              <w:rPr>
                <w:rFonts w:ascii="Arial" w:hAnsi="Arial" w:cs="Arial"/>
                <w:sz w:val="20"/>
                <w:szCs w:val="20"/>
              </w:rPr>
              <w:t>An explanation of how the product or program is expected to result in risk transfer in</w:t>
            </w:r>
            <w:r>
              <w:rPr>
                <w:rFonts w:ascii="Arial" w:hAnsi="Arial" w:cs="Arial"/>
                <w:sz w:val="20"/>
                <w:szCs w:val="20"/>
              </w:rPr>
              <w:t xml:space="preserve"> all cases </w:t>
            </w:r>
            <w:r w:rsidRPr="00852BAD">
              <w:rPr>
                <w:rFonts w:ascii="Arial" w:hAnsi="Arial" w:cs="Arial"/>
                <w:sz w:val="20"/>
                <w:szCs w:val="20"/>
              </w:rPr>
              <w:t>where written pursuant to the parameters set forth</w:t>
            </w:r>
            <w:r>
              <w:rPr>
                <w:rFonts w:ascii="Arial" w:hAnsi="Arial" w:cs="Arial"/>
                <w:sz w:val="20"/>
                <w:szCs w:val="20"/>
              </w:rPr>
              <w:t xml:space="preserve"> </w:t>
            </w:r>
            <w:r w:rsidRPr="00852BAD">
              <w:rPr>
                <w:rFonts w:ascii="Arial" w:hAnsi="Arial" w:cs="Arial"/>
                <w:sz w:val="20"/>
                <w:szCs w:val="20"/>
              </w:rPr>
              <w:t xml:space="preserve">in the </w:t>
            </w:r>
            <w:smartTag w:uri="urn:schemas-microsoft-com:office:smarttags" w:element="PlaceName">
              <w:r w:rsidRPr="00852BAD">
                <w:rPr>
                  <w:rFonts w:ascii="Arial" w:hAnsi="Arial" w:cs="Arial"/>
                  <w:sz w:val="20"/>
                  <w:szCs w:val="20"/>
                </w:rPr>
                <w:t>Safe</w:t>
              </w:r>
            </w:smartTag>
            <w:r w:rsidRPr="00852BAD">
              <w:rPr>
                <w:rFonts w:ascii="Arial" w:hAnsi="Arial" w:cs="Arial"/>
                <w:sz w:val="20"/>
                <w:szCs w:val="20"/>
              </w:rPr>
              <w:t xml:space="preserve"> Harbor;</w:t>
            </w:r>
          </w:p>
          <w:p w14:paraId="12829F2F" w14:textId="77777777" w:rsidR="009F3F64" w:rsidRDefault="009F3F64" w:rsidP="006F0A9F">
            <w:pPr>
              <w:jc w:val="both"/>
              <w:rPr>
                <w:rFonts w:ascii="Arial" w:hAnsi="Arial" w:cs="Arial"/>
                <w:sz w:val="20"/>
                <w:szCs w:val="20"/>
              </w:rPr>
            </w:pPr>
          </w:p>
          <w:p w14:paraId="12829F30" w14:textId="77777777" w:rsidR="009F3F64" w:rsidRDefault="009F3F64" w:rsidP="006F0A9F">
            <w:pPr>
              <w:numPr>
                <w:ilvl w:val="0"/>
                <w:numId w:val="19"/>
              </w:numPr>
              <w:jc w:val="both"/>
              <w:rPr>
                <w:rFonts w:ascii="Arial" w:hAnsi="Arial" w:cs="Arial"/>
                <w:sz w:val="20"/>
                <w:szCs w:val="20"/>
              </w:rPr>
            </w:pPr>
            <w:r w:rsidRPr="00852BAD">
              <w:rPr>
                <w:rFonts w:ascii="Arial" w:hAnsi="Arial" w:cs="Arial"/>
                <w:sz w:val="20"/>
                <w:szCs w:val="20"/>
              </w:rPr>
              <w:t xml:space="preserve">An outline of other parameters the </w:t>
            </w:r>
            <w:r w:rsidR="00FD26FF">
              <w:rPr>
                <w:rFonts w:ascii="Arial" w:hAnsi="Arial" w:cs="Arial"/>
                <w:sz w:val="20"/>
                <w:szCs w:val="20"/>
              </w:rPr>
              <w:t>product tower</w:t>
            </w:r>
            <w:r w:rsidRPr="00852BAD">
              <w:rPr>
                <w:rFonts w:ascii="Arial" w:hAnsi="Arial" w:cs="Arial"/>
                <w:sz w:val="20"/>
                <w:szCs w:val="20"/>
              </w:rPr>
              <w:t xml:space="preserve"> believes is required to support the</w:t>
            </w:r>
            <w:r>
              <w:rPr>
                <w:rFonts w:ascii="Arial" w:hAnsi="Arial" w:cs="Arial"/>
                <w:sz w:val="20"/>
                <w:szCs w:val="20"/>
              </w:rPr>
              <w:t xml:space="preserve"> </w:t>
            </w:r>
            <w:r w:rsidRPr="00852BAD">
              <w:rPr>
                <w:rFonts w:ascii="Arial" w:hAnsi="Arial" w:cs="Arial"/>
                <w:sz w:val="20"/>
                <w:szCs w:val="20"/>
              </w:rPr>
              <w:t>sufficiency of risk transfer.</w:t>
            </w:r>
          </w:p>
          <w:p w14:paraId="12829F31" w14:textId="77777777" w:rsidR="0014560D" w:rsidRDefault="0014560D" w:rsidP="0014560D">
            <w:pPr>
              <w:pStyle w:val="ListParagraph"/>
              <w:rPr>
                <w:rFonts w:ascii="Arial" w:hAnsi="Arial" w:cs="Arial"/>
                <w:sz w:val="20"/>
                <w:szCs w:val="20"/>
              </w:rPr>
            </w:pPr>
          </w:p>
          <w:p w14:paraId="12829F32" w14:textId="77777777" w:rsidR="0014560D" w:rsidRDefault="0014560D" w:rsidP="0014560D">
            <w:pPr>
              <w:jc w:val="both"/>
              <w:rPr>
                <w:rFonts w:ascii="Arial" w:hAnsi="Arial" w:cs="Arial"/>
                <w:sz w:val="20"/>
                <w:szCs w:val="20"/>
              </w:rPr>
            </w:pPr>
            <w:r>
              <w:rPr>
                <w:rFonts w:ascii="Arial" w:hAnsi="Arial" w:cs="Arial"/>
                <w:sz w:val="20"/>
                <w:szCs w:val="20"/>
              </w:rPr>
              <w:t>The memorandum requesting a Sa</w:t>
            </w:r>
            <w:r w:rsidR="00090296">
              <w:rPr>
                <w:rFonts w:ascii="Arial" w:hAnsi="Arial" w:cs="Arial"/>
                <w:sz w:val="20"/>
                <w:szCs w:val="20"/>
              </w:rPr>
              <w:t xml:space="preserve">fe Harbor must be signed by the global </w:t>
            </w:r>
            <w:r w:rsidR="00FD26FF">
              <w:rPr>
                <w:rFonts w:ascii="Arial" w:hAnsi="Arial" w:cs="Arial"/>
                <w:sz w:val="20"/>
                <w:szCs w:val="20"/>
              </w:rPr>
              <w:t xml:space="preserve">product tower </w:t>
            </w:r>
            <w:r>
              <w:rPr>
                <w:rFonts w:ascii="Arial" w:hAnsi="Arial" w:cs="Arial"/>
                <w:sz w:val="20"/>
                <w:szCs w:val="20"/>
              </w:rPr>
              <w:t xml:space="preserve">CUO and </w:t>
            </w:r>
            <w:r w:rsidR="00090296">
              <w:rPr>
                <w:rFonts w:ascii="Arial" w:hAnsi="Arial" w:cs="Arial"/>
                <w:sz w:val="20"/>
                <w:szCs w:val="20"/>
              </w:rPr>
              <w:t>CFO</w:t>
            </w:r>
            <w:r w:rsidR="00F0642E">
              <w:rPr>
                <w:rFonts w:ascii="Arial" w:hAnsi="Arial" w:cs="Arial"/>
                <w:sz w:val="20"/>
                <w:szCs w:val="20"/>
              </w:rPr>
              <w:t>.</w:t>
            </w:r>
          </w:p>
          <w:p w14:paraId="12829F33" w14:textId="77777777" w:rsidR="009F3F64" w:rsidRPr="009E4350" w:rsidRDefault="009F3F64" w:rsidP="0014560D">
            <w:pPr>
              <w:jc w:val="both"/>
              <w:rPr>
                <w:rFonts w:ascii="Arial" w:hAnsi="Arial" w:cs="Arial"/>
                <w:sz w:val="20"/>
                <w:szCs w:val="20"/>
              </w:rPr>
            </w:pPr>
          </w:p>
        </w:tc>
      </w:tr>
      <w:tr w:rsidR="009F3F64" w:rsidRPr="004A024A" w14:paraId="12829F3D" w14:textId="77777777" w:rsidTr="003443A9">
        <w:trPr>
          <w:trHeight w:val="387"/>
        </w:trPr>
        <w:tc>
          <w:tcPr>
            <w:tcW w:w="1800" w:type="dxa"/>
          </w:tcPr>
          <w:p w14:paraId="12829F35" w14:textId="77777777" w:rsidR="009F3F64" w:rsidRPr="00DF6B20" w:rsidRDefault="009F3F64" w:rsidP="00B5006C">
            <w:pPr>
              <w:rPr>
                <w:rFonts w:ascii="Arial" w:hAnsi="Arial" w:cs="Arial"/>
                <w:i/>
                <w:color w:val="00B0F0"/>
                <w:sz w:val="20"/>
                <w:szCs w:val="20"/>
              </w:rPr>
            </w:pPr>
            <w:r w:rsidRPr="00DF6B20">
              <w:rPr>
                <w:rFonts w:ascii="Arial" w:hAnsi="Arial" w:cs="Arial"/>
                <w:i/>
                <w:color w:val="00B0F0"/>
                <w:sz w:val="20"/>
                <w:szCs w:val="20"/>
              </w:rPr>
              <w:lastRenderedPageBreak/>
              <w:t>Approval</w:t>
            </w:r>
          </w:p>
        </w:tc>
        <w:tc>
          <w:tcPr>
            <w:tcW w:w="8820" w:type="dxa"/>
            <w:gridSpan w:val="2"/>
          </w:tcPr>
          <w:p w14:paraId="12829F36" w14:textId="77777777" w:rsidR="009F3F64" w:rsidRDefault="009F3F64" w:rsidP="006F0A9F">
            <w:pPr>
              <w:jc w:val="both"/>
              <w:rPr>
                <w:rFonts w:ascii="Arial" w:hAnsi="Arial" w:cs="Arial"/>
                <w:sz w:val="20"/>
                <w:szCs w:val="20"/>
              </w:rPr>
            </w:pPr>
          </w:p>
          <w:p w14:paraId="12829F37" w14:textId="77777777" w:rsidR="009F3F64" w:rsidRPr="001A3F95" w:rsidRDefault="009F3F64" w:rsidP="006F0A9F">
            <w:pPr>
              <w:jc w:val="both"/>
              <w:rPr>
                <w:rFonts w:ascii="Arial" w:hAnsi="Arial" w:cs="Arial"/>
                <w:sz w:val="20"/>
                <w:szCs w:val="20"/>
              </w:rPr>
            </w:pPr>
            <w:r w:rsidRPr="001A3F95">
              <w:rPr>
                <w:rFonts w:ascii="Arial" w:hAnsi="Arial" w:cs="Arial"/>
                <w:sz w:val="20"/>
                <w:szCs w:val="20"/>
              </w:rPr>
              <w:t>The</w:t>
            </w:r>
            <w:r>
              <w:rPr>
                <w:rFonts w:ascii="Arial" w:hAnsi="Arial" w:cs="Arial"/>
                <w:sz w:val="20"/>
                <w:szCs w:val="20"/>
              </w:rPr>
              <w:t xml:space="preserve"> </w:t>
            </w:r>
            <w:r w:rsidRPr="001A3F95">
              <w:rPr>
                <w:rFonts w:ascii="Arial" w:hAnsi="Arial" w:cs="Arial"/>
                <w:sz w:val="20"/>
                <w:szCs w:val="20"/>
              </w:rPr>
              <w:t>memorandum</w:t>
            </w:r>
            <w:r>
              <w:rPr>
                <w:rFonts w:ascii="Arial" w:hAnsi="Arial" w:cs="Arial"/>
                <w:sz w:val="20"/>
                <w:szCs w:val="20"/>
              </w:rPr>
              <w:t xml:space="preserve"> requesting Safe Harbor approval, </w:t>
            </w:r>
            <w:r w:rsidRPr="001A3F95">
              <w:rPr>
                <w:rFonts w:ascii="Arial" w:hAnsi="Arial" w:cs="Arial"/>
                <w:sz w:val="20"/>
                <w:szCs w:val="20"/>
              </w:rPr>
              <w:t xml:space="preserve">together with any other supporting documentation </w:t>
            </w:r>
            <w:r>
              <w:rPr>
                <w:rFonts w:ascii="Arial" w:hAnsi="Arial" w:cs="Arial"/>
                <w:sz w:val="20"/>
                <w:szCs w:val="20"/>
              </w:rPr>
              <w:t xml:space="preserve">and actuarial analysis </w:t>
            </w:r>
            <w:r w:rsidRPr="001A3F95">
              <w:rPr>
                <w:rFonts w:ascii="Arial" w:hAnsi="Arial" w:cs="Arial"/>
                <w:sz w:val="20"/>
                <w:szCs w:val="20"/>
              </w:rPr>
              <w:t>deemed relevant by the</w:t>
            </w:r>
            <w:r>
              <w:rPr>
                <w:rFonts w:ascii="Arial" w:hAnsi="Arial" w:cs="Arial"/>
                <w:sz w:val="20"/>
                <w:szCs w:val="20"/>
              </w:rPr>
              <w:t xml:space="preserve"> </w:t>
            </w:r>
            <w:r w:rsidR="00FD26FF">
              <w:rPr>
                <w:rFonts w:ascii="Arial" w:hAnsi="Arial" w:cs="Arial"/>
                <w:sz w:val="20"/>
                <w:szCs w:val="20"/>
              </w:rPr>
              <w:t>product tower</w:t>
            </w:r>
            <w:r w:rsidRPr="001A3F95">
              <w:rPr>
                <w:rFonts w:ascii="Arial" w:hAnsi="Arial" w:cs="Arial"/>
                <w:sz w:val="20"/>
                <w:szCs w:val="20"/>
              </w:rPr>
              <w:t>, must b</w:t>
            </w:r>
            <w:r w:rsidR="0014560D">
              <w:rPr>
                <w:rFonts w:ascii="Arial" w:hAnsi="Arial" w:cs="Arial"/>
                <w:sz w:val="20"/>
                <w:szCs w:val="20"/>
              </w:rPr>
              <w:t>e submitted to the AIG Property Casualty</w:t>
            </w:r>
            <w:r w:rsidRPr="001A3F95">
              <w:rPr>
                <w:rFonts w:ascii="Arial" w:hAnsi="Arial" w:cs="Arial"/>
                <w:sz w:val="20"/>
                <w:szCs w:val="20"/>
              </w:rPr>
              <w:t xml:space="preserve"> </w:t>
            </w:r>
            <w:r w:rsidR="00FD26FF">
              <w:rPr>
                <w:rFonts w:ascii="Arial" w:hAnsi="Arial" w:cs="Arial"/>
                <w:sz w:val="20"/>
                <w:szCs w:val="20"/>
              </w:rPr>
              <w:t xml:space="preserve">Commercial </w:t>
            </w:r>
            <w:r w:rsidRPr="001A3F95">
              <w:rPr>
                <w:rFonts w:ascii="Arial" w:hAnsi="Arial" w:cs="Arial"/>
                <w:sz w:val="20"/>
                <w:szCs w:val="20"/>
              </w:rPr>
              <w:t xml:space="preserve">CFO and </w:t>
            </w:r>
            <w:r w:rsidR="0014560D">
              <w:rPr>
                <w:rFonts w:ascii="Arial" w:hAnsi="Arial" w:cs="Arial"/>
                <w:sz w:val="20"/>
                <w:szCs w:val="20"/>
              </w:rPr>
              <w:t>AIG P</w:t>
            </w:r>
            <w:r w:rsidR="00FD26FF">
              <w:rPr>
                <w:rFonts w:ascii="Arial" w:hAnsi="Arial" w:cs="Arial"/>
                <w:sz w:val="20"/>
                <w:szCs w:val="20"/>
              </w:rPr>
              <w:t xml:space="preserve">roperty </w:t>
            </w:r>
            <w:r w:rsidR="0014560D">
              <w:rPr>
                <w:rFonts w:ascii="Arial" w:hAnsi="Arial" w:cs="Arial"/>
                <w:sz w:val="20"/>
                <w:szCs w:val="20"/>
              </w:rPr>
              <w:t>C</w:t>
            </w:r>
            <w:r w:rsidR="00FD26FF">
              <w:rPr>
                <w:rFonts w:ascii="Arial" w:hAnsi="Arial" w:cs="Arial"/>
                <w:sz w:val="20"/>
                <w:szCs w:val="20"/>
              </w:rPr>
              <w:t>asualty</w:t>
            </w:r>
            <w:r w:rsidR="0014560D">
              <w:rPr>
                <w:rFonts w:ascii="Arial" w:hAnsi="Arial" w:cs="Arial"/>
                <w:sz w:val="20"/>
                <w:szCs w:val="20"/>
              </w:rPr>
              <w:t xml:space="preserve"> Commercial </w:t>
            </w:r>
            <w:r w:rsidRPr="001A3F95">
              <w:rPr>
                <w:rFonts w:ascii="Arial" w:hAnsi="Arial" w:cs="Arial"/>
                <w:sz w:val="20"/>
                <w:szCs w:val="20"/>
              </w:rPr>
              <w:t>CUO, or their designees, for review and approval.</w:t>
            </w:r>
          </w:p>
          <w:p w14:paraId="12829F38" w14:textId="77777777" w:rsidR="009F3F64" w:rsidRDefault="009F3F64" w:rsidP="006F0A9F">
            <w:pPr>
              <w:jc w:val="both"/>
              <w:rPr>
                <w:rFonts w:ascii="Arial" w:hAnsi="Arial" w:cs="Arial"/>
                <w:sz w:val="20"/>
                <w:szCs w:val="20"/>
              </w:rPr>
            </w:pPr>
          </w:p>
          <w:p w14:paraId="12829F39" w14:textId="77777777" w:rsidR="009F3F64" w:rsidRDefault="009F3F64" w:rsidP="006F0A9F">
            <w:pPr>
              <w:jc w:val="both"/>
              <w:rPr>
                <w:rFonts w:ascii="Arial" w:hAnsi="Arial" w:cs="Arial"/>
                <w:sz w:val="20"/>
                <w:szCs w:val="20"/>
              </w:rPr>
            </w:pPr>
            <w:r w:rsidRPr="001A3F95">
              <w:rPr>
                <w:rFonts w:ascii="Arial" w:hAnsi="Arial" w:cs="Arial"/>
                <w:sz w:val="20"/>
                <w:szCs w:val="20"/>
              </w:rPr>
              <w:t xml:space="preserve">An approved </w:t>
            </w:r>
            <w:smartTag w:uri="urn:schemas-microsoft-com:office:smarttags" w:element="place">
              <w:smartTag w:uri="urn:schemas-microsoft-com:office:smarttags" w:element="PlaceName">
                <w:r w:rsidRPr="001A3F95">
                  <w:rPr>
                    <w:rFonts w:ascii="Arial" w:hAnsi="Arial" w:cs="Arial"/>
                    <w:sz w:val="20"/>
                    <w:szCs w:val="20"/>
                  </w:rPr>
                  <w:t>Safe</w:t>
                </w:r>
              </w:smartTag>
              <w:r w:rsidRPr="001A3F95">
                <w:rPr>
                  <w:rFonts w:ascii="Arial" w:hAnsi="Arial" w:cs="Arial"/>
                  <w:sz w:val="20"/>
                  <w:szCs w:val="20"/>
                </w:rPr>
                <w:t xml:space="preserve"> </w:t>
              </w:r>
              <w:smartTag w:uri="urn:schemas-microsoft-com:office:smarttags" w:element="PlaceType">
                <w:r w:rsidRPr="001A3F95">
                  <w:rPr>
                    <w:rFonts w:ascii="Arial" w:hAnsi="Arial" w:cs="Arial"/>
                    <w:sz w:val="20"/>
                    <w:szCs w:val="20"/>
                  </w:rPr>
                  <w:t>Harbor</w:t>
                </w:r>
              </w:smartTag>
            </w:smartTag>
            <w:r w:rsidRPr="001A3F95">
              <w:rPr>
                <w:rFonts w:ascii="Arial" w:hAnsi="Arial" w:cs="Arial"/>
                <w:sz w:val="20"/>
                <w:szCs w:val="20"/>
              </w:rPr>
              <w:t xml:space="preserve"> may only be applied to risks bound after the approval is</w:t>
            </w:r>
            <w:r>
              <w:rPr>
                <w:rFonts w:ascii="Arial" w:hAnsi="Arial" w:cs="Arial"/>
                <w:sz w:val="20"/>
                <w:szCs w:val="20"/>
              </w:rPr>
              <w:t xml:space="preserve"> r</w:t>
            </w:r>
            <w:r w:rsidRPr="001A3F95">
              <w:rPr>
                <w:rFonts w:ascii="Arial" w:hAnsi="Arial" w:cs="Arial"/>
                <w:sz w:val="20"/>
                <w:szCs w:val="20"/>
              </w:rPr>
              <w:t xml:space="preserve">eceived. Until such time as the </w:t>
            </w:r>
            <w:smartTag w:uri="urn:schemas-microsoft-com:office:smarttags" w:element="place">
              <w:smartTag w:uri="urn:schemas-microsoft-com:office:smarttags" w:element="PlaceName">
                <w:r w:rsidRPr="001A3F95">
                  <w:rPr>
                    <w:rFonts w:ascii="Arial" w:hAnsi="Arial" w:cs="Arial"/>
                    <w:sz w:val="20"/>
                    <w:szCs w:val="20"/>
                  </w:rPr>
                  <w:t>Safe</w:t>
                </w:r>
              </w:smartTag>
              <w:r w:rsidRPr="001A3F95">
                <w:rPr>
                  <w:rFonts w:ascii="Arial" w:hAnsi="Arial" w:cs="Arial"/>
                  <w:sz w:val="20"/>
                  <w:szCs w:val="20"/>
                </w:rPr>
                <w:t xml:space="preserve"> </w:t>
              </w:r>
              <w:smartTag w:uri="urn:schemas-microsoft-com:office:smarttags" w:element="PlaceType">
                <w:r w:rsidRPr="001A3F95">
                  <w:rPr>
                    <w:rFonts w:ascii="Arial" w:hAnsi="Arial" w:cs="Arial"/>
                    <w:sz w:val="20"/>
                    <w:szCs w:val="20"/>
                  </w:rPr>
                  <w:t>Harbor</w:t>
                </w:r>
              </w:smartTag>
            </w:smartTag>
            <w:r w:rsidRPr="001A3F95">
              <w:rPr>
                <w:rFonts w:ascii="Arial" w:hAnsi="Arial" w:cs="Arial"/>
                <w:sz w:val="20"/>
                <w:szCs w:val="20"/>
              </w:rPr>
              <w:t xml:space="preserve"> is approved, each product or program shall</w:t>
            </w:r>
            <w:r>
              <w:rPr>
                <w:rFonts w:ascii="Arial" w:hAnsi="Arial" w:cs="Arial"/>
                <w:sz w:val="20"/>
                <w:szCs w:val="20"/>
              </w:rPr>
              <w:t xml:space="preserve"> </w:t>
            </w:r>
            <w:r w:rsidRPr="001A3F95">
              <w:rPr>
                <w:rFonts w:ascii="Arial" w:hAnsi="Arial" w:cs="Arial"/>
                <w:sz w:val="20"/>
                <w:szCs w:val="20"/>
              </w:rPr>
              <w:t>be individually evaluated for the sufficiency of risk transfer in accordance with the</w:t>
            </w:r>
            <w:r>
              <w:rPr>
                <w:rFonts w:ascii="Arial" w:hAnsi="Arial" w:cs="Arial"/>
                <w:sz w:val="20"/>
                <w:szCs w:val="20"/>
              </w:rPr>
              <w:t xml:space="preserve"> </w:t>
            </w:r>
            <w:r w:rsidRPr="001A3F95">
              <w:rPr>
                <w:rFonts w:ascii="Arial" w:hAnsi="Arial" w:cs="Arial"/>
                <w:sz w:val="20"/>
                <w:szCs w:val="20"/>
              </w:rPr>
              <w:t>Policy</w:t>
            </w:r>
            <w:r>
              <w:rPr>
                <w:rFonts w:ascii="Arial" w:hAnsi="Arial" w:cs="Arial"/>
                <w:sz w:val="20"/>
                <w:szCs w:val="20"/>
              </w:rPr>
              <w:t>.</w:t>
            </w:r>
          </w:p>
          <w:p w14:paraId="12829F3A" w14:textId="77777777" w:rsidR="009F3F64" w:rsidRDefault="009F3F64" w:rsidP="006F0A9F">
            <w:pPr>
              <w:jc w:val="both"/>
              <w:rPr>
                <w:rFonts w:ascii="Arial" w:hAnsi="Arial" w:cs="Arial"/>
                <w:sz w:val="20"/>
                <w:szCs w:val="20"/>
              </w:rPr>
            </w:pPr>
          </w:p>
          <w:p w14:paraId="12829F3B" w14:textId="77777777" w:rsidR="009F3F64" w:rsidRDefault="009F3F64" w:rsidP="006F0A9F">
            <w:pPr>
              <w:jc w:val="both"/>
              <w:rPr>
                <w:rFonts w:ascii="Arial" w:hAnsi="Arial" w:cs="Arial"/>
                <w:sz w:val="20"/>
                <w:szCs w:val="20"/>
              </w:rPr>
            </w:pPr>
            <w:r>
              <w:rPr>
                <w:rFonts w:ascii="Arial" w:hAnsi="Arial" w:cs="Arial"/>
                <w:sz w:val="20"/>
                <w:szCs w:val="20"/>
              </w:rPr>
              <w:t xml:space="preserve">Approved Safe Harbor memoranda will be kept by Global Commercial Underwriting in a centralized location on the Global Commercial </w:t>
            </w:r>
            <w:r w:rsidR="00090296">
              <w:rPr>
                <w:rFonts w:ascii="Arial" w:hAnsi="Arial" w:cs="Arial"/>
                <w:sz w:val="20"/>
                <w:szCs w:val="20"/>
              </w:rPr>
              <w:t xml:space="preserve">Technical </w:t>
            </w:r>
            <w:r>
              <w:rPr>
                <w:rFonts w:ascii="Arial" w:hAnsi="Arial" w:cs="Arial"/>
                <w:sz w:val="20"/>
                <w:szCs w:val="20"/>
              </w:rPr>
              <w:t xml:space="preserve">Underwriting </w:t>
            </w:r>
            <w:r w:rsidR="00FD26FF">
              <w:rPr>
                <w:rFonts w:ascii="Arial" w:hAnsi="Arial" w:cs="Arial"/>
                <w:sz w:val="20"/>
                <w:szCs w:val="20"/>
              </w:rPr>
              <w:t xml:space="preserve">intranet </w:t>
            </w:r>
            <w:r>
              <w:rPr>
                <w:rFonts w:ascii="Arial" w:hAnsi="Arial" w:cs="Arial"/>
                <w:sz w:val="20"/>
                <w:szCs w:val="20"/>
              </w:rPr>
              <w:t>site.</w:t>
            </w:r>
          </w:p>
          <w:p w14:paraId="12829F3C" w14:textId="77777777" w:rsidR="009F3F64" w:rsidRPr="009E4350" w:rsidRDefault="009F3F64" w:rsidP="006F0A9F">
            <w:pPr>
              <w:jc w:val="both"/>
              <w:rPr>
                <w:rFonts w:ascii="Arial" w:hAnsi="Arial" w:cs="Arial"/>
                <w:sz w:val="20"/>
                <w:szCs w:val="20"/>
              </w:rPr>
            </w:pPr>
          </w:p>
        </w:tc>
      </w:tr>
      <w:tr w:rsidR="008C4CD2" w:rsidRPr="004A024A" w14:paraId="12829F44" w14:textId="77777777" w:rsidTr="003443A9">
        <w:trPr>
          <w:trHeight w:val="387"/>
        </w:trPr>
        <w:tc>
          <w:tcPr>
            <w:tcW w:w="1800" w:type="dxa"/>
          </w:tcPr>
          <w:p w14:paraId="12829F3E" w14:textId="77777777" w:rsidR="008C4CD2" w:rsidRPr="00DF6B20" w:rsidRDefault="008C4CD2" w:rsidP="00B5006C">
            <w:pPr>
              <w:rPr>
                <w:rFonts w:ascii="Arial" w:hAnsi="Arial" w:cs="Arial"/>
                <w:i/>
                <w:color w:val="00B0F0"/>
                <w:sz w:val="20"/>
                <w:szCs w:val="20"/>
              </w:rPr>
            </w:pPr>
            <w:r w:rsidRPr="00DF6B20">
              <w:rPr>
                <w:rFonts w:ascii="Arial" w:hAnsi="Arial" w:cs="Arial"/>
                <w:i/>
                <w:color w:val="00B0F0"/>
                <w:sz w:val="20"/>
                <w:szCs w:val="20"/>
              </w:rPr>
              <w:t>Re-Validation of Safe Harbor</w:t>
            </w:r>
          </w:p>
        </w:tc>
        <w:tc>
          <w:tcPr>
            <w:tcW w:w="8820" w:type="dxa"/>
            <w:gridSpan w:val="2"/>
          </w:tcPr>
          <w:p w14:paraId="12829F3F" w14:textId="77777777" w:rsidR="008C4CD2" w:rsidRDefault="008C4CD2" w:rsidP="006F0A9F">
            <w:pPr>
              <w:jc w:val="both"/>
              <w:rPr>
                <w:rFonts w:ascii="Arial" w:hAnsi="Arial" w:cs="Arial"/>
                <w:sz w:val="20"/>
                <w:szCs w:val="20"/>
              </w:rPr>
            </w:pPr>
          </w:p>
          <w:p w14:paraId="12829F40" w14:textId="77777777" w:rsidR="008C4CD2" w:rsidRDefault="008C4CD2" w:rsidP="006F0A9F">
            <w:pPr>
              <w:jc w:val="both"/>
              <w:rPr>
                <w:rFonts w:ascii="Arial" w:hAnsi="Arial" w:cs="Arial"/>
                <w:sz w:val="20"/>
                <w:szCs w:val="20"/>
              </w:rPr>
            </w:pPr>
            <w:r w:rsidRPr="001A3F95">
              <w:rPr>
                <w:rFonts w:ascii="Arial" w:hAnsi="Arial" w:cs="Arial"/>
                <w:sz w:val="20"/>
                <w:szCs w:val="20"/>
              </w:rPr>
              <w:t>To ensure that each Safe Harbor determination remains valid, every Safe Harbor shall be</w:t>
            </w:r>
            <w:r w:rsidR="00801F03">
              <w:rPr>
                <w:rFonts w:ascii="Arial" w:hAnsi="Arial" w:cs="Arial"/>
                <w:sz w:val="20"/>
                <w:szCs w:val="20"/>
              </w:rPr>
              <w:t xml:space="preserve"> r</w:t>
            </w:r>
            <w:r w:rsidR="00543BCC">
              <w:rPr>
                <w:rFonts w:ascii="Arial" w:hAnsi="Arial" w:cs="Arial"/>
                <w:sz w:val="20"/>
                <w:szCs w:val="20"/>
              </w:rPr>
              <w:t>evi</w:t>
            </w:r>
            <w:r w:rsidR="00F0642E">
              <w:rPr>
                <w:rFonts w:ascii="Arial" w:hAnsi="Arial" w:cs="Arial"/>
                <w:sz w:val="20"/>
                <w:szCs w:val="20"/>
              </w:rPr>
              <w:t>e</w:t>
            </w:r>
            <w:r w:rsidR="00801F03">
              <w:rPr>
                <w:rFonts w:ascii="Arial" w:hAnsi="Arial" w:cs="Arial"/>
                <w:sz w:val="20"/>
                <w:szCs w:val="20"/>
              </w:rPr>
              <w:t xml:space="preserve">wed </w:t>
            </w:r>
            <w:r w:rsidRPr="001A3F95">
              <w:rPr>
                <w:rFonts w:ascii="Arial" w:hAnsi="Arial" w:cs="Arial"/>
                <w:sz w:val="20"/>
                <w:szCs w:val="20"/>
              </w:rPr>
              <w:t xml:space="preserve">by the </w:t>
            </w:r>
            <w:r w:rsidR="00FD26FF">
              <w:rPr>
                <w:rFonts w:ascii="Arial" w:hAnsi="Arial" w:cs="Arial"/>
                <w:sz w:val="20"/>
                <w:szCs w:val="20"/>
              </w:rPr>
              <w:t xml:space="preserve">product tower </w:t>
            </w:r>
            <w:r>
              <w:rPr>
                <w:rFonts w:ascii="Arial" w:hAnsi="Arial" w:cs="Arial"/>
                <w:sz w:val="20"/>
                <w:szCs w:val="20"/>
              </w:rPr>
              <w:t xml:space="preserve">annually, </w:t>
            </w:r>
            <w:r w:rsidRPr="001A3F95">
              <w:rPr>
                <w:rFonts w:ascii="Arial" w:hAnsi="Arial" w:cs="Arial"/>
                <w:sz w:val="20"/>
                <w:szCs w:val="20"/>
              </w:rPr>
              <w:t>and whenever there is a substantive change to the product or program originally</w:t>
            </w:r>
            <w:r>
              <w:rPr>
                <w:rFonts w:ascii="Arial" w:hAnsi="Arial" w:cs="Arial"/>
                <w:sz w:val="20"/>
                <w:szCs w:val="20"/>
              </w:rPr>
              <w:t xml:space="preserve"> </w:t>
            </w:r>
            <w:r w:rsidRPr="001A3F95">
              <w:rPr>
                <w:rFonts w:ascii="Arial" w:hAnsi="Arial" w:cs="Arial"/>
                <w:sz w:val="20"/>
                <w:szCs w:val="20"/>
              </w:rPr>
              <w:t>granted Safe Harbor treatmen</w:t>
            </w:r>
            <w:r>
              <w:rPr>
                <w:rFonts w:ascii="Arial" w:hAnsi="Arial" w:cs="Arial"/>
                <w:sz w:val="20"/>
                <w:szCs w:val="20"/>
              </w:rPr>
              <w:t>t,</w:t>
            </w:r>
            <w:r w:rsidRPr="001A3F95">
              <w:rPr>
                <w:rFonts w:ascii="Arial" w:hAnsi="Arial" w:cs="Arial"/>
                <w:sz w:val="20"/>
                <w:szCs w:val="20"/>
              </w:rPr>
              <w:t xml:space="preserve"> reapproved by the </w:t>
            </w:r>
            <w:r w:rsidR="00543BCC">
              <w:rPr>
                <w:rFonts w:ascii="Arial" w:hAnsi="Arial" w:cs="Arial"/>
                <w:sz w:val="20"/>
                <w:szCs w:val="20"/>
              </w:rPr>
              <w:t>AIG Property Casualty</w:t>
            </w:r>
            <w:r w:rsidRPr="001A3F95">
              <w:rPr>
                <w:rFonts w:ascii="Arial" w:hAnsi="Arial" w:cs="Arial"/>
                <w:sz w:val="20"/>
                <w:szCs w:val="20"/>
              </w:rPr>
              <w:t xml:space="preserve"> </w:t>
            </w:r>
            <w:r w:rsidR="00FD26FF">
              <w:rPr>
                <w:rFonts w:ascii="Arial" w:hAnsi="Arial" w:cs="Arial"/>
                <w:sz w:val="20"/>
                <w:szCs w:val="20"/>
              </w:rPr>
              <w:t xml:space="preserve">Commercial </w:t>
            </w:r>
            <w:r w:rsidRPr="001A3F95">
              <w:rPr>
                <w:rFonts w:ascii="Arial" w:hAnsi="Arial" w:cs="Arial"/>
                <w:sz w:val="20"/>
                <w:szCs w:val="20"/>
              </w:rPr>
              <w:t xml:space="preserve">CFO and </w:t>
            </w:r>
            <w:r w:rsidR="00543BCC">
              <w:rPr>
                <w:rFonts w:ascii="Arial" w:hAnsi="Arial" w:cs="Arial"/>
                <w:sz w:val="20"/>
                <w:szCs w:val="20"/>
              </w:rPr>
              <w:t xml:space="preserve">AIG Property Casualty Commercial </w:t>
            </w:r>
            <w:r w:rsidRPr="001A3F95">
              <w:rPr>
                <w:rFonts w:ascii="Arial" w:hAnsi="Arial" w:cs="Arial"/>
                <w:sz w:val="20"/>
                <w:szCs w:val="20"/>
              </w:rPr>
              <w:t>CUO, or</w:t>
            </w:r>
            <w:r>
              <w:rPr>
                <w:rFonts w:ascii="Arial" w:hAnsi="Arial" w:cs="Arial"/>
                <w:sz w:val="20"/>
                <w:szCs w:val="20"/>
              </w:rPr>
              <w:t xml:space="preserve"> their </w:t>
            </w:r>
            <w:r w:rsidRPr="001A3F95">
              <w:rPr>
                <w:rFonts w:ascii="Arial" w:hAnsi="Arial" w:cs="Arial"/>
                <w:sz w:val="20"/>
                <w:szCs w:val="20"/>
              </w:rPr>
              <w:t>designees</w:t>
            </w:r>
            <w:r w:rsidR="00543BCC">
              <w:rPr>
                <w:rFonts w:ascii="Arial" w:hAnsi="Arial" w:cs="Arial"/>
                <w:sz w:val="20"/>
                <w:szCs w:val="20"/>
              </w:rPr>
              <w:t>.</w:t>
            </w:r>
          </w:p>
          <w:p w14:paraId="12829F41" w14:textId="77777777" w:rsidR="00543BCC" w:rsidRDefault="00543BCC" w:rsidP="006F0A9F">
            <w:pPr>
              <w:jc w:val="both"/>
              <w:rPr>
                <w:rFonts w:ascii="Arial" w:hAnsi="Arial" w:cs="Arial"/>
                <w:sz w:val="20"/>
                <w:szCs w:val="20"/>
              </w:rPr>
            </w:pPr>
          </w:p>
          <w:p w14:paraId="12829F42" w14:textId="77777777" w:rsidR="008C4CD2" w:rsidRDefault="008C4CD2" w:rsidP="006F0A9F">
            <w:pPr>
              <w:jc w:val="both"/>
              <w:rPr>
                <w:rFonts w:ascii="Arial" w:hAnsi="Arial" w:cs="Arial"/>
                <w:sz w:val="20"/>
                <w:szCs w:val="20"/>
              </w:rPr>
            </w:pPr>
            <w:r>
              <w:rPr>
                <w:rFonts w:ascii="Arial" w:hAnsi="Arial" w:cs="Arial"/>
                <w:sz w:val="20"/>
                <w:szCs w:val="20"/>
              </w:rPr>
              <w:t xml:space="preserve">Global Commercial Underwriting is responsible for requesting annual revalidation from the </w:t>
            </w:r>
            <w:r w:rsidR="00FD26FF">
              <w:rPr>
                <w:rFonts w:ascii="Arial" w:hAnsi="Arial" w:cs="Arial"/>
                <w:sz w:val="20"/>
                <w:szCs w:val="20"/>
              </w:rPr>
              <w:t>product towers</w:t>
            </w:r>
            <w:r>
              <w:rPr>
                <w:rFonts w:ascii="Arial" w:hAnsi="Arial" w:cs="Arial"/>
                <w:sz w:val="20"/>
                <w:szCs w:val="20"/>
              </w:rPr>
              <w:t>, and for tracking receipt of resubmission documents.</w:t>
            </w:r>
          </w:p>
          <w:p w14:paraId="12829F43" w14:textId="77777777" w:rsidR="008C4CD2" w:rsidRPr="009E4350" w:rsidRDefault="008C4CD2" w:rsidP="006F0A9F">
            <w:pPr>
              <w:jc w:val="both"/>
              <w:rPr>
                <w:rFonts w:ascii="Arial" w:hAnsi="Arial" w:cs="Arial"/>
                <w:sz w:val="20"/>
                <w:szCs w:val="20"/>
              </w:rPr>
            </w:pPr>
          </w:p>
        </w:tc>
      </w:tr>
      <w:tr w:rsidR="008C4CD2" w:rsidRPr="004A024A" w14:paraId="12829F49" w14:textId="77777777" w:rsidTr="003443A9">
        <w:trPr>
          <w:trHeight w:val="387"/>
        </w:trPr>
        <w:tc>
          <w:tcPr>
            <w:tcW w:w="1800" w:type="dxa"/>
          </w:tcPr>
          <w:p w14:paraId="12829F45" w14:textId="77777777" w:rsidR="008C4CD2" w:rsidRDefault="008C4CD2" w:rsidP="00BD60EB">
            <w:pPr>
              <w:spacing w:before="60" w:after="60"/>
              <w:rPr>
                <w:rFonts w:ascii="Arial" w:eastAsia="Helvetica Neue" w:hAnsi="Arial" w:cs="Arial"/>
                <w:b/>
                <w:bCs/>
                <w:iCs/>
                <w:sz w:val="20"/>
                <w:szCs w:val="20"/>
              </w:rPr>
            </w:pPr>
            <w:r>
              <w:rPr>
                <w:rFonts w:ascii="Arial" w:eastAsia="Helvetica Neue" w:hAnsi="Arial" w:cs="Arial"/>
                <w:b/>
                <w:bCs/>
                <w:iCs/>
                <w:sz w:val="20"/>
                <w:szCs w:val="20"/>
              </w:rPr>
              <w:t>Related Global Commercial Underwriting</w:t>
            </w:r>
          </w:p>
          <w:p w14:paraId="12829F46" w14:textId="77777777" w:rsidR="008C4CD2" w:rsidRPr="00B124A2" w:rsidRDefault="008C4CD2" w:rsidP="00BD60EB">
            <w:pPr>
              <w:spacing w:before="60" w:after="60"/>
              <w:rPr>
                <w:rFonts w:ascii="Arial" w:eastAsia="Helvetica Neue" w:hAnsi="Arial" w:cs="Arial"/>
                <w:b/>
                <w:bCs/>
                <w:iCs/>
                <w:sz w:val="20"/>
                <w:szCs w:val="20"/>
              </w:rPr>
            </w:pPr>
            <w:r>
              <w:rPr>
                <w:rFonts w:ascii="Arial" w:eastAsia="Helvetica Neue" w:hAnsi="Arial" w:cs="Arial"/>
                <w:b/>
                <w:bCs/>
                <w:iCs/>
                <w:sz w:val="20"/>
                <w:szCs w:val="20"/>
              </w:rPr>
              <w:t>Documents</w:t>
            </w:r>
          </w:p>
        </w:tc>
        <w:tc>
          <w:tcPr>
            <w:tcW w:w="8820" w:type="dxa"/>
            <w:gridSpan w:val="2"/>
          </w:tcPr>
          <w:p w14:paraId="12829F47" w14:textId="77777777" w:rsidR="008C4CD2" w:rsidRDefault="008C4CD2" w:rsidP="00EA0A49">
            <w:pPr>
              <w:ind w:left="360"/>
              <w:jc w:val="both"/>
              <w:rPr>
                <w:rFonts w:ascii="Arial" w:hAnsi="Arial" w:cs="Arial"/>
                <w:sz w:val="20"/>
                <w:szCs w:val="20"/>
              </w:rPr>
            </w:pPr>
          </w:p>
          <w:p w14:paraId="12829F48" w14:textId="77777777" w:rsidR="008C4CD2" w:rsidRPr="00EA0A49" w:rsidRDefault="008C4CD2" w:rsidP="00690610">
            <w:pPr>
              <w:jc w:val="both"/>
              <w:rPr>
                <w:rFonts w:ascii="Arial" w:hAnsi="Arial" w:cs="Arial"/>
                <w:sz w:val="20"/>
                <w:szCs w:val="20"/>
              </w:rPr>
            </w:pPr>
            <w:r w:rsidRPr="008C4CD2">
              <w:rPr>
                <w:rFonts w:ascii="Arial" w:hAnsi="Arial" w:cs="Arial"/>
                <w:sz w:val="20"/>
                <w:szCs w:val="20"/>
              </w:rPr>
              <w:t xml:space="preserve">AIG General Insurance – Risk Transfer Policy </w:t>
            </w:r>
          </w:p>
        </w:tc>
      </w:tr>
      <w:tr w:rsidR="0021463D" w:rsidRPr="004A024A" w14:paraId="12829F4C" w14:textId="77777777" w:rsidTr="003443A9">
        <w:trPr>
          <w:trHeight w:val="387"/>
        </w:trPr>
        <w:tc>
          <w:tcPr>
            <w:tcW w:w="1800" w:type="dxa"/>
          </w:tcPr>
          <w:p w14:paraId="12829F4A" w14:textId="77777777" w:rsidR="0021463D" w:rsidRDefault="0021463D" w:rsidP="00BD60EB">
            <w:pPr>
              <w:spacing w:before="60" w:after="60"/>
              <w:rPr>
                <w:rFonts w:ascii="Arial" w:eastAsia="Helvetica Neue" w:hAnsi="Arial" w:cs="Arial"/>
                <w:b/>
                <w:bCs/>
                <w:iCs/>
                <w:sz w:val="20"/>
                <w:szCs w:val="20"/>
              </w:rPr>
            </w:pPr>
            <w:r>
              <w:rPr>
                <w:rFonts w:ascii="Arial" w:eastAsia="Helvetica Neue" w:hAnsi="Arial" w:cs="Arial"/>
                <w:b/>
                <w:bCs/>
                <w:iCs/>
                <w:sz w:val="20"/>
                <w:szCs w:val="20"/>
              </w:rPr>
              <w:t>Implementation</w:t>
            </w:r>
          </w:p>
        </w:tc>
        <w:tc>
          <w:tcPr>
            <w:tcW w:w="8820" w:type="dxa"/>
            <w:gridSpan w:val="2"/>
          </w:tcPr>
          <w:p w14:paraId="12829F4B" w14:textId="77777777" w:rsidR="0021463D" w:rsidRDefault="0021463D" w:rsidP="0021463D">
            <w:pPr>
              <w:jc w:val="both"/>
              <w:rPr>
                <w:rFonts w:ascii="Arial" w:hAnsi="Arial" w:cs="Arial"/>
                <w:sz w:val="20"/>
                <w:szCs w:val="20"/>
              </w:rPr>
            </w:pPr>
            <w:r w:rsidRPr="00E90608">
              <w:rPr>
                <w:rFonts w:ascii="Arial" w:hAnsi="Arial" w:cs="Arial"/>
                <w:sz w:val="20"/>
                <w:szCs w:val="20"/>
              </w:rPr>
              <w:t>Product Towers and Regions are required to develop a plan for implementing this Global Underwriting Standard.  This plan must be agreed with the Global Commercial CUO and set out the projected implementation timeframes and any exemptions that will be made.</w:t>
            </w:r>
          </w:p>
        </w:tc>
      </w:tr>
      <w:tr w:rsidR="008C4CD2" w:rsidRPr="004A024A" w14:paraId="12829F4F" w14:textId="77777777" w:rsidTr="003443A9">
        <w:trPr>
          <w:trHeight w:val="387"/>
        </w:trPr>
        <w:tc>
          <w:tcPr>
            <w:tcW w:w="1800" w:type="dxa"/>
          </w:tcPr>
          <w:p w14:paraId="12829F4D" w14:textId="77777777" w:rsidR="008C4CD2" w:rsidRPr="004A024A" w:rsidRDefault="008C4CD2" w:rsidP="00A137CA">
            <w:pPr>
              <w:spacing w:before="120"/>
              <w:rPr>
                <w:rFonts w:ascii="Arial" w:hAnsi="Arial" w:cs="Arial"/>
                <w:b/>
                <w:bCs/>
                <w:sz w:val="20"/>
                <w:szCs w:val="20"/>
              </w:rPr>
            </w:pPr>
            <w:r w:rsidRPr="004A024A">
              <w:rPr>
                <w:rFonts w:ascii="Arial" w:hAnsi="Arial" w:cs="Arial"/>
                <w:b/>
                <w:bCs/>
                <w:sz w:val="20"/>
                <w:szCs w:val="20"/>
              </w:rPr>
              <w:t>Roles  and Responsibilities</w:t>
            </w:r>
          </w:p>
        </w:tc>
        <w:tc>
          <w:tcPr>
            <w:tcW w:w="8820" w:type="dxa"/>
            <w:gridSpan w:val="2"/>
          </w:tcPr>
          <w:p w14:paraId="12829F4E" w14:textId="77777777" w:rsidR="008C4CD2" w:rsidRPr="00427A89" w:rsidRDefault="008C4CD2" w:rsidP="00A137CA">
            <w:pPr>
              <w:spacing w:before="120"/>
              <w:jc w:val="both"/>
              <w:rPr>
                <w:rFonts w:ascii="Arial" w:hAnsi="Arial" w:cs="Arial"/>
                <w:sz w:val="16"/>
                <w:szCs w:val="16"/>
              </w:rPr>
            </w:pPr>
          </w:p>
        </w:tc>
      </w:tr>
      <w:tr w:rsidR="008C4CD2" w:rsidRPr="004A024A" w14:paraId="12829F54" w14:textId="77777777" w:rsidTr="003443A9">
        <w:trPr>
          <w:trHeight w:val="387"/>
        </w:trPr>
        <w:tc>
          <w:tcPr>
            <w:tcW w:w="1800" w:type="dxa"/>
          </w:tcPr>
          <w:p w14:paraId="12829F50" w14:textId="77777777" w:rsidR="008C4CD2" w:rsidRPr="004A024A" w:rsidRDefault="008C4CD2" w:rsidP="00A137CA">
            <w:pPr>
              <w:spacing w:before="120"/>
              <w:rPr>
                <w:rFonts w:ascii="Arial" w:hAnsi="Arial" w:cs="Arial"/>
                <w:b/>
                <w:bCs/>
                <w:sz w:val="20"/>
                <w:szCs w:val="20"/>
              </w:rPr>
            </w:pPr>
            <w:r>
              <w:rPr>
                <w:rFonts w:ascii="Arial" w:hAnsi="Arial" w:cs="Arial"/>
                <w:bCs/>
                <w:i/>
                <w:iCs/>
                <w:sz w:val="20"/>
                <w:szCs w:val="20"/>
              </w:rPr>
              <w:t>Global Commercial Underwriting Committee</w:t>
            </w:r>
          </w:p>
        </w:tc>
        <w:tc>
          <w:tcPr>
            <w:tcW w:w="8820" w:type="dxa"/>
            <w:gridSpan w:val="2"/>
          </w:tcPr>
          <w:p w14:paraId="12829F51" w14:textId="77777777" w:rsidR="008C4CD2" w:rsidRDefault="008C4CD2" w:rsidP="00A137CA">
            <w:pPr>
              <w:jc w:val="both"/>
              <w:rPr>
                <w:rFonts w:ascii="Arial" w:hAnsi="Arial" w:cs="Arial"/>
                <w:sz w:val="20"/>
                <w:szCs w:val="20"/>
              </w:rPr>
            </w:pPr>
          </w:p>
          <w:p w14:paraId="12829F52" w14:textId="77777777" w:rsidR="008C4CD2" w:rsidRDefault="008C4CD2" w:rsidP="007E02EB">
            <w:pPr>
              <w:jc w:val="both"/>
              <w:rPr>
                <w:rFonts w:ascii="Arial" w:hAnsi="Arial" w:cs="Arial"/>
                <w:sz w:val="20"/>
                <w:szCs w:val="20"/>
              </w:rPr>
            </w:pPr>
            <w:r>
              <w:rPr>
                <w:rFonts w:ascii="Arial" w:hAnsi="Arial" w:cs="Arial"/>
                <w:sz w:val="20"/>
                <w:szCs w:val="20"/>
              </w:rPr>
              <w:t xml:space="preserve">The Global Commercial Underwriting Committee is responsible for establishing and maintaining global underwriting policies and </w:t>
            </w:r>
            <w:r w:rsidR="00E00FD1">
              <w:rPr>
                <w:rFonts w:ascii="Arial" w:hAnsi="Arial" w:cs="Arial"/>
                <w:sz w:val="20"/>
                <w:szCs w:val="20"/>
              </w:rPr>
              <w:t>standards</w:t>
            </w:r>
            <w:r>
              <w:rPr>
                <w:rFonts w:ascii="Arial" w:hAnsi="Arial" w:cs="Arial"/>
                <w:sz w:val="20"/>
                <w:szCs w:val="20"/>
              </w:rPr>
              <w:t>, and is accountable for ensuring that they are consistently and uniformly implemented locally.</w:t>
            </w:r>
          </w:p>
          <w:p w14:paraId="12829F53" w14:textId="77777777" w:rsidR="008C4CD2" w:rsidRPr="00427A89" w:rsidRDefault="008C4CD2" w:rsidP="00A137CA">
            <w:pPr>
              <w:spacing w:before="120"/>
              <w:jc w:val="both"/>
              <w:rPr>
                <w:rFonts w:ascii="Arial" w:hAnsi="Arial" w:cs="Arial"/>
                <w:i/>
                <w:iCs/>
                <w:color w:val="FF0000"/>
                <w:sz w:val="16"/>
                <w:szCs w:val="16"/>
              </w:rPr>
            </w:pPr>
          </w:p>
        </w:tc>
      </w:tr>
      <w:tr w:rsidR="008C4CD2" w:rsidRPr="004A024A" w14:paraId="12829F59" w14:textId="77777777" w:rsidTr="003443A9">
        <w:trPr>
          <w:trHeight w:val="387"/>
        </w:trPr>
        <w:tc>
          <w:tcPr>
            <w:tcW w:w="1800" w:type="dxa"/>
          </w:tcPr>
          <w:p w14:paraId="12829F55" w14:textId="77777777" w:rsidR="008C4CD2" w:rsidRDefault="008C4CD2" w:rsidP="00E00FD1">
            <w:pPr>
              <w:spacing w:before="120"/>
              <w:rPr>
                <w:rFonts w:ascii="Arial" w:hAnsi="Arial" w:cs="Arial"/>
                <w:bCs/>
                <w:i/>
                <w:iCs/>
                <w:sz w:val="20"/>
                <w:szCs w:val="20"/>
              </w:rPr>
            </w:pPr>
            <w:r>
              <w:rPr>
                <w:rFonts w:ascii="Arial" w:eastAsia="Helvetica Neue" w:hAnsi="Arial" w:cs="Arial"/>
                <w:bCs/>
                <w:i/>
                <w:iCs/>
                <w:sz w:val="20"/>
                <w:szCs w:val="20"/>
              </w:rPr>
              <w:t xml:space="preserve">Global Product </w:t>
            </w:r>
            <w:r w:rsidR="00E00FD1">
              <w:rPr>
                <w:rFonts w:ascii="Arial" w:eastAsia="Helvetica Neue" w:hAnsi="Arial" w:cs="Arial"/>
                <w:bCs/>
                <w:i/>
                <w:iCs/>
                <w:sz w:val="20"/>
                <w:szCs w:val="20"/>
              </w:rPr>
              <w:t>Line underwriting managers</w:t>
            </w:r>
          </w:p>
        </w:tc>
        <w:tc>
          <w:tcPr>
            <w:tcW w:w="8820" w:type="dxa"/>
            <w:gridSpan w:val="2"/>
          </w:tcPr>
          <w:p w14:paraId="12829F56" w14:textId="77777777" w:rsidR="008C4CD2" w:rsidRDefault="008C4CD2" w:rsidP="00BD60EB">
            <w:pPr>
              <w:jc w:val="both"/>
              <w:rPr>
                <w:rFonts w:ascii="Arial" w:eastAsia="Helvetica Neue" w:hAnsi="Arial" w:cs="Arial"/>
                <w:sz w:val="20"/>
                <w:szCs w:val="20"/>
              </w:rPr>
            </w:pPr>
          </w:p>
          <w:p w14:paraId="12829F57" w14:textId="77777777" w:rsidR="008C4CD2" w:rsidRDefault="008C4CD2" w:rsidP="009C4802">
            <w:pPr>
              <w:jc w:val="both"/>
              <w:rPr>
                <w:rFonts w:ascii="Arial" w:eastAsia="Helvetica Neue" w:hAnsi="Arial" w:cs="Arial"/>
                <w:sz w:val="20"/>
                <w:szCs w:val="20"/>
              </w:rPr>
            </w:pPr>
            <w:r w:rsidRPr="00C802AB">
              <w:rPr>
                <w:rFonts w:ascii="Arial" w:eastAsia="Helvetica Neue" w:hAnsi="Arial" w:cs="Arial"/>
                <w:sz w:val="20"/>
                <w:szCs w:val="20"/>
              </w:rPr>
              <w:t xml:space="preserve">Global </w:t>
            </w:r>
            <w:r w:rsidR="00E00FD1">
              <w:rPr>
                <w:rFonts w:ascii="Arial" w:eastAsia="Helvetica Neue" w:hAnsi="Arial" w:cs="Arial"/>
                <w:sz w:val="20"/>
                <w:szCs w:val="20"/>
              </w:rPr>
              <w:t xml:space="preserve">Product Line </w:t>
            </w:r>
            <w:r>
              <w:rPr>
                <w:rFonts w:ascii="Arial" w:eastAsia="Helvetica Neue" w:hAnsi="Arial" w:cs="Arial"/>
                <w:sz w:val="20"/>
                <w:szCs w:val="20"/>
              </w:rPr>
              <w:t xml:space="preserve">underwriting managers </w:t>
            </w:r>
            <w:r w:rsidRPr="00C802AB">
              <w:rPr>
                <w:rFonts w:ascii="Arial" w:eastAsia="Helvetica Neue" w:hAnsi="Arial" w:cs="Arial"/>
                <w:sz w:val="20"/>
                <w:szCs w:val="20"/>
              </w:rPr>
              <w:t>are responsible for establishing and maintaini</w:t>
            </w:r>
            <w:r>
              <w:rPr>
                <w:rFonts w:ascii="Arial" w:eastAsia="Helvetica Neue" w:hAnsi="Arial" w:cs="Arial"/>
                <w:sz w:val="20"/>
                <w:szCs w:val="20"/>
              </w:rPr>
              <w:t>ng global product underwriting</w:t>
            </w:r>
            <w:r w:rsidRPr="00C802AB">
              <w:rPr>
                <w:rFonts w:ascii="Arial" w:eastAsia="Helvetica Neue" w:hAnsi="Arial" w:cs="Arial"/>
                <w:sz w:val="20"/>
                <w:szCs w:val="20"/>
              </w:rPr>
              <w:t xml:space="preserve"> </w:t>
            </w:r>
            <w:r>
              <w:rPr>
                <w:rFonts w:ascii="Arial" w:eastAsia="Helvetica Neue" w:hAnsi="Arial" w:cs="Arial"/>
                <w:sz w:val="20"/>
                <w:szCs w:val="20"/>
              </w:rPr>
              <w:t xml:space="preserve">standards, </w:t>
            </w:r>
            <w:r w:rsidRPr="00C802AB">
              <w:rPr>
                <w:rFonts w:ascii="Arial" w:eastAsia="Helvetica Neue" w:hAnsi="Arial" w:cs="Arial"/>
                <w:sz w:val="20"/>
                <w:szCs w:val="20"/>
              </w:rPr>
              <w:t>guidelines</w:t>
            </w:r>
            <w:r>
              <w:rPr>
                <w:rFonts w:ascii="Arial" w:eastAsia="Helvetica Neue" w:hAnsi="Arial" w:cs="Arial"/>
                <w:sz w:val="20"/>
                <w:szCs w:val="20"/>
              </w:rPr>
              <w:t xml:space="preserve">, and procedures, </w:t>
            </w:r>
            <w:r w:rsidRPr="00C802AB">
              <w:rPr>
                <w:rFonts w:ascii="Arial" w:eastAsia="Helvetica Neue" w:hAnsi="Arial" w:cs="Arial"/>
                <w:sz w:val="20"/>
                <w:szCs w:val="20"/>
              </w:rPr>
              <w:t xml:space="preserve">and are accountable for ensuring that </w:t>
            </w:r>
            <w:r>
              <w:rPr>
                <w:rFonts w:ascii="Arial" w:eastAsia="Helvetica Neue" w:hAnsi="Arial" w:cs="Arial"/>
                <w:sz w:val="20"/>
                <w:szCs w:val="20"/>
              </w:rPr>
              <w:t xml:space="preserve">they </w:t>
            </w:r>
            <w:r w:rsidRPr="00C802AB">
              <w:rPr>
                <w:rFonts w:ascii="Arial" w:eastAsia="Helvetica Neue" w:hAnsi="Arial" w:cs="Arial"/>
                <w:sz w:val="20"/>
                <w:szCs w:val="20"/>
              </w:rPr>
              <w:t xml:space="preserve">are consistently and uniformly implemented in their product areas. </w:t>
            </w:r>
          </w:p>
          <w:p w14:paraId="12829F58" w14:textId="77777777" w:rsidR="008C4CD2" w:rsidRPr="00C802AB" w:rsidRDefault="008C4CD2" w:rsidP="00BD60EB">
            <w:pPr>
              <w:jc w:val="both"/>
              <w:rPr>
                <w:rFonts w:ascii="Arial" w:hAnsi="Arial" w:cs="Arial"/>
                <w:sz w:val="20"/>
                <w:szCs w:val="20"/>
              </w:rPr>
            </w:pPr>
          </w:p>
        </w:tc>
      </w:tr>
      <w:tr w:rsidR="008C4CD2" w:rsidRPr="004A024A" w14:paraId="12829F5F" w14:textId="77777777" w:rsidTr="003443A9">
        <w:trPr>
          <w:trHeight w:val="387"/>
        </w:trPr>
        <w:tc>
          <w:tcPr>
            <w:tcW w:w="1800" w:type="dxa"/>
          </w:tcPr>
          <w:p w14:paraId="12829F5A" w14:textId="77777777" w:rsidR="008C4CD2" w:rsidRDefault="008C4CD2" w:rsidP="00BD60EB">
            <w:pPr>
              <w:spacing w:before="120"/>
              <w:rPr>
                <w:rFonts w:ascii="Arial" w:eastAsia="Helvetica Neue" w:hAnsi="Arial" w:cs="Arial"/>
                <w:bCs/>
                <w:i/>
                <w:iCs/>
                <w:sz w:val="20"/>
                <w:szCs w:val="20"/>
              </w:rPr>
            </w:pPr>
            <w:r>
              <w:rPr>
                <w:rFonts w:ascii="Arial" w:eastAsia="Helvetica Neue" w:hAnsi="Arial" w:cs="Arial"/>
                <w:bCs/>
                <w:i/>
                <w:iCs/>
                <w:sz w:val="20"/>
                <w:szCs w:val="20"/>
              </w:rPr>
              <w:t xml:space="preserve">Regional and </w:t>
            </w:r>
            <w:r w:rsidR="00E00FD1">
              <w:rPr>
                <w:rFonts w:ascii="Arial" w:eastAsia="Helvetica Neue" w:hAnsi="Arial" w:cs="Arial"/>
                <w:bCs/>
                <w:i/>
                <w:iCs/>
                <w:sz w:val="20"/>
                <w:szCs w:val="20"/>
              </w:rPr>
              <w:t>local product line managers</w:t>
            </w:r>
          </w:p>
          <w:p w14:paraId="12829F5B" w14:textId="77777777" w:rsidR="008C4CD2" w:rsidRDefault="008C4CD2" w:rsidP="00BD60EB">
            <w:pPr>
              <w:spacing w:before="120"/>
              <w:rPr>
                <w:rFonts w:ascii="Arial" w:eastAsia="Helvetica Neue" w:hAnsi="Arial" w:cs="Arial"/>
                <w:bCs/>
                <w:i/>
                <w:iCs/>
                <w:sz w:val="20"/>
                <w:szCs w:val="20"/>
              </w:rPr>
            </w:pPr>
          </w:p>
        </w:tc>
        <w:tc>
          <w:tcPr>
            <w:tcW w:w="8820" w:type="dxa"/>
            <w:gridSpan w:val="2"/>
          </w:tcPr>
          <w:p w14:paraId="12829F5C" w14:textId="77777777" w:rsidR="008C4CD2" w:rsidRDefault="008C4CD2" w:rsidP="00BD60EB">
            <w:pPr>
              <w:jc w:val="both"/>
              <w:rPr>
                <w:rFonts w:ascii="Arial" w:eastAsia="Helvetica Neue" w:hAnsi="Arial" w:cs="Arial"/>
                <w:sz w:val="20"/>
                <w:szCs w:val="20"/>
              </w:rPr>
            </w:pPr>
          </w:p>
          <w:p w14:paraId="12829F5D" w14:textId="77777777" w:rsidR="008C4CD2" w:rsidRDefault="008C4CD2" w:rsidP="009C4802">
            <w:pPr>
              <w:jc w:val="both"/>
              <w:rPr>
                <w:rFonts w:ascii="Arial" w:eastAsia="Helvetica Neue" w:hAnsi="Arial" w:cs="Arial"/>
                <w:sz w:val="20"/>
                <w:szCs w:val="20"/>
              </w:rPr>
            </w:pPr>
            <w:r w:rsidRPr="00C802AB">
              <w:rPr>
                <w:rFonts w:ascii="Arial" w:eastAsia="Helvetica Neue" w:hAnsi="Arial" w:cs="Arial"/>
                <w:sz w:val="20"/>
                <w:szCs w:val="20"/>
              </w:rPr>
              <w:t xml:space="preserve">Regional and </w:t>
            </w:r>
            <w:r>
              <w:rPr>
                <w:rFonts w:ascii="Arial" w:eastAsia="Helvetica Neue" w:hAnsi="Arial" w:cs="Arial"/>
                <w:sz w:val="20"/>
                <w:szCs w:val="20"/>
              </w:rPr>
              <w:t>l</w:t>
            </w:r>
            <w:r w:rsidRPr="00C802AB">
              <w:rPr>
                <w:rFonts w:ascii="Arial" w:eastAsia="Helvetica Neue" w:hAnsi="Arial" w:cs="Arial"/>
                <w:sz w:val="20"/>
                <w:szCs w:val="20"/>
              </w:rPr>
              <w:t xml:space="preserve">ocal </w:t>
            </w:r>
            <w:r>
              <w:rPr>
                <w:rFonts w:ascii="Arial" w:eastAsia="Helvetica Neue" w:hAnsi="Arial" w:cs="Arial"/>
                <w:sz w:val="20"/>
                <w:szCs w:val="20"/>
              </w:rPr>
              <w:t xml:space="preserve">product </w:t>
            </w:r>
            <w:r w:rsidR="00E00FD1">
              <w:rPr>
                <w:rFonts w:ascii="Arial" w:eastAsia="Helvetica Neue" w:hAnsi="Arial" w:cs="Arial"/>
                <w:sz w:val="20"/>
                <w:szCs w:val="20"/>
              </w:rPr>
              <w:t>m</w:t>
            </w:r>
            <w:r>
              <w:rPr>
                <w:rFonts w:ascii="Arial" w:eastAsia="Helvetica Neue" w:hAnsi="Arial" w:cs="Arial"/>
                <w:sz w:val="20"/>
                <w:szCs w:val="20"/>
              </w:rPr>
              <w:t>anagers are responsible for establishing and maintaining regional/local product underwriting standards, guidelines and procedures, and are accountable for ensuring that they, along with all applicable global and product underwriting standards, guidelines and procedures, are consistently and uniformly implemented in their geographic areas</w:t>
            </w:r>
            <w:r w:rsidRPr="00C802AB">
              <w:rPr>
                <w:rFonts w:ascii="Arial" w:eastAsia="Helvetica Neue" w:hAnsi="Arial" w:cs="Arial"/>
                <w:sz w:val="20"/>
                <w:szCs w:val="20"/>
              </w:rPr>
              <w:t xml:space="preserve">. </w:t>
            </w:r>
          </w:p>
          <w:p w14:paraId="12829F5E" w14:textId="77777777" w:rsidR="008C4CD2" w:rsidRDefault="008C4CD2" w:rsidP="00BD60EB">
            <w:pPr>
              <w:jc w:val="both"/>
              <w:rPr>
                <w:rFonts w:ascii="Arial" w:eastAsia="Helvetica Neue" w:hAnsi="Arial" w:cs="Arial"/>
                <w:sz w:val="20"/>
                <w:szCs w:val="20"/>
              </w:rPr>
            </w:pPr>
          </w:p>
        </w:tc>
      </w:tr>
      <w:tr w:rsidR="008C4CD2" w:rsidRPr="004A024A" w14:paraId="12829F65" w14:textId="77777777" w:rsidTr="003443A9">
        <w:trPr>
          <w:trHeight w:val="387"/>
        </w:trPr>
        <w:tc>
          <w:tcPr>
            <w:tcW w:w="1800" w:type="dxa"/>
          </w:tcPr>
          <w:p w14:paraId="12829F60" w14:textId="77777777" w:rsidR="008C4CD2" w:rsidRPr="0078285B" w:rsidRDefault="008C4CD2" w:rsidP="00BD60EB">
            <w:pPr>
              <w:tabs>
                <w:tab w:val="num" w:pos="1440"/>
              </w:tabs>
              <w:spacing w:line="360" w:lineRule="auto"/>
              <w:jc w:val="both"/>
              <w:rPr>
                <w:rFonts w:ascii="Arial" w:hAnsi="Arial" w:cs="Arial"/>
                <w:i/>
                <w:sz w:val="18"/>
                <w:szCs w:val="18"/>
              </w:rPr>
            </w:pPr>
          </w:p>
          <w:p w14:paraId="12829F61" w14:textId="77777777" w:rsidR="008C4CD2" w:rsidRPr="0078285B" w:rsidRDefault="008C4CD2" w:rsidP="00BD60EB">
            <w:pPr>
              <w:tabs>
                <w:tab w:val="num" w:pos="1440"/>
              </w:tabs>
              <w:spacing w:line="360" w:lineRule="auto"/>
              <w:jc w:val="both"/>
              <w:rPr>
                <w:rFonts w:ascii="Arial" w:hAnsi="Arial" w:cs="Arial"/>
                <w:i/>
                <w:sz w:val="20"/>
                <w:szCs w:val="20"/>
              </w:rPr>
            </w:pPr>
            <w:r w:rsidRPr="0078285B">
              <w:rPr>
                <w:rFonts w:ascii="Arial" w:hAnsi="Arial" w:cs="Arial"/>
                <w:i/>
                <w:sz w:val="20"/>
                <w:szCs w:val="20"/>
              </w:rPr>
              <w:t xml:space="preserve">All Employees </w:t>
            </w:r>
          </w:p>
          <w:p w14:paraId="12829F62" w14:textId="77777777" w:rsidR="008C4CD2" w:rsidRPr="0078285B" w:rsidRDefault="008C4CD2" w:rsidP="00BD60EB">
            <w:pPr>
              <w:spacing w:before="120"/>
              <w:rPr>
                <w:rFonts w:ascii="Arial" w:eastAsia="Helvetica Neue" w:hAnsi="Arial" w:cs="Arial"/>
                <w:bCs/>
                <w:i/>
                <w:iCs/>
                <w:sz w:val="20"/>
                <w:szCs w:val="20"/>
              </w:rPr>
            </w:pPr>
          </w:p>
        </w:tc>
        <w:tc>
          <w:tcPr>
            <w:tcW w:w="8820" w:type="dxa"/>
            <w:gridSpan w:val="2"/>
          </w:tcPr>
          <w:p w14:paraId="12829F63" w14:textId="77777777" w:rsidR="008C4CD2" w:rsidRDefault="008C4CD2" w:rsidP="00BD60EB">
            <w:pPr>
              <w:jc w:val="both"/>
              <w:rPr>
                <w:rFonts w:ascii="Arial" w:eastAsia="Helvetica Neue" w:hAnsi="Arial" w:cs="Arial"/>
                <w:sz w:val="20"/>
                <w:szCs w:val="20"/>
              </w:rPr>
            </w:pPr>
          </w:p>
          <w:p w14:paraId="12829F64" w14:textId="77777777" w:rsidR="008C4CD2" w:rsidRDefault="008C4CD2" w:rsidP="00BD60EB">
            <w:pPr>
              <w:jc w:val="both"/>
              <w:rPr>
                <w:rFonts w:ascii="Arial" w:eastAsia="Helvetica Neue" w:hAnsi="Arial" w:cs="Arial"/>
                <w:sz w:val="20"/>
                <w:szCs w:val="20"/>
              </w:rPr>
            </w:pPr>
            <w:r w:rsidRPr="0078285B">
              <w:rPr>
                <w:rFonts w:ascii="Arial" w:hAnsi="Arial" w:cs="Arial"/>
                <w:sz w:val="20"/>
                <w:szCs w:val="20"/>
              </w:rPr>
              <w:t xml:space="preserve">All employees </w:t>
            </w:r>
            <w:r>
              <w:rPr>
                <w:rFonts w:ascii="Arial" w:hAnsi="Arial" w:cs="Arial"/>
                <w:sz w:val="20"/>
                <w:szCs w:val="20"/>
              </w:rPr>
              <w:t>performing functions subject to this Standard must adhere to its principles, as well as all other applicable standards, g</w:t>
            </w:r>
            <w:r w:rsidRPr="0078285B">
              <w:rPr>
                <w:rFonts w:ascii="Arial" w:hAnsi="Arial" w:cs="Arial"/>
                <w:sz w:val="20"/>
                <w:szCs w:val="20"/>
              </w:rPr>
              <w:t>uidelines</w:t>
            </w:r>
            <w:r>
              <w:rPr>
                <w:rFonts w:ascii="Arial" w:hAnsi="Arial" w:cs="Arial"/>
                <w:sz w:val="20"/>
                <w:szCs w:val="20"/>
              </w:rPr>
              <w:t xml:space="preserve"> and procedures.</w:t>
            </w:r>
          </w:p>
        </w:tc>
      </w:tr>
      <w:tr w:rsidR="008C4CD2" w:rsidRPr="004A024A" w14:paraId="12829F68" w14:textId="77777777" w:rsidTr="003443A9">
        <w:tc>
          <w:tcPr>
            <w:tcW w:w="1800" w:type="dxa"/>
          </w:tcPr>
          <w:p w14:paraId="12829F66" w14:textId="77777777" w:rsidR="008C4CD2" w:rsidRPr="006C4F52" w:rsidRDefault="008C4CD2" w:rsidP="00BD60EB">
            <w:pPr>
              <w:spacing w:before="60" w:after="60"/>
              <w:rPr>
                <w:rFonts w:ascii="Arial" w:hAnsi="Arial" w:cs="Arial"/>
                <w:b/>
                <w:sz w:val="20"/>
                <w:szCs w:val="20"/>
              </w:rPr>
            </w:pPr>
          </w:p>
        </w:tc>
        <w:tc>
          <w:tcPr>
            <w:tcW w:w="8820" w:type="dxa"/>
            <w:gridSpan w:val="2"/>
          </w:tcPr>
          <w:p w14:paraId="12829F67" w14:textId="77777777" w:rsidR="008C4CD2" w:rsidRPr="006C6720" w:rsidRDefault="008C4CD2" w:rsidP="00BD60EB">
            <w:pPr>
              <w:autoSpaceDE w:val="0"/>
              <w:autoSpaceDN w:val="0"/>
              <w:adjustRightInd w:val="0"/>
              <w:jc w:val="both"/>
              <w:rPr>
                <w:rFonts w:ascii="Arial" w:hAnsi="Arial" w:cs="Arial"/>
                <w:sz w:val="20"/>
                <w:szCs w:val="20"/>
              </w:rPr>
            </w:pPr>
          </w:p>
        </w:tc>
      </w:tr>
      <w:tr w:rsidR="008C4CD2" w:rsidRPr="004A024A" w14:paraId="12829F6D" w14:textId="77777777" w:rsidTr="006C6720">
        <w:trPr>
          <w:trHeight w:val="900"/>
        </w:trPr>
        <w:tc>
          <w:tcPr>
            <w:tcW w:w="1800" w:type="dxa"/>
          </w:tcPr>
          <w:p w14:paraId="12829F69" w14:textId="77777777" w:rsidR="008C4CD2" w:rsidRPr="006C4F52" w:rsidRDefault="008C4CD2" w:rsidP="00BD60EB">
            <w:pPr>
              <w:spacing w:before="60" w:after="60"/>
              <w:rPr>
                <w:rFonts w:ascii="Arial" w:hAnsi="Arial" w:cs="Arial"/>
                <w:b/>
                <w:sz w:val="20"/>
                <w:szCs w:val="20"/>
              </w:rPr>
            </w:pPr>
            <w:r w:rsidRPr="006C4F52">
              <w:rPr>
                <w:rFonts w:ascii="Arial" w:hAnsi="Arial" w:cs="Arial"/>
                <w:b/>
                <w:sz w:val="20"/>
                <w:szCs w:val="20"/>
              </w:rPr>
              <w:t>Country Specific Requirements</w:t>
            </w:r>
          </w:p>
        </w:tc>
        <w:tc>
          <w:tcPr>
            <w:tcW w:w="8820" w:type="dxa"/>
            <w:gridSpan w:val="2"/>
          </w:tcPr>
          <w:p w14:paraId="12829F6A" w14:textId="77777777" w:rsidR="008C4CD2" w:rsidRDefault="008C4CD2" w:rsidP="00BD60EB">
            <w:pPr>
              <w:autoSpaceDE w:val="0"/>
              <w:autoSpaceDN w:val="0"/>
              <w:adjustRightInd w:val="0"/>
              <w:rPr>
                <w:rFonts w:ascii="Arial" w:eastAsia="Helvetica Neue" w:hAnsi="Arial" w:cs="Arial"/>
                <w:color w:val="FF0000"/>
                <w:sz w:val="16"/>
                <w:szCs w:val="16"/>
              </w:rPr>
            </w:pPr>
          </w:p>
          <w:p w14:paraId="12829F6B" w14:textId="77777777" w:rsidR="008C4CD2" w:rsidRPr="009E4350" w:rsidRDefault="008C4CD2" w:rsidP="00BD60EB">
            <w:pPr>
              <w:jc w:val="both"/>
              <w:rPr>
                <w:rFonts w:ascii="Arial" w:hAnsi="Arial" w:cs="Arial"/>
                <w:sz w:val="20"/>
                <w:szCs w:val="20"/>
              </w:rPr>
            </w:pPr>
            <w:r>
              <w:rPr>
                <w:rFonts w:ascii="Arial" w:eastAsia="Helvetica Neue" w:hAnsi="Arial" w:cs="Arial"/>
                <w:color w:val="000000"/>
                <w:sz w:val="20"/>
                <w:szCs w:val="20"/>
              </w:rPr>
              <w:t>Standards and Guidelines will</w:t>
            </w:r>
            <w:r w:rsidRPr="00B124A2">
              <w:rPr>
                <w:rFonts w:ascii="Arial" w:eastAsia="Helvetica Neue" w:hAnsi="Arial" w:cs="Arial"/>
                <w:color w:val="000000"/>
                <w:sz w:val="20"/>
                <w:szCs w:val="20"/>
              </w:rPr>
              <w:t xml:space="preserve"> be written and agreed wher</w:t>
            </w:r>
            <w:r>
              <w:rPr>
                <w:rFonts w:ascii="Arial" w:eastAsia="Helvetica Neue" w:hAnsi="Arial" w:cs="Arial"/>
                <w:color w:val="000000"/>
                <w:sz w:val="20"/>
                <w:szCs w:val="20"/>
              </w:rPr>
              <w:t>e there is the need for</w:t>
            </w:r>
            <w:r w:rsidRPr="00B124A2">
              <w:rPr>
                <w:rFonts w:ascii="Arial" w:eastAsia="Helvetica Neue" w:hAnsi="Arial" w:cs="Arial"/>
                <w:color w:val="000000"/>
                <w:sz w:val="20"/>
                <w:szCs w:val="20"/>
              </w:rPr>
              <w:t xml:space="preserve"> </w:t>
            </w:r>
            <w:r>
              <w:rPr>
                <w:rFonts w:ascii="Arial" w:eastAsia="Helvetica Neue" w:hAnsi="Arial" w:cs="Arial"/>
                <w:color w:val="000000"/>
                <w:sz w:val="20"/>
                <w:szCs w:val="20"/>
              </w:rPr>
              <w:t xml:space="preserve">distinct local clarification or to </w:t>
            </w:r>
            <w:r w:rsidRPr="00B124A2">
              <w:rPr>
                <w:rFonts w:ascii="Arial" w:eastAsia="Helvetica Neue" w:hAnsi="Arial" w:cs="Arial"/>
                <w:color w:val="000000"/>
                <w:sz w:val="20"/>
                <w:szCs w:val="20"/>
              </w:rPr>
              <w:t>comply with local rules and regulations</w:t>
            </w:r>
            <w:r>
              <w:rPr>
                <w:rFonts w:ascii="Arial" w:eastAsia="Helvetica Neue" w:hAnsi="Arial" w:cs="Arial"/>
                <w:color w:val="000000"/>
                <w:sz w:val="20"/>
                <w:szCs w:val="20"/>
              </w:rPr>
              <w:t xml:space="preserve">. </w:t>
            </w:r>
            <w:r>
              <w:rPr>
                <w:rFonts w:ascii="Arial" w:hAnsi="Arial" w:cs="Arial"/>
                <w:sz w:val="20"/>
                <w:szCs w:val="20"/>
              </w:rPr>
              <w:t>Any conflict between Global and locally required standards must be identified, documented, escalated and addressed in accordance with applicable AIG corporate policies.</w:t>
            </w:r>
          </w:p>
          <w:p w14:paraId="12829F6C" w14:textId="77777777" w:rsidR="008C4CD2" w:rsidRPr="009578B0" w:rsidRDefault="008C4CD2" w:rsidP="00BD60EB">
            <w:pPr>
              <w:autoSpaceDE w:val="0"/>
              <w:autoSpaceDN w:val="0"/>
              <w:adjustRightInd w:val="0"/>
              <w:rPr>
                <w:rFonts w:ascii="Arial" w:eastAsia="Helvetica Neue" w:hAnsi="Arial" w:cs="Arial"/>
                <w:color w:val="FF0000"/>
                <w:sz w:val="16"/>
                <w:szCs w:val="16"/>
              </w:rPr>
            </w:pPr>
          </w:p>
        </w:tc>
      </w:tr>
      <w:tr w:rsidR="008C4CD2" w:rsidRPr="004A024A" w14:paraId="12829F72" w14:textId="77777777" w:rsidTr="000325BF">
        <w:trPr>
          <w:trHeight w:val="810"/>
        </w:trPr>
        <w:tc>
          <w:tcPr>
            <w:tcW w:w="1800" w:type="dxa"/>
          </w:tcPr>
          <w:p w14:paraId="12829F6E" w14:textId="77777777" w:rsidR="008C4CD2" w:rsidRPr="004A024A" w:rsidRDefault="008C4CD2" w:rsidP="00BD60EB">
            <w:pPr>
              <w:spacing w:before="60" w:after="60"/>
              <w:rPr>
                <w:rFonts w:ascii="Arial" w:hAnsi="Arial" w:cs="Arial"/>
                <w:b/>
                <w:sz w:val="20"/>
                <w:szCs w:val="20"/>
              </w:rPr>
            </w:pPr>
            <w:r>
              <w:rPr>
                <w:rFonts w:ascii="Arial" w:hAnsi="Arial" w:cs="Arial"/>
                <w:b/>
                <w:sz w:val="20"/>
                <w:szCs w:val="20"/>
              </w:rPr>
              <w:t xml:space="preserve">Reference to </w:t>
            </w:r>
            <w:r w:rsidRPr="004A024A">
              <w:rPr>
                <w:rFonts w:ascii="Arial" w:hAnsi="Arial" w:cs="Arial"/>
                <w:b/>
                <w:sz w:val="20"/>
                <w:szCs w:val="20"/>
              </w:rPr>
              <w:t>Corpora</w:t>
            </w:r>
            <w:r>
              <w:rPr>
                <w:rFonts w:ascii="Arial" w:hAnsi="Arial" w:cs="Arial"/>
                <w:b/>
                <w:sz w:val="20"/>
                <w:szCs w:val="20"/>
              </w:rPr>
              <w:t>te Policies</w:t>
            </w:r>
          </w:p>
        </w:tc>
        <w:tc>
          <w:tcPr>
            <w:tcW w:w="8820" w:type="dxa"/>
            <w:gridSpan w:val="2"/>
          </w:tcPr>
          <w:p w14:paraId="12829F6F" w14:textId="77777777" w:rsidR="008C4CD2" w:rsidRDefault="008C4CD2" w:rsidP="00BD60EB">
            <w:pPr>
              <w:jc w:val="both"/>
              <w:rPr>
                <w:rFonts w:ascii="Arial" w:eastAsia="Helvetica Neue" w:hAnsi="Arial" w:cs="Arial"/>
                <w:color w:val="000000"/>
                <w:sz w:val="20"/>
                <w:szCs w:val="20"/>
              </w:rPr>
            </w:pPr>
          </w:p>
          <w:p w14:paraId="12829F70" w14:textId="77777777" w:rsidR="008C4CD2" w:rsidRDefault="008C4CD2" w:rsidP="00BD60EB">
            <w:pPr>
              <w:jc w:val="both"/>
              <w:rPr>
                <w:rFonts w:ascii="Arial" w:eastAsia="Helvetica Neue" w:hAnsi="Arial" w:cs="Arial"/>
                <w:color w:val="000000"/>
                <w:sz w:val="20"/>
                <w:szCs w:val="20"/>
              </w:rPr>
            </w:pPr>
            <w:r>
              <w:rPr>
                <w:rFonts w:ascii="Arial" w:eastAsia="Helvetica Neue" w:hAnsi="Arial" w:cs="Arial"/>
                <w:color w:val="000000"/>
                <w:sz w:val="20"/>
                <w:szCs w:val="20"/>
              </w:rPr>
              <w:t>This Global Commercial Underwriting Standard document is subject to adherence to all relevant AIG Corporate Policies.</w:t>
            </w:r>
          </w:p>
          <w:p w14:paraId="12829F71" w14:textId="77777777" w:rsidR="008C4CD2" w:rsidRPr="0024238D" w:rsidRDefault="008C4CD2" w:rsidP="00BD60EB">
            <w:pPr>
              <w:jc w:val="both"/>
              <w:rPr>
                <w:rFonts w:ascii="Arial" w:eastAsia="Helvetica Neue" w:hAnsi="Arial" w:cs="Arial"/>
                <w:color w:val="000000"/>
                <w:sz w:val="20"/>
                <w:szCs w:val="20"/>
              </w:rPr>
            </w:pPr>
          </w:p>
        </w:tc>
      </w:tr>
      <w:tr w:rsidR="008C4CD2" w:rsidRPr="004A024A" w14:paraId="12829F75" w14:textId="77777777" w:rsidTr="00163283">
        <w:trPr>
          <w:trHeight w:val="603"/>
        </w:trPr>
        <w:tc>
          <w:tcPr>
            <w:tcW w:w="1800" w:type="dxa"/>
          </w:tcPr>
          <w:p w14:paraId="12829F73" w14:textId="77777777" w:rsidR="008C4CD2" w:rsidRPr="004A024A" w:rsidRDefault="008C4CD2" w:rsidP="003B4A02">
            <w:pPr>
              <w:spacing w:before="60" w:after="60"/>
              <w:rPr>
                <w:rFonts w:ascii="Arial" w:hAnsi="Arial" w:cs="Arial"/>
                <w:b/>
                <w:sz w:val="20"/>
                <w:szCs w:val="20"/>
              </w:rPr>
            </w:pPr>
            <w:r w:rsidRPr="004A024A">
              <w:rPr>
                <w:rFonts w:ascii="Arial" w:hAnsi="Arial" w:cs="Arial"/>
                <w:b/>
                <w:sz w:val="20"/>
                <w:szCs w:val="20"/>
              </w:rPr>
              <w:t>Updates</w:t>
            </w:r>
          </w:p>
        </w:tc>
        <w:tc>
          <w:tcPr>
            <w:tcW w:w="8820" w:type="dxa"/>
            <w:gridSpan w:val="2"/>
            <w:shd w:val="clear" w:color="auto" w:fill="auto"/>
          </w:tcPr>
          <w:p w14:paraId="6DA6DA05" w14:textId="77777777" w:rsidR="008C4CD2" w:rsidRDefault="008C4CD2">
            <w:pPr>
              <w:rPr>
                <w:rFonts w:ascii="Arial" w:hAnsi="Arial" w:cs="Arial"/>
                <w:i/>
                <w:iCs/>
                <w:color w:val="FF0000"/>
                <w:sz w:val="16"/>
                <w:szCs w:val="16"/>
              </w:rPr>
            </w:pPr>
            <w:r w:rsidRPr="00427A89">
              <w:rPr>
                <w:rFonts w:ascii="Arial" w:hAnsi="Arial" w:cs="Arial"/>
                <w:i/>
                <w:iCs/>
                <w:color w:val="FF0000"/>
                <w:sz w:val="16"/>
                <w:szCs w:val="16"/>
              </w:rPr>
              <w:t>History o</w:t>
            </w:r>
            <w:r>
              <w:rPr>
                <w:rFonts w:ascii="Arial" w:hAnsi="Arial" w:cs="Arial"/>
                <w:i/>
                <w:iCs/>
                <w:color w:val="FF0000"/>
                <w:sz w:val="16"/>
                <w:szCs w:val="16"/>
              </w:rPr>
              <w:t>f updates to the Underwriting Document</w:t>
            </w:r>
          </w:p>
          <w:p w14:paraId="12829F74" w14:textId="088C6D46" w:rsidR="00DF6B20" w:rsidRPr="00427A89" w:rsidRDefault="00DF6B20">
            <w:pPr>
              <w:rPr>
                <w:rFonts w:ascii="Arial" w:hAnsi="Arial" w:cs="Arial"/>
                <w:i/>
                <w:iCs/>
                <w:color w:val="FF0000"/>
                <w:sz w:val="16"/>
                <w:szCs w:val="16"/>
              </w:rPr>
            </w:pPr>
            <w:r>
              <w:rPr>
                <w:rFonts w:ascii="Arial" w:hAnsi="Arial" w:cs="Arial"/>
                <w:i/>
                <w:iCs/>
                <w:color w:val="FF0000"/>
                <w:sz w:val="16"/>
                <w:szCs w:val="16"/>
              </w:rPr>
              <w:t xml:space="preserve">September 29, 2015: Template Updated. </w:t>
            </w:r>
          </w:p>
        </w:tc>
      </w:tr>
    </w:tbl>
    <w:p w14:paraId="12829F76" w14:textId="77777777" w:rsidR="00871599" w:rsidRPr="00953A18" w:rsidRDefault="00871599" w:rsidP="00281BDC"/>
    <w:sectPr w:rsidR="00871599" w:rsidRPr="00953A18" w:rsidSect="008A3BE6">
      <w:headerReference w:type="default" r:id="rId12"/>
      <w:footerReference w:type="default" r:id="rId13"/>
      <w:pgSz w:w="12240" w:h="15840"/>
      <w:pgMar w:top="1125"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829F7F" w14:textId="77777777" w:rsidR="00FD26FF" w:rsidRDefault="00FD26FF">
      <w:r>
        <w:separator/>
      </w:r>
    </w:p>
  </w:endnote>
  <w:endnote w:type="continuationSeparator" w:id="0">
    <w:p w14:paraId="12829F80" w14:textId="77777777" w:rsidR="00FD26FF" w:rsidRDefault="00FD2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29F81" w14:textId="77777777" w:rsidR="00FD26FF" w:rsidRDefault="00FD26FF" w:rsidP="00052C27">
    <w:pPr>
      <w:pStyle w:val="BodyTextIndent3"/>
      <w:pBdr>
        <w:left w:val="single" w:sz="8" w:space="18" w:color="auto"/>
      </w:pBdr>
      <w:ind w:left="0" w:right="-1260"/>
      <w:rPr>
        <w:rStyle w:val="PageNumber"/>
        <w:rFonts w:ascii="Arial" w:eastAsia="MS Mincho" w:hAnsi="Arial" w:cs="Arial"/>
        <w:lang w:eastAsia="ja-JP"/>
      </w:rPr>
    </w:pPr>
    <w:r w:rsidRPr="000E4826">
      <w:rPr>
        <w:rStyle w:val="PageNumber"/>
        <w:rFonts w:ascii="Arial" w:eastAsia="MS Mincho" w:hAnsi="Arial" w:cs="Arial"/>
        <w:lang w:eastAsia="ja-JP"/>
      </w:rPr>
      <w:t xml:space="preserve">Page </w:t>
    </w:r>
    <w:r w:rsidR="00334D87"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PAGE </w:instrText>
    </w:r>
    <w:r w:rsidR="00334D87" w:rsidRPr="000E4826">
      <w:rPr>
        <w:rStyle w:val="PageNumber"/>
        <w:rFonts w:ascii="Arial" w:eastAsia="MS Mincho" w:hAnsi="Arial" w:cs="Arial"/>
        <w:lang w:eastAsia="ja-JP"/>
      </w:rPr>
      <w:fldChar w:fldCharType="separate"/>
    </w:r>
    <w:r w:rsidR="002C47E8">
      <w:rPr>
        <w:rStyle w:val="PageNumber"/>
        <w:rFonts w:ascii="Arial" w:eastAsia="MS Mincho" w:hAnsi="Arial" w:cs="Arial"/>
        <w:noProof/>
        <w:lang w:eastAsia="ja-JP"/>
      </w:rPr>
      <w:t>1</w:t>
    </w:r>
    <w:r w:rsidR="00334D87" w:rsidRPr="000E4826">
      <w:rPr>
        <w:rStyle w:val="PageNumber"/>
        <w:rFonts w:ascii="Arial" w:eastAsia="MS Mincho" w:hAnsi="Arial" w:cs="Arial"/>
        <w:lang w:eastAsia="ja-JP"/>
      </w:rPr>
      <w:fldChar w:fldCharType="end"/>
    </w:r>
    <w:r w:rsidRPr="000E4826">
      <w:rPr>
        <w:rStyle w:val="PageNumber"/>
        <w:rFonts w:ascii="Arial" w:eastAsia="MS Mincho" w:hAnsi="Arial" w:cs="Arial"/>
        <w:lang w:eastAsia="ja-JP"/>
      </w:rPr>
      <w:t xml:space="preserve"> of </w:t>
    </w:r>
    <w:r w:rsidR="00334D87"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NUMPAGES </w:instrText>
    </w:r>
    <w:r w:rsidR="00334D87" w:rsidRPr="000E4826">
      <w:rPr>
        <w:rStyle w:val="PageNumber"/>
        <w:rFonts w:ascii="Arial" w:eastAsia="MS Mincho" w:hAnsi="Arial" w:cs="Arial"/>
        <w:lang w:eastAsia="ja-JP"/>
      </w:rPr>
      <w:fldChar w:fldCharType="separate"/>
    </w:r>
    <w:r w:rsidR="002C47E8">
      <w:rPr>
        <w:rStyle w:val="PageNumber"/>
        <w:rFonts w:ascii="Arial" w:eastAsia="MS Mincho" w:hAnsi="Arial" w:cs="Arial"/>
        <w:noProof/>
        <w:lang w:eastAsia="ja-JP"/>
      </w:rPr>
      <w:t>4</w:t>
    </w:r>
    <w:r w:rsidR="00334D87" w:rsidRPr="000E4826">
      <w:rPr>
        <w:rStyle w:val="PageNumber"/>
        <w:rFonts w:ascii="Arial" w:eastAsia="MS Mincho" w:hAnsi="Arial" w:cs="Arial"/>
        <w:lang w:eastAsia="ja-JP"/>
      </w:rPr>
      <w:fldChar w:fldCharType="end"/>
    </w:r>
  </w:p>
  <w:p w14:paraId="12829F82" w14:textId="77777777" w:rsidR="00FD26FF" w:rsidRPr="00871599" w:rsidRDefault="00FD26FF"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Pr>
        <w:rFonts w:ascii="Arial Narrow" w:hAnsi="Arial Narrow"/>
      </w:rPr>
      <w:t>AIG</w:t>
    </w:r>
    <w:r w:rsidRPr="00871599">
      <w:rPr>
        <w:rFonts w:ascii="Arial Narrow" w:hAnsi="Arial Narrow"/>
      </w:rPr>
      <w:t xml:space="preserve"> and is intended for internal use only by </w:t>
    </w:r>
    <w:r>
      <w:rPr>
        <w:rFonts w:ascii="Arial Narrow" w:hAnsi="Arial Narrow"/>
      </w:rPr>
      <w:t>AIG</w:t>
    </w:r>
    <w:r w:rsidRPr="00871599">
      <w:rPr>
        <w:rFonts w:ascii="Arial Narrow" w:hAnsi="Arial Narrow"/>
      </w:rPr>
      <w:t xml:space="preserve"> 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Pr>
        <w:rFonts w:ascii="Arial Narrow" w:hAnsi="Arial Narrow"/>
      </w:rPr>
      <w:t>AIG</w:t>
    </w:r>
    <w:r w:rsidRPr="00871599">
      <w:rPr>
        <w:rFonts w:ascii="Arial Narrow" w:hAnsi="Arial Narrow"/>
      </w:rPr>
      <w:t xml:space="preserve"> is strictly prohibited.</w:t>
    </w:r>
    <w:r w:rsidRPr="00871599">
      <w:rPr>
        <w:rFonts w:ascii="Arial Narrow" w:hAnsi="Arial Narrow"/>
      </w:rPr>
      <w:br/>
      <w:t>Copyright © 201</w:t>
    </w:r>
    <w:r>
      <w:rPr>
        <w:rFonts w:ascii="Arial Narrow" w:hAnsi="Arial Narrow"/>
      </w:rPr>
      <w:t>3 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29F7D" w14:textId="77777777" w:rsidR="00FD26FF" w:rsidRDefault="00FD26FF">
      <w:r>
        <w:separator/>
      </w:r>
    </w:p>
  </w:footnote>
  <w:footnote w:type="continuationSeparator" w:id="0">
    <w:p w14:paraId="12829F7E" w14:textId="77777777" w:rsidR="00FD26FF" w:rsidRDefault="00FD2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4140"/>
      <w:gridCol w:w="6480"/>
    </w:tblGrid>
    <w:tr w:rsidR="008A3BE6" w14:paraId="1137B03F" w14:textId="77777777" w:rsidTr="00DF6B20">
      <w:trPr>
        <w:trHeight w:val="288"/>
      </w:trPr>
      <w:tc>
        <w:tcPr>
          <w:tcW w:w="4140" w:type="dxa"/>
        </w:tcPr>
        <w:p w14:paraId="09F347C2" w14:textId="20AB728C" w:rsidR="008A3BE6" w:rsidRPr="008B153A" w:rsidRDefault="008A3BE6" w:rsidP="00DF6B20">
          <w:pPr>
            <w:pStyle w:val="Header"/>
            <w:rPr>
              <w:rFonts w:ascii="Cambria" w:hAnsi="Cambria"/>
              <w:sz w:val="36"/>
              <w:szCs w:val="36"/>
            </w:rPr>
          </w:pPr>
          <w:r>
            <w:rPr>
              <w:noProof/>
            </w:rPr>
            <w:drawing>
              <wp:inline distT="0" distB="0" distL="0" distR="0" wp14:anchorId="338ED7A3" wp14:editId="3C158566">
                <wp:extent cx="1352550" cy="733425"/>
                <wp:effectExtent l="0" t="0" r="0" b="0"/>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6480" w:type="dxa"/>
          <w:vAlign w:val="bottom"/>
        </w:tcPr>
        <w:p w14:paraId="55149226" w14:textId="3F9BA282" w:rsidR="008A3BE6" w:rsidRPr="00DF6B20" w:rsidRDefault="008A3BE6" w:rsidP="00DF6B20">
          <w:pPr>
            <w:pStyle w:val="Header"/>
            <w:ind w:hanging="115"/>
            <w:jc w:val="right"/>
            <w:rPr>
              <w:rFonts w:ascii="AIG Futura" w:hAnsi="AIG Futura"/>
              <w:b/>
              <w:bCs/>
              <w:smallCaps/>
              <w:color w:val="000000" w:themeColor="text1"/>
              <w:sz w:val="44"/>
              <w:szCs w:val="44"/>
            </w:rPr>
          </w:pPr>
          <w:r w:rsidRPr="00DF6B20">
            <w:rPr>
              <w:rFonts w:ascii="AIG Futura" w:hAnsi="AIG Futura"/>
              <w:b/>
              <w:bCs/>
              <w:smallCaps/>
              <w:color w:val="000000" w:themeColor="text1"/>
              <w:sz w:val="44"/>
              <w:szCs w:val="44"/>
            </w:rPr>
            <w:t>Risk Transfer Safe Harbors</w:t>
          </w:r>
        </w:p>
      </w:tc>
    </w:tr>
  </w:tbl>
  <w:p w14:paraId="554AC3E8" w14:textId="77777777" w:rsidR="008A3BE6" w:rsidRDefault="008A3BE6" w:rsidP="008A3B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F56F48"/>
    <w:multiLevelType w:val="hybridMultilevel"/>
    <w:tmpl w:val="D114A676"/>
    <w:lvl w:ilvl="0" w:tplc="9E7C82E0">
      <w:start w:val="1"/>
      <w:numFmt w:val="decimal"/>
      <w:lvlText w:val="%1."/>
      <w:lvlJc w:val="left"/>
      <w:pPr>
        <w:tabs>
          <w:tab w:val="num" w:pos="720"/>
        </w:tabs>
        <w:ind w:left="720" w:hanging="360"/>
      </w:pPr>
    </w:lvl>
    <w:lvl w:ilvl="1" w:tplc="618219B6" w:tentative="1">
      <w:start w:val="1"/>
      <w:numFmt w:val="decimal"/>
      <w:lvlText w:val="%2."/>
      <w:lvlJc w:val="left"/>
      <w:pPr>
        <w:tabs>
          <w:tab w:val="num" w:pos="1440"/>
        </w:tabs>
        <w:ind w:left="1440" w:hanging="360"/>
      </w:pPr>
    </w:lvl>
    <w:lvl w:ilvl="2" w:tplc="E3DE7BF4" w:tentative="1">
      <w:start w:val="1"/>
      <w:numFmt w:val="decimal"/>
      <w:lvlText w:val="%3."/>
      <w:lvlJc w:val="left"/>
      <w:pPr>
        <w:tabs>
          <w:tab w:val="num" w:pos="2160"/>
        </w:tabs>
        <w:ind w:left="2160" w:hanging="360"/>
      </w:pPr>
    </w:lvl>
    <w:lvl w:ilvl="3" w:tplc="DB562C56" w:tentative="1">
      <w:start w:val="1"/>
      <w:numFmt w:val="decimal"/>
      <w:lvlText w:val="%4."/>
      <w:lvlJc w:val="left"/>
      <w:pPr>
        <w:tabs>
          <w:tab w:val="num" w:pos="2880"/>
        </w:tabs>
        <w:ind w:left="2880" w:hanging="360"/>
      </w:pPr>
    </w:lvl>
    <w:lvl w:ilvl="4" w:tplc="3F94617A" w:tentative="1">
      <w:start w:val="1"/>
      <w:numFmt w:val="decimal"/>
      <w:lvlText w:val="%5."/>
      <w:lvlJc w:val="left"/>
      <w:pPr>
        <w:tabs>
          <w:tab w:val="num" w:pos="3600"/>
        </w:tabs>
        <w:ind w:left="3600" w:hanging="360"/>
      </w:pPr>
    </w:lvl>
    <w:lvl w:ilvl="5" w:tplc="F7868408" w:tentative="1">
      <w:start w:val="1"/>
      <w:numFmt w:val="decimal"/>
      <w:lvlText w:val="%6."/>
      <w:lvlJc w:val="left"/>
      <w:pPr>
        <w:tabs>
          <w:tab w:val="num" w:pos="4320"/>
        </w:tabs>
        <w:ind w:left="4320" w:hanging="360"/>
      </w:pPr>
    </w:lvl>
    <w:lvl w:ilvl="6" w:tplc="A52E47A6" w:tentative="1">
      <w:start w:val="1"/>
      <w:numFmt w:val="decimal"/>
      <w:lvlText w:val="%7."/>
      <w:lvlJc w:val="left"/>
      <w:pPr>
        <w:tabs>
          <w:tab w:val="num" w:pos="5040"/>
        </w:tabs>
        <w:ind w:left="5040" w:hanging="360"/>
      </w:pPr>
    </w:lvl>
    <w:lvl w:ilvl="7" w:tplc="09742544" w:tentative="1">
      <w:start w:val="1"/>
      <w:numFmt w:val="decimal"/>
      <w:lvlText w:val="%8."/>
      <w:lvlJc w:val="left"/>
      <w:pPr>
        <w:tabs>
          <w:tab w:val="num" w:pos="5760"/>
        </w:tabs>
        <w:ind w:left="5760" w:hanging="360"/>
      </w:pPr>
    </w:lvl>
    <w:lvl w:ilvl="8" w:tplc="EE18BA9E" w:tentative="1">
      <w:start w:val="1"/>
      <w:numFmt w:val="decimal"/>
      <w:lvlText w:val="%9."/>
      <w:lvlJc w:val="left"/>
      <w:pPr>
        <w:tabs>
          <w:tab w:val="num" w:pos="6480"/>
        </w:tabs>
        <w:ind w:left="6480" w:hanging="360"/>
      </w:pPr>
    </w:lvl>
  </w:abstractNum>
  <w:abstractNum w:abstractNumId="2">
    <w:nsid w:val="10997DAD"/>
    <w:multiLevelType w:val="hybridMultilevel"/>
    <w:tmpl w:val="6A8CD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45E1F97"/>
    <w:multiLevelType w:val="hybridMultilevel"/>
    <w:tmpl w:val="CAF238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AB33534"/>
    <w:multiLevelType w:val="hybridMultilevel"/>
    <w:tmpl w:val="9C34FE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581309A8"/>
    <w:multiLevelType w:val="hybridMultilevel"/>
    <w:tmpl w:val="3DA8B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DD08F8"/>
    <w:multiLevelType w:val="hybridMultilevel"/>
    <w:tmpl w:val="55423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D663B21"/>
    <w:multiLevelType w:val="hybridMultilevel"/>
    <w:tmpl w:val="6B74B9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DDB7BAC"/>
    <w:multiLevelType w:val="hybridMultilevel"/>
    <w:tmpl w:val="76724D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4"/>
  </w:num>
  <w:num w:numId="4">
    <w:abstractNumId w:val="9"/>
  </w:num>
  <w:num w:numId="5">
    <w:abstractNumId w:val="6"/>
  </w:num>
  <w:num w:numId="6">
    <w:abstractNumId w:val="5"/>
  </w:num>
  <w:num w:numId="7">
    <w:abstractNumId w:val="0"/>
  </w:num>
  <w:num w:numId="8">
    <w:abstractNumId w:val="18"/>
  </w:num>
  <w:num w:numId="9">
    <w:abstractNumId w:val="15"/>
  </w:num>
  <w:num w:numId="10">
    <w:abstractNumId w:val="13"/>
  </w:num>
  <w:num w:numId="11">
    <w:abstractNumId w:val="1"/>
  </w:num>
  <w:num w:numId="12">
    <w:abstractNumId w:val="17"/>
  </w:num>
  <w:num w:numId="13">
    <w:abstractNumId w:val="12"/>
  </w:num>
  <w:num w:numId="14">
    <w:abstractNumId w:val="2"/>
  </w:num>
  <w:num w:numId="15">
    <w:abstractNumId w:val="11"/>
  </w:num>
  <w:num w:numId="16">
    <w:abstractNumId w:val="8"/>
  </w:num>
  <w:num w:numId="17">
    <w:abstractNumId w:val="7"/>
  </w:num>
  <w:num w:numId="18">
    <w:abstractNumId w:val="3"/>
  </w:num>
  <w:num w:numId="1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characterSpacingControl w:val="doNotCompress"/>
  <w:hdrShapeDefaults>
    <o:shapedefaults v:ext="edit" spidmax="29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20CAF"/>
    <w:rsid w:val="00020D73"/>
    <w:rsid w:val="000215BE"/>
    <w:rsid w:val="0002174B"/>
    <w:rsid w:val="00022157"/>
    <w:rsid w:val="000226AE"/>
    <w:rsid w:val="000228D6"/>
    <w:rsid w:val="0002390E"/>
    <w:rsid w:val="00023921"/>
    <w:rsid w:val="000247C9"/>
    <w:rsid w:val="00026353"/>
    <w:rsid w:val="00027084"/>
    <w:rsid w:val="00027251"/>
    <w:rsid w:val="000311E5"/>
    <w:rsid w:val="00031A6E"/>
    <w:rsid w:val="00031E06"/>
    <w:rsid w:val="00031E2E"/>
    <w:rsid w:val="00031E85"/>
    <w:rsid w:val="0003229B"/>
    <w:rsid w:val="000322E9"/>
    <w:rsid w:val="000325BF"/>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AE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6B59"/>
    <w:rsid w:val="00077447"/>
    <w:rsid w:val="0007745D"/>
    <w:rsid w:val="00077675"/>
    <w:rsid w:val="00077A27"/>
    <w:rsid w:val="00077B5A"/>
    <w:rsid w:val="00077B78"/>
    <w:rsid w:val="00080498"/>
    <w:rsid w:val="00081807"/>
    <w:rsid w:val="0008186F"/>
    <w:rsid w:val="00081AAA"/>
    <w:rsid w:val="00081B0C"/>
    <w:rsid w:val="00081F76"/>
    <w:rsid w:val="000824F9"/>
    <w:rsid w:val="00082682"/>
    <w:rsid w:val="000829C4"/>
    <w:rsid w:val="000834CB"/>
    <w:rsid w:val="000838EF"/>
    <w:rsid w:val="0008481C"/>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296"/>
    <w:rsid w:val="00090ED8"/>
    <w:rsid w:val="00090F1A"/>
    <w:rsid w:val="0009126E"/>
    <w:rsid w:val="000917EF"/>
    <w:rsid w:val="00091960"/>
    <w:rsid w:val="00091D6B"/>
    <w:rsid w:val="00091EE4"/>
    <w:rsid w:val="000922ED"/>
    <w:rsid w:val="0009253F"/>
    <w:rsid w:val="00092649"/>
    <w:rsid w:val="00092B5D"/>
    <w:rsid w:val="00093122"/>
    <w:rsid w:val="0009358F"/>
    <w:rsid w:val="00093C96"/>
    <w:rsid w:val="0009489D"/>
    <w:rsid w:val="00094A32"/>
    <w:rsid w:val="00094DE9"/>
    <w:rsid w:val="000951FF"/>
    <w:rsid w:val="0009550A"/>
    <w:rsid w:val="00095593"/>
    <w:rsid w:val="00095A3B"/>
    <w:rsid w:val="00096277"/>
    <w:rsid w:val="0009649E"/>
    <w:rsid w:val="00096646"/>
    <w:rsid w:val="000A00DD"/>
    <w:rsid w:val="000A03C0"/>
    <w:rsid w:val="000A0591"/>
    <w:rsid w:val="000A05F6"/>
    <w:rsid w:val="000A071E"/>
    <w:rsid w:val="000A152F"/>
    <w:rsid w:val="000A1F47"/>
    <w:rsid w:val="000A2AAC"/>
    <w:rsid w:val="000A2BD0"/>
    <w:rsid w:val="000A307B"/>
    <w:rsid w:val="000A505F"/>
    <w:rsid w:val="000A6282"/>
    <w:rsid w:val="000A6CB4"/>
    <w:rsid w:val="000A799E"/>
    <w:rsid w:val="000A7BD9"/>
    <w:rsid w:val="000B0A21"/>
    <w:rsid w:val="000B0BA0"/>
    <w:rsid w:val="000B154C"/>
    <w:rsid w:val="000B1974"/>
    <w:rsid w:val="000B19CF"/>
    <w:rsid w:val="000B19FB"/>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7091"/>
    <w:rsid w:val="000B70EF"/>
    <w:rsid w:val="000B7C59"/>
    <w:rsid w:val="000C070D"/>
    <w:rsid w:val="000C0FD4"/>
    <w:rsid w:val="000C116B"/>
    <w:rsid w:val="000C1244"/>
    <w:rsid w:val="000C2E9F"/>
    <w:rsid w:val="000C34C2"/>
    <w:rsid w:val="000C3BE4"/>
    <w:rsid w:val="000C447C"/>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C2C"/>
    <w:rsid w:val="000D5C4E"/>
    <w:rsid w:val="000D5E29"/>
    <w:rsid w:val="000D6899"/>
    <w:rsid w:val="000D752D"/>
    <w:rsid w:val="000D7D21"/>
    <w:rsid w:val="000E0341"/>
    <w:rsid w:val="000E0618"/>
    <w:rsid w:val="000E19D2"/>
    <w:rsid w:val="000E2036"/>
    <w:rsid w:val="000E26FD"/>
    <w:rsid w:val="000E3BA3"/>
    <w:rsid w:val="000E4826"/>
    <w:rsid w:val="000E49A1"/>
    <w:rsid w:val="000E5861"/>
    <w:rsid w:val="000E5A2A"/>
    <w:rsid w:val="000E6407"/>
    <w:rsid w:val="000E7329"/>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0A5"/>
    <w:rsid w:val="001075C8"/>
    <w:rsid w:val="0011053D"/>
    <w:rsid w:val="001105E3"/>
    <w:rsid w:val="00111677"/>
    <w:rsid w:val="00112126"/>
    <w:rsid w:val="00113C52"/>
    <w:rsid w:val="00114D69"/>
    <w:rsid w:val="001150A3"/>
    <w:rsid w:val="00115228"/>
    <w:rsid w:val="001168D1"/>
    <w:rsid w:val="00116995"/>
    <w:rsid w:val="001169B8"/>
    <w:rsid w:val="0011730B"/>
    <w:rsid w:val="00117765"/>
    <w:rsid w:val="001178C9"/>
    <w:rsid w:val="00117DC7"/>
    <w:rsid w:val="0012024C"/>
    <w:rsid w:val="001204B9"/>
    <w:rsid w:val="00120A37"/>
    <w:rsid w:val="00120FFD"/>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74B"/>
    <w:rsid w:val="00127C60"/>
    <w:rsid w:val="00127FCC"/>
    <w:rsid w:val="001303BB"/>
    <w:rsid w:val="00130EBF"/>
    <w:rsid w:val="00131280"/>
    <w:rsid w:val="0013159C"/>
    <w:rsid w:val="00131B3D"/>
    <w:rsid w:val="00131DF8"/>
    <w:rsid w:val="00132302"/>
    <w:rsid w:val="00132598"/>
    <w:rsid w:val="00132642"/>
    <w:rsid w:val="00132B6C"/>
    <w:rsid w:val="00132EAA"/>
    <w:rsid w:val="001334B9"/>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2A6"/>
    <w:rsid w:val="00143339"/>
    <w:rsid w:val="001439C5"/>
    <w:rsid w:val="001439E0"/>
    <w:rsid w:val="00143E9F"/>
    <w:rsid w:val="0014560D"/>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181"/>
    <w:rsid w:val="001544A9"/>
    <w:rsid w:val="0015523A"/>
    <w:rsid w:val="00155527"/>
    <w:rsid w:val="00155925"/>
    <w:rsid w:val="00155E6D"/>
    <w:rsid w:val="001568B2"/>
    <w:rsid w:val="00156BE3"/>
    <w:rsid w:val="00156D1C"/>
    <w:rsid w:val="001578C5"/>
    <w:rsid w:val="00157948"/>
    <w:rsid w:val="00157B10"/>
    <w:rsid w:val="00157CB2"/>
    <w:rsid w:val="0016082D"/>
    <w:rsid w:val="00160BB1"/>
    <w:rsid w:val="00161309"/>
    <w:rsid w:val="001619B6"/>
    <w:rsid w:val="00161AB9"/>
    <w:rsid w:val="00161ABD"/>
    <w:rsid w:val="00161B02"/>
    <w:rsid w:val="00161E74"/>
    <w:rsid w:val="001626AA"/>
    <w:rsid w:val="0016279A"/>
    <w:rsid w:val="00162E7E"/>
    <w:rsid w:val="00163283"/>
    <w:rsid w:val="001641CC"/>
    <w:rsid w:val="00164962"/>
    <w:rsid w:val="00164C30"/>
    <w:rsid w:val="00165B43"/>
    <w:rsid w:val="00165BD7"/>
    <w:rsid w:val="001664F9"/>
    <w:rsid w:val="00166771"/>
    <w:rsid w:val="00166AF0"/>
    <w:rsid w:val="00167149"/>
    <w:rsid w:val="001672AD"/>
    <w:rsid w:val="00170039"/>
    <w:rsid w:val="00170246"/>
    <w:rsid w:val="001710F1"/>
    <w:rsid w:val="00171239"/>
    <w:rsid w:val="00171D79"/>
    <w:rsid w:val="0017243C"/>
    <w:rsid w:val="00172745"/>
    <w:rsid w:val="0017305E"/>
    <w:rsid w:val="00173BA4"/>
    <w:rsid w:val="00173F7B"/>
    <w:rsid w:val="00173F86"/>
    <w:rsid w:val="00173FEE"/>
    <w:rsid w:val="0017435D"/>
    <w:rsid w:val="0017436C"/>
    <w:rsid w:val="001743D9"/>
    <w:rsid w:val="0017454D"/>
    <w:rsid w:val="00174F9B"/>
    <w:rsid w:val="0017504D"/>
    <w:rsid w:val="00175C55"/>
    <w:rsid w:val="00175E5D"/>
    <w:rsid w:val="00176238"/>
    <w:rsid w:val="00176459"/>
    <w:rsid w:val="00176614"/>
    <w:rsid w:val="00176BBA"/>
    <w:rsid w:val="001772EA"/>
    <w:rsid w:val="0017791F"/>
    <w:rsid w:val="00180CBB"/>
    <w:rsid w:val="00180EF6"/>
    <w:rsid w:val="00181222"/>
    <w:rsid w:val="00181381"/>
    <w:rsid w:val="001813E2"/>
    <w:rsid w:val="00181751"/>
    <w:rsid w:val="00182CBF"/>
    <w:rsid w:val="00182D55"/>
    <w:rsid w:val="0018345A"/>
    <w:rsid w:val="001836F9"/>
    <w:rsid w:val="00183768"/>
    <w:rsid w:val="00183A07"/>
    <w:rsid w:val="00183B32"/>
    <w:rsid w:val="00183DA1"/>
    <w:rsid w:val="0018454D"/>
    <w:rsid w:val="0018473A"/>
    <w:rsid w:val="00184A0E"/>
    <w:rsid w:val="00184CFE"/>
    <w:rsid w:val="00185209"/>
    <w:rsid w:val="001852B7"/>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A56"/>
    <w:rsid w:val="00197DAB"/>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6A3"/>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9C7"/>
    <w:rsid w:val="001B6B2C"/>
    <w:rsid w:val="001B7592"/>
    <w:rsid w:val="001C0278"/>
    <w:rsid w:val="001C1344"/>
    <w:rsid w:val="001C28F0"/>
    <w:rsid w:val="001C35AF"/>
    <w:rsid w:val="001C3638"/>
    <w:rsid w:val="001C3AAC"/>
    <w:rsid w:val="001C3C13"/>
    <w:rsid w:val="001C4A29"/>
    <w:rsid w:val="001C4B8D"/>
    <w:rsid w:val="001C5F65"/>
    <w:rsid w:val="001C675C"/>
    <w:rsid w:val="001C6889"/>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60A"/>
    <w:rsid w:val="001E7A09"/>
    <w:rsid w:val="001E7D8B"/>
    <w:rsid w:val="001E7F4A"/>
    <w:rsid w:val="001E7F95"/>
    <w:rsid w:val="001F017C"/>
    <w:rsid w:val="001F054D"/>
    <w:rsid w:val="001F0D4C"/>
    <w:rsid w:val="001F0DEE"/>
    <w:rsid w:val="001F0E04"/>
    <w:rsid w:val="001F106F"/>
    <w:rsid w:val="001F15C2"/>
    <w:rsid w:val="001F2084"/>
    <w:rsid w:val="001F4332"/>
    <w:rsid w:val="001F4ED9"/>
    <w:rsid w:val="001F5457"/>
    <w:rsid w:val="001F608C"/>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743"/>
    <w:rsid w:val="002068C3"/>
    <w:rsid w:val="002074FF"/>
    <w:rsid w:val="00210288"/>
    <w:rsid w:val="0021173B"/>
    <w:rsid w:val="00212508"/>
    <w:rsid w:val="00212FEE"/>
    <w:rsid w:val="00213253"/>
    <w:rsid w:val="002138AE"/>
    <w:rsid w:val="00214595"/>
    <w:rsid w:val="0021463D"/>
    <w:rsid w:val="00214681"/>
    <w:rsid w:val="00214715"/>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1ABC"/>
    <w:rsid w:val="0022234C"/>
    <w:rsid w:val="00223495"/>
    <w:rsid w:val="00223848"/>
    <w:rsid w:val="00224E2E"/>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3E14"/>
    <w:rsid w:val="00243EB7"/>
    <w:rsid w:val="002452F0"/>
    <w:rsid w:val="00245511"/>
    <w:rsid w:val="0024696C"/>
    <w:rsid w:val="002471C9"/>
    <w:rsid w:val="0025006B"/>
    <w:rsid w:val="0025007B"/>
    <w:rsid w:val="00250383"/>
    <w:rsid w:val="00250D18"/>
    <w:rsid w:val="00250E60"/>
    <w:rsid w:val="00251B16"/>
    <w:rsid w:val="00251C8B"/>
    <w:rsid w:val="00252D71"/>
    <w:rsid w:val="002530AB"/>
    <w:rsid w:val="00253A7C"/>
    <w:rsid w:val="00253AAC"/>
    <w:rsid w:val="00253F5E"/>
    <w:rsid w:val="0025447B"/>
    <w:rsid w:val="00254729"/>
    <w:rsid w:val="00255682"/>
    <w:rsid w:val="00255869"/>
    <w:rsid w:val="00255B52"/>
    <w:rsid w:val="00255D9E"/>
    <w:rsid w:val="002575C9"/>
    <w:rsid w:val="00257A4E"/>
    <w:rsid w:val="002601DB"/>
    <w:rsid w:val="00260D28"/>
    <w:rsid w:val="00261206"/>
    <w:rsid w:val="00261779"/>
    <w:rsid w:val="00261D32"/>
    <w:rsid w:val="0026331B"/>
    <w:rsid w:val="00263B88"/>
    <w:rsid w:val="00263EB0"/>
    <w:rsid w:val="002649B9"/>
    <w:rsid w:val="00265733"/>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58"/>
    <w:rsid w:val="00275CD6"/>
    <w:rsid w:val="002760D8"/>
    <w:rsid w:val="00276124"/>
    <w:rsid w:val="00276BC5"/>
    <w:rsid w:val="00277220"/>
    <w:rsid w:val="0027735D"/>
    <w:rsid w:val="002802E5"/>
    <w:rsid w:val="002819AE"/>
    <w:rsid w:val="00281BDC"/>
    <w:rsid w:val="00281C06"/>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1A36"/>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64F"/>
    <w:rsid w:val="002B47A2"/>
    <w:rsid w:val="002B47C2"/>
    <w:rsid w:val="002B54EA"/>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7E8"/>
    <w:rsid w:val="002C4C03"/>
    <w:rsid w:val="002C5EC8"/>
    <w:rsid w:val="002C687C"/>
    <w:rsid w:val="002C708F"/>
    <w:rsid w:val="002C77B7"/>
    <w:rsid w:val="002C7B59"/>
    <w:rsid w:val="002C7DF5"/>
    <w:rsid w:val="002D04DD"/>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798"/>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2BE7"/>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0DBB"/>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10A2C"/>
    <w:rsid w:val="00310ACC"/>
    <w:rsid w:val="00310CEF"/>
    <w:rsid w:val="003116B2"/>
    <w:rsid w:val="00311A93"/>
    <w:rsid w:val="003123BD"/>
    <w:rsid w:val="00312C99"/>
    <w:rsid w:val="00312FB6"/>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A2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4D87"/>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3F41"/>
    <w:rsid w:val="003443A9"/>
    <w:rsid w:val="003443B4"/>
    <w:rsid w:val="0034452A"/>
    <w:rsid w:val="00344FBD"/>
    <w:rsid w:val="0034562B"/>
    <w:rsid w:val="0034615A"/>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60811"/>
    <w:rsid w:val="0036105C"/>
    <w:rsid w:val="00361E9A"/>
    <w:rsid w:val="0036393C"/>
    <w:rsid w:val="00366435"/>
    <w:rsid w:val="00366769"/>
    <w:rsid w:val="00366F30"/>
    <w:rsid w:val="003673E8"/>
    <w:rsid w:val="003675C3"/>
    <w:rsid w:val="00367E7B"/>
    <w:rsid w:val="003700EA"/>
    <w:rsid w:val="003705DE"/>
    <w:rsid w:val="0037090A"/>
    <w:rsid w:val="0037099F"/>
    <w:rsid w:val="00370A55"/>
    <w:rsid w:val="003713AF"/>
    <w:rsid w:val="00371D38"/>
    <w:rsid w:val="003724EC"/>
    <w:rsid w:val="003731DC"/>
    <w:rsid w:val="0037452B"/>
    <w:rsid w:val="00374DE8"/>
    <w:rsid w:val="003755B3"/>
    <w:rsid w:val="00375F36"/>
    <w:rsid w:val="00376E5F"/>
    <w:rsid w:val="00376EDD"/>
    <w:rsid w:val="00377344"/>
    <w:rsid w:val="00377417"/>
    <w:rsid w:val="00377522"/>
    <w:rsid w:val="00377D00"/>
    <w:rsid w:val="00380B9F"/>
    <w:rsid w:val="003816CC"/>
    <w:rsid w:val="003816D2"/>
    <w:rsid w:val="003818CA"/>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30DB"/>
    <w:rsid w:val="003948B6"/>
    <w:rsid w:val="00395AB4"/>
    <w:rsid w:val="00395D93"/>
    <w:rsid w:val="0039609D"/>
    <w:rsid w:val="00396F82"/>
    <w:rsid w:val="00397B4B"/>
    <w:rsid w:val="00397E43"/>
    <w:rsid w:val="003A1467"/>
    <w:rsid w:val="003A1C30"/>
    <w:rsid w:val="003A2F02"/>
    <w:rsid w:val="003A38B3"/>
    <w:rsid w:val="003A3BD2"/>
    <w:rsid w:val="003A3CE5"/>
    <w:rsid w:val="003A402A"/>
    <w:rsid w:val="003A47DD"/>
    <w:rsid w:val="003A4E70"/>
    <w:rsid w:val="003A5410"/>
    <w:rsid w:val="003A580E"/>
    <w:rsid w:val="003A5AD7"/>
    <w:rsid w:val="003A5F79"/>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CB8"/>
    <w:rsid w:val="003C5DF6"/>
    <w:rsid w:val="003C615C"/>
    <w:rsid w:val="003C617A"/>
    <w:rsid w:val="003C6686"/>
    <w:rsid w:val="003C68C6"/>
    <w:rsid w:val="003C7E32"/>
    <w:rsid w:val="003D032A"/>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ED7"/>
    <w:rsid w:val="0040254A"/>
    <w:rsid w:val="00402623"/>
    <w:rsid w:val="00403537"/>
    <w:rsid w:val="0040376B"/>
    <w:rsid w:val="00404B6B"/>
    <w:rsid w:val="00404EEB"/>
    <w:rsid w:val="00406A13"/>
    <w:rsid w:val="00406E1B"/>
    <w:rsid w:val="00407177"/>
    <w:rsid w:val="00410905"/>
    <w:rsid w:val="0041137A"/>
    <w:rsid w:val="004126C7"/>
    <w:rsid w:val="00413002"/>
    <w:rsid w:val="00413193"/>
    <w:rsid w:val="00413A4B"/>
    <w:rsid w:val="004140C1"/>
    <w:rsid w:val="004144B0"/>
    <w:rsid w:val="00414B6D"/>
    <w:rsid w:val="00414FD6"/>
    <w:rsid w:val="004153A0"/>
    <w:rsid w:val="0041572C"/>
    <w:rsid w:val="00415ED5"/>
    <w:rsid w:val="00416106"/>
    <w:rsid w:val="00416596"/>
    <w:rsid w:val="00417503"/>
    <w:rsid w:val="004204F2"/>
    <w:rsid w:val="00420A47"/>
    <w:rsid w:val="00420D63"/>
    <w:rsid w:val="00420FB8"/>
    <w:rsid w:val="004211E1"/>
    <w:rsid w:val="0042197E"/>
    <w:rsid w:val="00421B24"/>
    <w:rsid w:val="0042258E"/>
    <w:rsid w:val="00422E88"/>
    <w:rsid w:val="00423AFD"/>
    <w:rsid w:val="00424817"/>
    <w:rsid w:val="00424CF3"/>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4288"/>
    <w:rsid w:val="004444E1"/>
    <w:rsid w:val="004452EC"/>
    <w:rsid w:val="0044551B"/>
    <w:rsid w:val="00445BD4"/>
    <w:rsid w:val="00445C7E"/>
    <w:rsid w:val="0044651B"/>
    <w:rsid w:val="004467FE"/>
    <w:rsid w:val="00446E95"/>
    <w:rsid w:val="00446FA3"/>
    <w:rsid w:val="00447D23"/>
    <w:rsid w:val="0045029C"/>
    <w:rsid w:val="00450BB4"/>
    <w:rsid w:val="00451D0D"/>
    <w:rsid w:val="00452346"/>
    <w:rsid w:val="004527CC"/>
    <w:rsid w:val="004531FC"/>
    <w:rsid w:val="00453393"/>
    <w:rsid w:val="00453844"/>
    <w:rsid w:val="00455220"/>
    <w:rsid w:val="004555B4"/>
    <w:rsid w:val="0045580C"/>
    <w:rsid w:val="00455B96"/>
    <w:rsid w:val="00455FCB"/>
    <w:rsid w:val="0045669C"/>
    <w:rsid w:val="00456EB1"/>
    <w:rsid w:val="00456F36"/>
    <w:rsid w:val="00457095"/>
    <w:rsid w:val="0045738E"/>
    <w:rsid w:val="00457668"/>
    <w:rsid w:val="00457FE3"/>
    <w:rsid w:val="0046037D"/>
    <w:rsid w:val="00460D4A"/>
    <w:rsid w:val="004610F3"/>
    <w:rsid w:val="004616AE"/>
    <w:rsid w:val="004618C3"/>
    <w:rsid w:val="00461922"/>
    <w:rsid w:val="00461B6A"/>
    <w:rsid w:val="00461DBD"/>
    <w:rsid w:val="004629EE"/>
    <w:rsid w:val="00462C0A"/>
    <w:rsid w:val="0046312D"/>
    <w:rsid w:val="00463677"/>
    <w:rsid w:val="0046387C"/>
    <w:rsid w:val="00463FA1"/>
    <w:rsid w:val="0046560B"/>
    <w:rsid w:val="00466BDF"/>
    <w:rsid w:val="00467210"/>
    <w:rsid w:val="00467DD1"/>
    <w:rsid w:val="0047057A"/>
    <w:rsid w:val="0047175C"/>
    <w:rsid w:val="0047211E"/>
    <w:rsid w:val="0047287F"/>
    <w:rsid w:val="004729C5"/>
    <w:rsid w:val="004730B5"/>
    <w:rsid w:val="004732C5"/>
    <w:rsid w:val="00473663"/>
    <w:rsid w:val="00473E60"/>
    <w:rsid w:val="00474A10"/>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80D"/>
    <w:rsid w:val="00483E1C"/>
    <w:rsid w:val="00484432"/>
    <w:rsid w:val="0048577A"/>
    <w:rsid w:val="00485E37"/>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2E0F"/>
    <w:rsid w:val="004B399F"/>
    <w:rsid w:val="004B39D3"/>
    <w:rsid w:val="004B3A5C"/>
    <w:rsid w:val="004B3F63"/>
    <w:rsid w:val="004B4BDC"/>
    <w:rsid w:val="004B58A6"/>
    <w:rsid w:val="004B59EF"/>
    <w:rsid w:val="004B5A98"/>
    <w:rsid w:val="004B5AAC"/>
    <w:rsid w:val="004B5BA7"/>
    <w:rsid w:val="004B5F41"/>
    <w:rsid w:val="004B7C5B"/>
    <w:rsid w:val="004C1692"/>
    <w:rsid w:val="004C1CE0"/>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5CB"/>
    <w:rsid w:val="004D66C8"/>
    <w:rsid w:val="004D68DF"/>
    <w:rsid w:val="004D6FB4"/>
    <w:rsid w:val="004D7607"/>
    <w:rsid w:val="004D7796"/>
    <w:rsid w:val="004D7F39"/>
    <w:rsid w:val="004E05FB"/>
    <w:rsid w:val="004E0A4D"/>
    <w:rsid w:val="004E1E24"/>
    <w:rsid w:val="004E1EC0"/>
    <w:rsid w:val="004E1EE4"/>
    <w:rsid w:val="004E22B8"/>
    <w:rsid w:val="004E2F73"/>
    <w:rsid w:val="004E2FB2"/>
    <w:rsid w:val="004E327D"/>
    <w:rsid w:val="004E3767"/>
    <w:rsid w:val="004E3D7E"/>
    <w:rsid w:val="004E4554"/>
    <w:rsid w:val="004E4965"/>
    <w:rsid w:val="004E4ACC"/>
    <w:rsid w:val="004E4AD4"/>
    <w:rsid w:val="004E4D5B"/>
    <w:rsid w:val="004E5DC0"/>
    <w:rsid w:val="004E5FAB"/>
    <w:rsid w:val="004E60AC"/>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3234"/>
    <w:rsid w:val="004F41C6"/>
    <w:rsid w:val="004F5623"/>
    <w:rsid w:val="004F63AB"/>
    <w:rsid w:val="004F66F3"/>
    <w:rsid w:val="004F737C"/>
    <w:rsid w:val="004F7882"/>
    <w:rsid w:val="004F79BF"/>
    <w:rsid w:val="004F79E1"/>
    <w:rsid w:val="004F7A38"/>
    <w:rsid w:val="00500E9C"/>
    <w:rsid w:val="0050102E"/>
    <w:rsid w:val="0050185B"/>
    <w:rsid w:val="00503356"/>
    <w:rsid w:val="0050367A"/>
    <w:rsid w:val="0050368A"/>
    <w:rsid w:val="005043A6"/>
    <w:rsid w:val="00504E33"/>
    <w:rsid w:val="005059DD"/>
    <w:rsid w:val="00505B78"/>
    <w:rsid w:val="00505D30"/>
    <w:rsid w:val="00505DE4"/>
    <w:rsid w:val="005069A3"/>
    <w:rsid w:val="0050711F"/>
    <w:rsid w:val="00507990"/>
    <w:rsid w:val="005079D4"/>
    <w:rsid w:val="00507A78"/>
    <w:rsid w:val="00507E74"/>
    <w:rsid w:val="00511180"/>
    <w:rsid w:val="005112A3"/>
    <w:rsid w:val="00511F1A"/>
    <w:rsid w:val="0051213C"/>
    <w:rsid w:val="0051269E"/>
    <w:rsid w:val="0051312F"/>
    <w:rsid w:val="005132AA"/>
    <w:rsid w:val="005134AA"/>
    <w:rsid w:val="0051376E"/>
    <w:rsid w:val="005137FC"/>
    <w:rsid w:val="00513999"/>
    <w:rsid w:val="005140BD"/>
    <w:rsid w:val="005146A4"/>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EBB"/>
    <w:rsid w:val="005230C9"/>
    <w:rsid w:val="00524361"/>
    <w:rsid w:val="005245F5"/>
    <w:rsid w:val="005248C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6183"/>
    <w:rsid w:val="0053717E"/>
    <w:rsid w:val="005376B1"/>
    <w:rsid w:val="005377F8"/>
    <w:rsid w:val="00537CBA"/>
    <w:rsid w:val="005403ED"/>
    <w:rsid w:val="00540A7A"/>
    <w:rsid w:val="00540EC4"/>
    <w:rsid w:val="00540FA6"/>
    <w:rsid w:val="005414E8"/>
    <w:rsid w:val="0054158D"/>
    <w:rsid w:val="00541FB0"/>
    <w:rsid w:val="00542024"/>
    <w:rsid w:val="00542749"/>
    <w:rsid w:val="005433C6"/>
    <w:rsid w:val="00543BCC"/>
    <w:rsid w:val="00543FDF"/>
    <w:rsid w:val="005449C2"/>
    <w:rsid w:val="00545614"/>
    <w:rsid w:val="00546EEE"/>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56EE3"/>
    <w:rsid w:val="005606BD"/>
    <w:rsid w:val="00560A61"/>
    <w:rsid w:val="00560B4D"/>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D45"/>
    <w:rsid w:val="005672A9"/>
    <w:rsid w:val="005676FF"/>
    <w:rsid w:val="00570342"/>
    <w:rsid w:val="005710C9"/>
    <w:rsid w:val="00571133"/>
    <w:rsid w:val="005715BA"/>
    <w:rsid w:val="005723BD"/>
    <w:rsid w:val="005726A5"/>
    <w:rsid w:val="00574184"/>
    <w:rsid w:val="005741BF"/>
    <w:rsid w:val="005747E0"/>
    <w:rsid w:val="0057525A"/>
    <w:rsid w:val="00575BAC"/>
    <w:rsid w:val="00576241"/>
    <w:rsid w:val="0057743E"/>
    <w:rsid w:val="00580218"/>
    <w:rsid w:val="00580564"/>
    <w:rsid w:val="00580891"/>
    <w:rsid w:val="00581976"/>
    <w:rsid w:val="00581C2D"/>
    <w:rsid w:val="00582058"/>
    <w:rsid w:val="00582EBB"/>
    <w:rsid w:val="0058360E"/>
    <w:rsid w:val="00583D68"/>
    <w:rsid w:val="00584CF5"/>
    <w:rsid w:val="00584F3F"/>
    <w:rsid w:val="005852A6"/>
    <w:rsid w:val="00585D61"/>
    <w:rsid w:val="00586B2D"/>
    <w:rsid w:val="005904B9"/>
    <w:rsid w:val="00590539"/>
    <w:rsid w:val="005905AD"/>
    <w:rsid w:val="00590814"/>
    <w:rsid w:val="00590F9A"/>
    <w:rsid w:val="005912FA"/>
    <w:rsid w:val="00591EF9"/>
    <w:rsid w:val="00592051"/>
    <w:rsid w:val="00592CAD"/>
    <w:rsid w:val="00592E37"/>
    <w:rsid w:val="00592E69"/>
    <w:rsid w:val="0059308A"/>
    <w:rsid w:val="00593262"/>
    <w:rsid w:val="00593FE7"/>
    <w:rsid w:val="0059459C"/>
    <w:rsid w:val="00594AAE"/>
    <w:rsid w:val="00595C11"/>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70F1"/>
    <w:rsid w:val="005A73F5"/>
    <w:rsid w:val="005A7C76"/>
    <w:rsid w:val="005A7E30"/>
    <w:rsid w:val="005B085C"/>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69CD"/>
    <w:rsid w:val="005B6A48"/>
    <w:rsid w:val="005B6E4C"/>
    <w:rsid w:val="005B70EA"/>
    <w:rsid w:val="005B7553"/>
    <w:rsid w:val="005B7568"/>
    <w:rsid w:val="005B78FB"/>
    <w:rsid w:val="005B7D17"/>
    <w:rsid w:val="005B7E47"/>
    <w:rsid w:val="005C03DB"/>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30C"/>
    <w:rsid w:val="005D402D"/>
    <w:rsid w:val="005D4C38"/>
    <w:rsid w:val="005D5650"/>
    <w:rsid w:val="005D6210"/>
    <w:rsid w:val="005D62A6"/>
    <w:rsid w:val="005D6417"/>
    <w:rsid w:val="005D68D7"/>
    <w:rsid w:val="005D6CA0"/>
    <w:rsid w:val="005D7690"/>
    <w:rsid w:val="005D7A4B"/>
    <w:rsid w:val="005E018A"/>
    <w:rsid w:val="005E0A12"/>
    <w:rsid w:val="005E0C1F"/>
    <w:rsid w:val="005E1031"/>
    <w:rsid w:val="005E1422"/>
    <w:rsid w:val="005E21A1"/>
    <w:rsid w:val="005E319D"/>
    <w:rsid w:val="005E3263"/>
    <w:rsid w:val="005E3653"/>
    <w:rsid w:val="005E3D63"/>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F5F"/>
    <w:rsid w:val="00603B05"/>
    <w:rsid w:val="006040C3"/>
    <w:rsid w:val="0060413D"/>
    <w:rsid w:val="006044CD"/>
    <w:rsid w:val="00604A59"/>
    <w:rsid w:val="00606C90"/>
    <w:rsid w:val="006074C7"/>
    <w:rsid w:val="00607728"/>
    <w:rsid w:val="00607743"/>
    <w:rsid w:val="006078B3"/>
    <w:rsid w:val="0061033F"/>
    <w:rsid w:val="006103A5"/>
    <w:rsid w:val="00610941"/>
    <w:rsid w:val="00610B36"/>
    <w:rsid w:val="006110CA"/>
    <w:rsid w:val="00611B86"/>
    <w:rsid w:val="00611F19"/>
    <w:rsid w:val="00613C61"/>
    <w:rsid w:val="00614159"/>
    <w:rsid w:val="006146DE"/>
    <w:rsid w:val="00614781"/>
    <w:rsid w:val="00616468"/>
    <w:rsid w:val="00616BFC"/>
    <w:rsid w:val="00617650"/>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B03"/>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7039"/>
    <w:rsid w:val="00650104"/>
    <w:rsid w:val="006507BD"/>
    <w:rsid w:val="00650836"/>
    <w:rsid w:val="00650AF1"/>
    <w:rsid w:val="00651DD4"/>
    <w:rsid w:val="0065286B"/>
    <w:rsid w:val="0065332A"/>
    <w:rsid w:val="00653E3F"/>
    <w:rsid w:val="00653E71"/>
    <w:rsid w:val="00655183"/>
    <w:rsid w:val="0065535A"/>
    <w:rsid w:val="006556A3"/>
    <w:rsid w:val="00655CB4"/>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87D"/>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531"/>
    <w:rsid w:val="00690610"/>
    <w:rsid w:val="00690A0A"/>
    <w:rsid w:val="006910CA"/>
    <w:rsid w:val="0069131C"/>
    <w:rsid w:val="00691595"/>
    <w:rsid w:val="0069162D"/>
    <w:rsid w:val="006928FC"/>
    <w:rsid w:val="00692C2B"/>
    <w:rsid w:val="0069317E"/>
    <w:rsid w:val="006931E9"/>
    <w:rsid w:val="006932B7"/>
    <w:rsid w:val="00693A7D"/>
    <w:rsid w:val="00693D07"/>
    <w:rsid w:val="00694EDA"/>
    <w:rsid w:val="00695841"/>
    <w:rsid w:val="00695F9C"/>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52C"/>
    <w:rsid w:val="006B06ED"/>
    <w:rsid w:val="006B0973"/>
    <w:rsid w:val="006B0D14"/>
    <w:rsid w:val="006B238D"/>
    <w:rsid w:val="006B2D7D"/>
    <w:rsid w:val="006B3284"/>
    <w:rsid w:val="006B3328"/>
    <w:rsid w:val="006B3944"/>
    <w:rsid w:val="006B39FB"/>
    <w:rsid w:val="006B3BF5"/>
    <w:rsid w:val="006B47CA"/>
    <w:rsid w:val="006B487B"/>
    <w:rsid w:val="006B4E5A"/>
    <w:rsid w:val="006B523A"/>
    <w:rsid w:val="006B5555"/>
    <w:rsid w:val="006B6917"/>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C783A"/>
    <w:rsid w:val="006D07EF"/>
    <w:rsid w:val="006D0ACA"/>
    <w:rsid w:val="006D0D5C"/>
    <w:rsid w:val="006D0E30"/>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872"/>
    <w:rsid w:val="006E19F5"/>
    <w:rsid w:val="006E1BFE"/>
    <w:rsid w:val="006E29FC"/>
    <w:rsid w:val="006E36B3"/>
    <w:rsid w:val="006E4489"/>
    <w:rsid w:val="006E45EA"/>
    <w:rsid w:val="006E49C2"/>
    <w:rsid w:val="006E49F5"/>
    <w:rsid w:val="006E5190"/>
    <w:rsid w:val="006E53F3"/>
    <w:rsid w:val="006E5870"/>
    <w:rsid w:val="006E702E"/>
    <w:rsid w:val="006E72BA"/>
    <w:rsid w:val="006E7DF2"/>
    <w:rsid w:val="006E7EFC"/>
    <w:rsid w:val="006F007D"/>
    <w:rsid w:val="006F062D"/>
    <w:rsid w:val="006F0821"/>
    <w:rsid w:val="006F0A9F"/>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89"/>
    <w:rsid w:val="007030BD"/>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E07"/>
    <w:rsid w:val="00713640"/>
    <w:rsid w:val="007143C2"/>
    <w:rsid w:val="007149B9"/>
    <w:rsid w:val="00714AD3"/>
    <w:rsid w:val="00714BA5"/>
    <w:rsid w:val="00715BF8"/>
    <w:rsid w:val="00715DB7"/>
    <w:rsid w:val="0071633F"/>
    <w:rsid w:val="007163E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4027"/>
    <w:rsid w:val="007244FE"/>
    <w:rsid w:val="00724A74"/>
    <w:rsid w:val="00724ED6"/>
    <w:rsid w:val="00725002"/>
    <w:rsid w:val="00725026"/>
    <w:rsid w:val="00725135"/>
    <w:rsid w:val="0072545F"/>
    <w:rsid w:val="007263CF"/>
    <w:rsid w:val="00726828"/>
    <w:rsid w:val="00726EDB"/>
    <w:rsid w:val="00731028"/>
    <w:rsid w:val="007311D5"/>
    <w:rsid w:val="00731B1C"/>
    <w:rsid w:val="00732583"/>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4E69"/>
    <w:rsid w:val="00765E4A"/>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C62"/>
    <w:rsid w:val="00791D61"/>
    <w:rsid w:val="007924D2"/>
    <w:rsid w:val="007929DB"/>
    <w:rsid w:val="00793831"/>
    <w:rsid w:val="00793F69"/>
    <w:rsid w:val="007943BC"/>
    <w:rsid w:val="0079477B"/>
    <w:rsid w:val="00794DE6"/>
    <w:rsid w:val="007954E4"/>
    <w:rsid w:val="00795565"/>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140"/>
    <w:rsid w:val="007B22AF"/>
    <w:rsid w:val="007B2376"/>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1304"/>
    <w:rsid w:val="007D1363"/>
    <w:rsid w:val="007D1875"/>
    <w:rsid w:val="007D1ECE"/>
    <w:rsid w:val="007D1F1E"/>
    <w:rsid w:val="007D2062"/>
    <w:rsid w:val="007D2087"/>
    <w:rsid w:val="007D2C03"/>
    <w:rsid w:val="007D3497"/>
    <w:rsid w:val="007D37DD"/>
    <w:rsid w:val="007D450D"/>
    <w:rsid w:val="007D4E9E"/>
    <w:rsid w:val="007D5043"/>
    <w:rsid w:val="007D5876"/>
    <w:rsid w:val="007D680C"/>
    <w:rsid w:val="007D6866"/>
    <w:rsid w:val="007D6CBF"/>
    <w:rsid w:val="007D71B5"/>
    <w:rsid w:val="007D794F"/>
    <w:rsid w:val="007D7BDD"/>
    <w:rsid w:val="007E0059"/>
    <w:rsid w:val="007E02EB"/>
    <w:rsid w:val="007E15B9"/>
    <w:rsid w:val="007E1B8F"/>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1F03"/>
    <w:rsid w:val="00802589"/>
    <w:rsid w:val="0080295D"/>
    <w:rsid w:val="00802C4B"/>
    <w:rsid w:val="008038D7"/>
    <w:rsid w:val="00803ACE"/>
    <w:rsid w:val="00803F8A"/>
    <w:rsid w:val="0080400A"/>
    <w:rsid w:val="00804AB3"/>
    <w:rsid w:val="00805456"/>
    <w:rsid w:val="00805801"/>
    <w:rsid w:val="008068BD"/>
    <w:rsid w:val="00807526"/>
    <w:rsid w:val="00810814"/>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AF"/>
    <w:rsid w:val="00832825"/>
    <w:rsid w:val="00832920"/>
    <w:rsid w:val="00832F33"/>
    <w:rsid w:val="0083317B"/>
    <w:rsid w:val="008337F5"/>
    <w:rsid w:val="0083415B"/>
    <w:rsid w:val="00834494"/>
    <w:rsid w:val="00834D14"/>
    <w:rsid w:val="00835287"/>
    <w:rsid w:val="008358BB"/>
    <w:rsid w:val="008364F2"/>
    <w:rsid w:val="0083654C"/>
    <w:rsid w:val="008369E4"/>
    <w:rsid w:val="008373CB"/>
    <w:rsid w:val="00840B3B"/>
    <w:rsid w:val="00841BC8"/>
    <w:rsid w:val="00841EB1"/>
    <w:rsid w:val="00842A9A"/>
    <w:rsid w:val="008431F6"/>
    <w:rsid w:val="0084377C"/>
    <w:rsid w:val="00843C6F"/>
    <w:rsid w:val="0084476D"/>
    <w:rsid w:val="00844A6D"/>
    <w:rsid w:val="00844A8A"/>
    <w:rsid w:val="00844C25"/>
    <w:rsid w:val="00845022"/>
    <w:rsid w:val="00845791"/>
    <w:rsid w:val="00845919"/>
    <w:rsid w:val="00845B37"/>
    <w:rsid w:val="00845D79"/>
    <w:rsid w:val="0084743E"/>
    <w:rsid w:val="008503CB"/>
    <w:rsid w:val="0085113C"/>
    <w:rsid w:val="00851862"/>
    <w:rsid w:val="00852663"/>
    <w:rsid w:val="00852941"/>
    <w:rsid w:val="00852FCB"/>
    <w:rsid w:val="00856667"/>
    <w:rsid w:val="00856F2B"/>
    <w:rsid w:val="00857147"/>
    <w:rsid w:val="008574E8"/>
    <w:rsid w:val="00857532"/>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DA"/>
    <w:rsid w:val="00867D1C"/>
    <w:rsid w:val="00867DCF"/>
    <w:rsid w:val="00870197"/>
    <w:rsid w:val="00870C1E"/>
    <w:rsid w:val="0087108E"/>
    <w:rsid w:val="00871256"/>
    <w:rsid w:val="0087129F"/>
    <w:rsid w:val="00871599"/>
    <w:rsid w:val="00871BC3"/>
    <w:rsid w:val="00872981"/>
    <w:rsid w:val="00872EBB"/>
    <w:rsid w:val="008730C7"/>
    <w:rsid w:val="0087317B"/>
    <w:rsid w:val="0087330F"/>
    <w:rsid w:val="00874E28"/>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529D"/>
    <w:rsid w:val="00895504"/>
    <w:rsid w:val="008955D7"/>
    <w:rsid w:val="0089581E"/>
    <w:rsid w:val="0089639E"/>
    <w:rsid w:val="00896DA0"/>
    <w:rsid w:val="00896E35"/>
    <w:rsid w:val="00897182"/>
    <w:rsid w:val="00897DFF"/>
    <w:rsid w:val="008A0390"/>
    <w:rsid w:val="008A04C6"/>
    <w:rsid w:val="008A0B53"/>
    <w:rsid w:val="008A0DBE"/>
    <w:rsid w:val="008A0E2B"/>
    <w:rsid w:val="008A1A79"/>
    <w:rsid w:val="008A1A82"/>
    <w:rsid w:val="008A2154"/>
    <w:rsid w:val="008A25C2"/>
    <w:rsid w:val="008A341C"/>
    <w:rsid w:val="008A3BE6"/>
    <w:rsid w:val="008A3FDC"/>
    <w:rsid w:val="008A46AD"/>
    <w:rsid w:val="008A4A50"/>
    <w:rsid w:val="008A4C90"/>
    <w:rsid w:val="008A55FC"/>
    <w:rsid w:val="008A5EDE"/>
    <w:rsid w:val="008A65C6"/>
    <w:rsid w:val="008A670E"/>
    <w:rsid w:val="008A67B9"/>
    <w:rsid w:val="008A74E1"/>
    <w:rsid w:val="008A755F"/>
    <w:rsid w:val="008A7846"/>
    <w:rsid w:val="008A7D29"/>
    <w:rsid w:val="008A7DF4"/>
    <w:rsid w:val="008B00B1"/>
    <w:rsid w:val="008B02AD"/>
    <w:rsid w:val="008B0F81"/>
    <w:rsid w:val="008B122D"/>
    <w:rsid w:val="008B1810"/>
    <w:rsid w:val="008B1A23"/>
    <w:rsid w:val="008B1A4C"/>
    <w:rsid w:val="008B2971"/>
    <w:rsid w:val="008B3281"/>
    <w:rsid w:val="008B3DA8"/>
    <w:rsid w:val="008B41CB"/>
    <w:rsid w:val="008B4C28"/>
    <w:rsid w:val="008B5640"/>
    <w:rsid w:val="008B5659"/>
    <w:rsid w:val="008B56FE"/>
    <w:rsid w:val="008B5B44"/>
    <w:rsid w:val="008B5E91"/>
    <w:rsid w:val="008B61C1"/>
    <w:rsid w:val="008B645E"/>
    <w:rsid w:val="008B71DF"/>
    <w:rsid w:val="008B7A89"/>
    <w:rsid w:val="008C1CBD"/>
    <w:rsid w:val="008C21BF"/>
    <w:rsid w:val="008C25BE"/>
    <w:rsid w:val="008C298E"/>
    <w:rsid w:val="008C3DBC"/>
    <w:rsid w:val="008C3FEA"/>
    <w:rsid w:val="008C4CD2"/>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826"/>
    <w:rsid w:val="00900BD7"/>
    <w:rsid w:val="0090142F"/>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A9C"/>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60D2"/>
    <w:rsid w:val="00926EF1"/>
    <w:rsid w:val="00927450"/>
    <w:rsid w:val="00927515"/>
    <w:rsid w:val="0092757E"/>
    <w:rsid w:val="00927EC5"/>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49C8"/>
    <w:rsid w:val="00954BA0"/>
    <w:rsid w:val="009551A6"/>
    <w:rsid w:val="00955641"/>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C00"/>
    <w:rsid w:val="009864AD"/>
    <w:rsid w:val="00986FB5"/>
    <w:rsid w:val="009873DE"/>
    <w:rsid w:val="00987C76"/>
    <w:rsid w:val="00990125"/>
    <w:rsid w:val="0099060A"/>
    <w:rsid w:val="0099093B"/>
    <w:rsid w:val="00990DF2"/>
    <w:rsid w:val="00991763"/>
    <w:rsid w:val="0099229C"/>
    <w:rsid w:val="0099286A"/>
    <w:rsid w:val="00992891"/>
    <w:rsid w:val="00992CA8"/>
    <w:rsid w:val="00992D61"/>
    <w:rsid w:val="0099365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806"/>
    <w:rsid w:val="009A1AB1"/>
    <w:rsid w:val="009A1E97"/>
    <w:rsid w:val="009A207C"/>
    <w:rsid w:val="009A314A"/>
    <w:rsid w:val="009A4648"/>
    <w:rsid w:val="009A4726"/>
    <w:rsid w:val="009A4BEB"/>
    <w:rsid w:val="009A5B38"/>
    <w:rsid w:val="009A624F"/>
    <w:rsid w:val="009A63AD"/>
    <w:rsid w:val="009A6719"/>
    <w:rsid w:val="009A6AC1"/>
    <w:rsid w:val="009A6F22"/>
    <w:rsid w:val="009A70FC"/>
    <w:rsid w:val="009A7210"/>
    <w:rsid w:val="009A7A9F"/>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802"/>
    <w:rsid w:val="009C4C30"/>
    <w:rsid w:val="009C4E4F"/>
    <w:rsid w:val="009C5072"/>
    <w:rsid w:val="009C5A66"/>
    <w:rsid w:val="009C5CAE"/>
    <w:rsid w:val="009C6AA3"/>
    <w:rsid w:val="009C6C59"/>
    <w:rsid w:val="009C7EE9"/>
    <w:rsid w:val="009D06EA"/>
    <w:rsid w:val="009D1AE3"/>
    <w:rsid w:val="009D2231"/>
    <w:rsid w:val="009D23C9"/>
    <w:rsid w:val="009D27D6"/>
    <w:rsid w:val="009D2C9A"/>
    <w:rsid w:val="009D3790"/>
    <w:rsid w:val="009D3958"/>
    <w:rsid w:val="009D473D"/>
    <w:rsid w:val="009D4FC6"/>
    <w:rsid w:val="009D5693"/>
    <w:rsid w:val="009D5DE5"/>
    <w:rsid w:val="009D6C08"/>
    <w:rsid w:val="009D6ED5"/>
    <w:rsid w:val="009D7288"/>
    <w:rsid w:val="009D7F70"/>
    <w:rsid w:val="009E0AF2"/>
    <w:rsid w:val="009E186D"/>
    <w:rsid w:val="009E209E"/>
    <w:rsid w:val="009E259C"/>
    <w:rsid w:val="009E27B7"/>
    <w:rsid w:val="009E2AFD"/>
    <w:rsid w:val="009E2BE1"/>
    <w:rsid w:val="009E32F7"/>
    <w:rsid w:val="009E3520"/>
    <w:rsid w:val="009E35AD"/>
    <w:rsid w:val="009E35B8"/>
    <w:rsid w:val="009E374C"/>
    <w:rsid w:val="009E3BB5"/>
    <w:rsid w:val="009E4350"/>
    <w:rsid w:val="009E4652"/>
    <w:rsid w:val="009E5599"/>
    <w:rsid w:val="009E5BD4"/>
    <w:rsid w:val="009E662B"/>
    <w:rsid w:val="009E6681"/>
    <w:rsid w:val="009E679B"/>
    <w:rsid w:val="009E7668"/>
    <w:rsid w:val="009E7E4A"/>
    <w:rsid w:val="009F018B"/>
    <w:rsid w:val="009F05EF"/>
    <w:rsid w:val="009F0CD6"/>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3F6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9BB"/>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2F11"/>
    <w:rsid w:val="00A137CA"/>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52"/>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621"/>
    <w:rsid w:val="00A509D1"/>
    <w:rsid w:val="00A50F08"/>
    <w:rsid w:val="00A51638"/>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331"/>
    <w:rsid w:val="00A573F2"/>
    <w:rsid w:val="00A600AD"/>
    <w:rsid w:val="00A60CCF"/>
    <w:rsid w:val="00A62766"/>
    <w:rsid w:val="00A62D33"/>
    <w:rsid w:val="00A62EE1"/>
    <w:rsid w:val="00A63A42"/>
    <w:rsid w:val="00A6452F"/>
    <w:rsid w:val="00A64537"/>
    <w:rsid w:val="00A64849"/>
    <w:rsid w:val="00A65D43"/>
    <w:rsid w:val="00A664D7"/>
    <w:rsid w:val="00A668F8"/>
    <w:rsid w:val="00A66F42"/>
    <w:rsid w:val="00A6784F"/>
    <w:rsid w:val="00A70748"/>
    <w:rsid w:val="00A70C71"/>
    <w:rsid w:val="00A716B5"/>
    <w:rsid w:val="00A718B5"/>
    <w:rsid w:val="00A71A4F"/>
    <w:rsid w:val="00A72D0E"/>
    <w:rsid w:val="00A73457"/>
    <w:rsid w:val="00A739F8"/>
    <w:rsid w:val="00A75848"/>
    <w:rsid w:val="00A7584E"/>
    <w:rsid w:val="00A76E0D"/>
    <w:rsid w:val="00A77B5A"/>
    <w:rsid w:val="00A80342"/>
    <w:rsid w:val="00A807D4"/>
    <w:rsid w:val="00A80BCA"/>
    <w:rsid w:val="00A81663"/>
    <w:rsid w:val="00A81C62"/>
    <w:rsid w:val="00A8213A"/>
    <w:rsid w:val="00A825FE"/>
    <w:rsid w:val="00A82BFA"/>
    <w:rsid w:val="00A837AB"/>
    <w:rsid w:val="00A837CC"/>
    <w:rsid w:val="00A84051"/>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397"/>
    <w:rsid w:val="00A92A4D"/>
    <w:rsid w:val="00A92AB9"/>
    <w:rsid w:val="00A9390F"/>
    <w:rsid w:val="00A93A80"/>
    <w:rsid w:val="00A93D3A"/>
    <w:rsid w:val="00A9449A"/>
    <w:rsid w:val="00A94DA4"/>
    <w:rsid w:val="00A958A0"/>
    <w:rsid w:val="00A95E39"/>
    <w:rsid w:val="00A9731E"/>
    <w:rsid w:val="00AA002E"/>
    <w:rsid w:val="00AA0344"/>
    <w:rsid w:val="00AA0CB9"/>
    <w:rsid w:val="00AA109C"/>
    <w:rsid w:val="00AA1364"/>
    <w:rsid w:val="00AA1399"/>
    <w:rsid w:val="00AA186A"/>
    <w:rsid w:val="00AA1E2B"/>
    <w:rsid w:val="00AA229E"/>
    <w:rsid w:val="00AA2BC3"/>
    <w:rsid w:val="00AA2CB3"/>
    <w:rsid w:val="00AA33D3"/>
    <w:rsid w:val="00AA4086"/>
    <w:rsid w:val="00AA4739"/>
    <w:rsid w:val="00AA56D1"/>
    <w:rsid w:val="00AA7113"/>
    <w:rsid w:val="00AB0475"/>
    <w:rsid w:val="00AB0A1B"/>
    <w:rsid w:val="00AB102C"/>
    <w:rsid w:val="00AB103B"/>
    <w:rsid w:val="00AB140A"/>
    <w:rsid w:val="00AB142E"/>
    <w:rsid w:val="00AB1877"/>
    <w:rsid w:val="00AB1ADB"/>
    <w:rsid w:val="00AB236C"/>
    <w:rsid w:val="00AB2710"/>
    <w:rsid w:val="00AB30BC"/>
    <w:rsid w:val="00AB47F3"/>
    <w:rsid w:val="00AB4961"/>
    <w:rsid w:val="00AB4BCF"/>
    <w:rsid w:val="00AB55AB"/>
    <w:rsid w:val="00AB58F4"/>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D0766"/>
    <w:rsid w:val="00AD08FD"/>
    <w:rsid w:val="00AD26EA"/>
    <w:rsid w:val="00AD30EF"/>
    <w:rsid w:val="00AD3A38"/>
    <w:rsid w:val="00AD567E"/>
    <w:rsid w:val="00AD66FF"/>
    <w:rsid w:val="00AD7743"/>
    <w:rsid w:val="00AE0044"/>
    <w:rsid w:val="00AE0FCF"/>
    <w:rsid w:val="00AE105C"/>
    <w:rsid w:val="00AE1560"/>
    <w:rsid w:val="00AE270A"/>
    <w:rsid w:val="00AE29E1"/>
    <w:rsid w:val="00AE2ACE"/>
    <w:rsid w:val="00AE2AED"/>
    <w:rsid w:val="00AE2B0C"/>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B3E"/>
    <w:rsid w:val="00B14FB4"/>
    <w:rsid w:val="00B16108"/>
    <w:rsid w:val="00B164A2"/>
    <w:rsid w:val="00B16C8E"/>
    <w:rsid w:val="00B16C9F"/>
    <w:rsid w:val="00B17F4F"/>
    <w:rsid w:val="00B20131"/>
    <w:rsid w:val="00B21546"/>
    <w:rsid w:val="00B2159E"/>
    <w:rsid w:val="00B2311C"/>
    <w:rsid w:val="00B231B3"/>
    <w:rsid w:val="00B23796"/>
    <w:rsid w:val="00B238C8"/>
    <w:rsid w:val="00B23A3E"/>
    <w:rsid w:val="00B23C33"/>
    <w:rsid w:val="00B243ED"/>
    <w:rsid w:val="00B24423"/>
    <w:rsid w:val="00B254B0"/>
    <w:rsid w:val="00B254D6"/>
    <w:rsid w:val="00B259FE"/>
    <w:rsid w:val="00B25C84"/>
    <w:rsid w:val="00B25E99"/>
    <w:rsid w:val="00B2730F"/>
    <w:rsid w:val="00B30405"/>
    <w:rsid w:val="00B30CBC"/>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3BF6"/>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BD"/>
    <w:rsid w:val="00B44D9E"/>
    <w:rsid w:val="00B44F97"/>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439"/>
    <w:rsid w:val="00B5345B"/>
    <w:rsid w:val="00B5391B"/>
    <w:rsid w:val="00B53B27"/>
    <w:rsid w:val="00B53E0F"/>
    <w:rsid w:val="00B54174"/>
    <w:rsid w:val="00B5468D"/>
    <w:rsid w:val="00B54C10"/>
    <w:rsid w:val="00B54C9F"/>
    <w:rsid w:val="00B55113"/>
    <w:rsid w:val="00B55121"/>
    <w:rsid w:val="00B55245"/>
    <w:rsid w:val="00B56035"/>
    <w:rsid w:val="00B56F16"/>
    <w:rsid w:val="00B56F72"/>
    <w:rsid w:val="00B57787"/>
    <w:rsid w:val="00B60120"/>
    <w:rsid w:val="00B6020B"/>
    <w:rsid w:val="00B60B97"/>
    <w:rsid w:val="00B61155"/>
    <w:rsid w:val="00B6148E"/>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7007"/>
    <w:rsid w:val="00B671CA"/>
    <w:rsid w:val="00B67259"/>
    <w:rsid w:val="00B677DA"/>
    <w:rsid w:val="00B67B8B"/>
    <w:rsid w:val="00B70935"/>
    <w:rsid w:val="00B70A5C"/>
    <w:rsid w:val="00B713FB"/>
    <w:rsid w:val="00B7174D"/>
    <w:rsid w:val="00B71DAE"/>
    <w:rsid w:val="00B720F9"/>
    <w:rsid w:val="00B72899"/>
    <w:rsid w:val="00B72E2D"/>
    <w:rsid w:val="00B73F1A"/>
    <w:rsid w:val="00B74444"/>
    <w:rsid w:val="00B74B8C"/>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DE2"/>
    <w:rsid w:val="00BA517E"/>
    <w:rsid w:val="00BA6E70"/>
    <w:rsid w:val="00BA6E92"/>
    <w:rsid w:val="00BA7112"/>
    <w:rsid w:val="00BB0335"/>
    <w:rsid w:val="00BB1726"/>
    <w:rsid w:val="00BB24AF"/>
    <w:rsid w:val="00BB27A7"/>
    <w:rsid w:val="00BB28FC"/>
    <w:rsid w:val="00BB2E7A"/>
    <w:rsid w:val="00BB33E8"/>
    <w:rsid w:val="00BB3A5A"/>
    <w:rsid w:val="00BB5508"/>
    <w:rsid w:val="00BB55EC"/>
    <w:rsid w:val="00BB562D"/>
    <w:rsid w:val="00BB60B4"/>
    <w:rsid w:val="00BB60EB"/>
    <w:rsid w:val="00BC016F"/>
    <w:rsid w:val="00BC0317"/>
    <w:rsid w:val="00BC0332"/>
    <w:rsid w:val="00BC0937"/>
    <w:rsid w:val="00BC154D"/>
    <w:rsid w:val="00BC16C1"/>
    <w:rsid w:val="00BC1897"/>
    <w:rsid w:val="00BC1E5D"/>
    <w:rsid w:val="00BC1F51"/>
    <w:rsid w:val="00BC226F"/>
    <w:rsid w:val="00BC2A13"/>
    <w:rsid w:val="00BC2FA9"/>
    <w:rsid w:val="00BC3045"/>
    <w:rsid w:val="00BC30FA"/>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11F6"/>
    <w:rsid w:val="00BD1A78"/>
    <w:rsid w:val="00BD3868"/>
    <w:rsid w:val="00BD3969"/>
    <w:rsid w:val="00BD458D"/>
    <w:rsid w:val="00BD494E"/>
    <w:rsid w:val="00BD49A3"/>
    <w:rsid w:val="00BD5BF9"/>
    <w:rsid w:val="00BD60EB"/>
    <w:rsid w:val="00BD6263"/>
    <w:rsid w:val="00BD6407"/>
    <w:rsid w:val="00BD68AA"/>
    <w:rsid w:val="00BD6D9A"/>
    <w:rsid w:val="00BD75F2"/>
    <w:rsid w:val="00BD79ED"/>
    <w:rsid w:val="00BD7A43"/>
    <w:rsid w:val="00BE090B"/>
    <w:rsid w:val="00BE10BC"/>
    <w:rsid w:val="00BE138B"/>
    <w:rsid w:val="00BE18E9"/>
    <w:rsid w:val="00BE1EF9"/>
    <w:rsid w:val="00BE24CC"/>
    <w:rsid w:val="00BE2B92"/>
    <w:rsid w:val="00BE2F2B"/>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9DA"/>
    <w:rsid w:val="00BF4A06"/>
    <w:rsid w:val="00BF532B"/>
    <w:rsid w:val="00BF5A50"/>
    <w:rsid w:val="00BF676D"/>
    <w:rsid w:val="00BF694B"/>
    <w:rsid w:val="00BF6E5F"/>
    <w:rsid w:val="00BF739C"/>
    <w:rsid w:val="00BF784C"/>
    <w:rsid w:val="00BF7FD8"/>
    <w:rsid w:val="00C00B2C"/>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4518"/>
    <w:rsid w:val="00C14958"/>
    <w:rsid w:val="00C14E52"/>
    <w:rsid w:val="00C15276"/>
    <w:rsid w:val="00C1570A"/>
    <w:rsid w:val="00C16509"/>
    <w:rsid w:val="00C1672E"/>
    <w:rsid w:val="00C16AB9"/>
    <w:rsid w:val="00C1767F"/>
    <w:rsid w:val="00C17AD8"/>
    <w:rsid w:val="00C17E8D"/>
    <w:rsid w:val="00C20919"/>
    <w:rsid w:val="00C20ACC"/>
    <w:rsid w:val="00C210B0"/>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3370"/>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757"/>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590"/>
    <w:rsid w:val="00C53879"/>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2028"/>
    <w:rsid w:val="00C62731"/>
    <w:rsid w:val="00C62B22"/>
    <w:rsid w:val="00C634FE"/>
    <w:rsid w:val="00C63AEB"/>
    <w:rsid w:val="00C64270"/>
    <w:rsid w:val="00C6469E"/>
    <w:rsid w:val="00C658B2"/>
    <w:rsid w:val="00C65A75"/>
    <w:rsid w:val="00C66AE8"/>
    <w:rsid w:val="00C67012"/>
    <w:rsid w:val="00C6743F"/>
    <w:rsid w:val="00C6749E"/>
    <w:rsid w:val="00C67DBC"/>
    <w:rsid w:val="00C70107"/>
    <w:rsid w:val="00C70D10"/>
    <w:rsid w:val="00C70D77"/>
    <w:rsid w:val="00C71644"/>
    <w:rsid w:val="00C71649"/>
    <w:rsid w:val="00C71BC6"/>
    <w:rsid w:val="00C71C06"/>
    <w:rsid w:val="00C74213"/>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4D77"/>
    <w:rsid w:val="00C850DD"/>
    <w:rsid w:val="00C867A2"/>
    <w:rsid w:val="00C868BF"/>
    <w:rsid w:val="00C87492"/>
    <w:rsid w:val="00C8762D"/>
    <w:rsid w:val="00C87C0D"/>
    <w:rsid w:val="00C900AE"/>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52A6"/>
    <w:rsid w:val="00C95B75"/>
    <w:rsid w:val="00C96766"/>
    <w:rsid w:val="00C96F1E"/>
    <w:rsid w:val="00C97527"/>
    <w:rsid w:val="00CA08E0"/>
    <w:rsid w:val="00CA0B96"/>
    <w:rsid w:val="00CA0F18"/>
    <w:rsid w:val="00CA160A"/>
    <w:rsid w:val="00CA21E7"/>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A0C"/>
    <w:rsid w:val="00CB1FB6"/>
    <w:rsid w:val="00CB23A5"/>
    <w:rsid w:val="00CB2671"/>
    <w:rsid w:val="00CB299F"/>
    <w:rsid w:val="00CB2EE3"/>
    <w:rsid w:val="00CB2F57"/>
    <w:rsid w:val="00CB327E"/>
    <w:rsid w:val="00CB3339"/>
    <w:rsid w:val="00CB433E"/>
    <w:rsid w:val="00CB4B84"/>
    <w:rsid w:val="00CB4DD3"/>
    <w:rsid w:val="00CB59C4"/>
    <w:rsid w:val="00CB6522"/>
    <w:rsid w:val="00CB7101"/>
    <w:rsid w:val="00CB725F"/>
    <w:rsid w:val="00CB7A73"/>
    <w:rsid w:val="00CC0387"/>
    <w:rsid w:val="00CC03F9"/>
    <w:rsid w:val="00CC0B6B"/>
    <w:rsid w:val="00CC0FE1"/>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14"/>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5124"/>
    <w:rsid w:val="00CE5D95"/>
    <w:rsid w:val="00CE5EC6"/>
    <w:rsid w:val="00CE688B"/>
    <w:rsid w:val="00CE6F26"/>
    <w:rsid w:val="00CE73FB"/>
    <w:rsid w:val="00CE74FA"/>
    <w:rsid w:val="00CE758A"/>
    <w:rsid w:val="00CE7649"/>
    <w:rsid w:val="00CE7C85"/>
    <w:rsid w:val="00CF02A7"/>
    <w:rsid w:val="00CF0393"/>
    <w:rsid w:val="00CF0FD0"/>
    <w:rsid w:val="00CF1AA0"/>
    <w:rsid w:val="00CF2379"/>
    <w:rsid w:val="00CF2484"/>
    <w:rsid w:val="00CF2E19"/>
    <w:rsid w:val="00CF40F9"/>
    <w:rsid w:val="00CF4E00"/>
    <w:rsid w:val="00CF501C"/>
    <w:rsid w:val="00CF5575"/>
    <w:rsid w:val="00CF6BC7"/>
    <w:rsid w:val="00CF6EE3"/>
    <w:rsid w:val="00CF7C1D"/>
    <w:rsid w:val="00D0046E"/>
    <w:rsid w:val="00D00E6E"/>
    <w:rsid w:val="00D020C2"/>
    <w:rsid w:val="00D027B3"/>
    <w:rsid w:val="00D027CD"/>
    <w:rsid w:val="00D04389"/>
    <w:rsid w:val="00D04508"/>
    <w:rsid w:val="00D04679"/>
    <w:rsid w:val="00D04D12"/>
    <w:rsid w:val="00D04E6B"/>
    <w:rsid w:val="00D05D22"/>
    <w:rsid w:val="00D05E62"/>
    <w:rsid w:val="00D06041"/>
    <w:rsid w:val="00D062A0"/>
    <w:rsid w:val="00D0788E"/>
    <w:rsid w:val="00D07AF4"/>
    <w:rsid w:val="00D07F21"/>
    <w:rsid w:val="00D101AA"/>
    <w:rsid w:val="00D105EF"/>
    <w:rsid w:val="00D10C69"/>
    <w:rsid w:val="00D113D4"/>
    <w:rsid w:val="00D1144A"/>
    <w:rsid w:val="00D11D37"/>
    <w:rsid w:val="00D126BB"/>
    <w:rsid w:val="00D13307"/>
    <w:rsid w:val="00D13B4E"/>
    <w:rsid w:val="00D13FB8"/>
    <w:rsid w:val="00D140D3"/>
    <w:rsid w:val="00D14151"/>
    <w:rsid w:val="00D143E2"/>
    <w:rsid w:val="00D14729"/>
    <w:rsid w:val="00D14BDA"/>
    <w:rsid w:val="00D153A3"/>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7C"/>
    <w:rsid w:val="00D44BF7"/>
    <w:rsid w:val="00D44DB6"/>
    <w:rsid w:val="00D450E9"/>
    <w:rsid w:val="00D456E8"/>
    <w:rsid w:val="00D456EC"/>
    <w:rsid w:val="00D457E6"/>
    <w:rsid w:val="00D467AB"/>
    <w:rsid w:val="00D50182"/>
    <w:rsid w:val="00D5031E"/>
    <w:rsid w:val="00D5051E"/>
    <w:rsid w:val="00D50582"/>
    <w:rsid w:val="00D50960"/>
    <w:rsid w:val="00D50C4D"/>
    <w:rsid w:val="00D51145"/>
    <w:rsid w:val="00D51690"/>
    <w:rsid w:val="00D51D38"/>
    <w:rsid w:val="00D52469"/>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3BD9"/>
    <w:rsid w:val="00D64591"/>
    <w:rsid w:val="00D64954"/>
    <w:rsid w:val="00D64C7F"/>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DA0"/>
    <w:rsid w:val="00D774B9"/>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4E"/>
    <w:rsid w:val="00DA559B"/>
    <w:rsid w:val="00DA6CC0"/>
    <w:rsid w:val="00DA6FCB"/>
    <w:rsid w:val="00DA7511"/>
    <w:rsid w:val="00DA7597"/>
    <w:rsid w:val="00DA7B68"/>
    <w:rsid w:val="00DB055B"/>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63F3"/>
    <w:rsid w:val="00DB6D95"/>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D0765"/>
    <w:rsid w:val="00DD14FA"/>
    <w:rsid w:val="00DD1857"/>
    <w:rsid w:val="00DD38C9"/>
    <w:rsid w:val="00DD3BFD"/>
    <w:rsid w:val="00DD4308"/>
    <w:rsid w:val="00DD43A5"/>
    <w:rsid w:val="00DD550E"/>
    <w:rsid w:val="00DD597F"/>
    <w:rsid w:val="00DD5D13"/>
    <w:rsid w:val="00DD5E66"/>
    <w:rsid w:val="00DD6060"/>
    <w:rsid w:val="00DD632C"/>
    <w:rsid w:val="00DD6D9E"/>
    <w:rsid w:val="00DD7343"/>
    <w:rsid w:val="00DD7576"/>
    <w:rsid w:val="00DD7C69"/>
    <w:rsid w:val="00DE01D3"/>
    <w:rsid w:val="00DE0972"/>
    <w:rsid w:val="00DE098D"/>
    <w:rsid w:val="00DE0E43"/>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EE4"/>
    <w:rsid w:val="00DF219D"/>
    <w:rsid w:val="00DF2F14"/>
    <w:rsid w:val="00DF348F"/>
    <w:rsid w:val="00DF3D3C"/>
    <w:rsid w:val="00DF4476"/>
    <w:rsid w:val="00DF46CD"/>
    <w:rsid w:val="00DF58DC"/>
    <w:rsid w:val="00DF59D7"/>
    <w:rsid w:val="00DF5A09"/>
    <w:rsid w:val="00DF5DEA"/>
    <w:rsid w:val="00DF65E2"/>
    <w:rsid w:val="00DF66B6"/>
    <w:rsid w:val="00DF6B20"/>
    <w:rsid w:val="00DF6B42"/>
    <w:rsid w:val="00E0018B"/>
    <w:rsid w:val="00E002C1"/>
    <w:rsid w:val="00E00ED4"/>
    <w:rsid w:val="00E00FD1"/>
    <w:rsid w:val="00E01339"/>
    <w:rsid w:val="00E01416"/>
    <w:rsid w:val="00E01CCC"/>
    <w:rsid w:val="00E01D3D"/>
    <w:rsid w:val="00E0253E"/>
    <w:rsid w:val="00E02755"/>
    <w:rsid w:val="00E027EC"/>
    <w:rsid w:val="00E02CF7"/>
    <w:rsid w:val="00E02F8F"/>
    <w:rsid w:val="00E033F2"/>
    <w:rsid w:val="00E03655"/>
    <w:rsid w:val="00E03CB4"/>
    <w:rsid w:val="00E04012"/>
    <w:rsid w:val="00E04022"/>
    <w:rsid w:val="00E041F0"/>
    <w:rsid w:val="00E0455F"/>
    <w:rsid w:val="00E04CE3"/>
    <w:rsid w:val="00E051F3"/>
    <w:rsid w:val="00E0525A"/>
    <w:rsid w:val="00E053B6"/>
    <w:rsid w:val="00E05832"/>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ADE"/>
    <w:rsid w:val="00E16B1C"/>
    <w:rsid w:val="00E16E8F"/>
    <w:rsid w:val="00E178A0"/>
    <w:rsid w:val="00E20071"/>
    <w:rsid w:val="00E20ECA"/>
    <w:rsid w:val="00E20EEA"/>
    <w:rsid w:val="00E218DB"/>
    <w:rsid w:val="00E21E9E"/>
    <w:rsid w:val="00E227FC"/>
    <w:rsid w:val="00E22E2C"/>
    <w:rsid w:val="00E23E26"/>
    <w:rsid w:val="00E244E5"/>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A3D"/>
    <w:rsid w:val="00E36ABF"/>
    <w:rsid w:val="00E374AE"/>
    <w:rsid w:val="00E3772E"/>
    <w:rsid w:val="00E400E5"/>
    <w:rsid w:val="00E405F0"/>
    <w:rsid w:val="00E41387"/>
    <w:rsid w:val="00E41A4A"/>
    <w:rsid w:val="00E42023"/>
    <w:rsid w:val="00E420F3"/>
    <w:rsid w:val="00E4218B"/>
    <w:rsid w:val="00E42C43"/>
    <w:rsid w:val="00E42EEC"/>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22"/>
    <w:rsid w:val="00E52351"/>
    <w:rsid w:val="00E52CFC"/>
    <w:rsid w:val="00E5376F"/>
    <w:rsid w:val="00E54658"/>
    <w:rsid w:val="00E548D3"/>
    <w:rsid w:val="00E549E8"/>
    <w:rsid w:val="00E5616A"/>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4547"/>
    <w:rsid w:val="00E65185"/>
    <w:rsid w:val="00E65209"/>
    <w:rsid w:val="00E65750"/>
    <w:rsid w:val="00E65838"/>
    <w:rsid w:val="00E65969"/>
    <w:rsid w:val="00E65AE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202D"/>
    <w:rsid w:val="00E92185"/>
    <w:rsid w:val="00E92218"/>
    <w:rsid w:val="00E925C1"/>
    <w:rsid w:val="00E929A4"/>
    <w:rsid w:val="00E92DB1"/>
    <w:rsid w:val="00E940D1"/>
    <w:rsid w:val="00E94228"/>
    <w:rsid w:val="00E94890"/>
    <w:rsid w:val="00E94D3E"/>
    <w:rsid w:val="00E95985"/>
    <w:rsid w:val="00E961E6"/>
    <w:rsid w:val="00E9632D"/>
    <w:rsid w:val="00E96902"/>
    <w:rsid w:val="00E96ACB"/>
    <w:rsid w:val="00E97436"/>
    <w:rsid w:val="00E97AAB"/>
    <w:rsid w:val="00E97C61"/>
    <w:rsid w:val="00EA08AE"/>
    <w:rsid w:val="00EA0A49"/>
    <w:rsid w:val="00EA26A3"/>
    <w:rsid w:val="00EA2AD0"/>
    <w:rsid w:val="00EA3D20"/>
    <w:rsid w:val="00EA4AB0"/>
    <w:rsid w:val="00EA4B46"/>
    <w:rsid w:val="00EA52ED"/>
    <w:rsid w:val="00EA5838"/>
    <w:rsid w:val="00EA585C"/>
    <w:rsid w:val="00EA5932"/>
    <w:rsid w:val="00EA5E41"/>
    <w:rsid w:val="00EA6288"/>
    <w:rsid w:val="00EA7505"/>
    <w:rsid w:val="00EA799A"/>
    <w:rsid w:val="00EA7C6A"/>
    <w:rsid w:val="00EB0004"/>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111A"/>
    <w:rsid w:val="00EC20FD"/>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2821"/>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3DA"/>
    <w:rsid w:val="00EF4695"/>
    <w:rsid w:val="00EF4964"/>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55FE"/>
    <w:rsid w:val="00F0642E"/>
    <w:rsid w:val="00F06BF2"/>
    <w:rsid w:val="00F07AC4"/>
    <w:rsid w:val="00F07BC6"/>
    <w:rsid w:val="00F07E1E"/>
    <w:rsid w:val="00F10891"/>
    <w:rsid w:val="00F10E32"/>
    <w:rsid w:val="00F1124B"/>
    <w:rsid w:val="00F11369"/>
    <w:rsid w:val="00F12147"/>
    <w:rsid w:val="00F124B3"/>
    <w:rsid w:val="00F1280F"/>
    <w:rsid w:val="00F12F99"/>
    <w:rsid w:val="00F1378E"/>
    <w:rsid w:val="00F13856"/>
    <w:rsid w:val="00F13A89"/>
    <w:rsid w:val="00F13CD7"/>
    <w:rsid w:val="00F13E3C"/>
    <w:rsid w:val="00F144D2"/>
    <w:rsid w:val="00F146B7"/>
    <w:rsid w:val="00F147AB"/>
    <w:rsid w:val="00F158F0"/>
    <w:rsid w:val="00F15C15"/>
    <w:rsid w:val="00F16768"/>
    <w:rsid w:val="00F16C8B"/>
    <w:rsid w:val="00F17133"/>
    <w:rsid w:val="00F17266"/>
    <w:rsid w:val="00F17573"/>
    <w:rsid w:val="00F1772C"/>
    <w:rsid w:val="00F20002"/>
    <w:rsid w:val="00F20531"/>
    <w:rsid w:val="00F206D1"/>
    <w:rsid w:val="00F20F42"/>
    <w:rsid w:val="00F211C8"/>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5F1"/>
    <w:rsid w:val="00F61FBC"/>
    <w:rsid w:val="00F622A6"/>
    <w:rsid w:val="00F62D72"/>
    <w:rsid w:val="00F62F83"/>
    <w:rsid w:val="00F63502"/>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5D"/>
    <w:rsid w:val="00F75ACA"/>
    <w:rsid w:val="00F75FEC"/>
    <w:rsid w:val="00F7699F"/>
    <w:rsid w:val="00F76A15"/>
    <w:rsid w:val="00F76D74"/>
    <w:rsid w:val="00F770B9"/>
    <w:rsid w:val="00F77EBD"/>
    <w:rsid w:val="00F77EE7"/>
    <w:rsid w:val="00F80307"/>
    <w:rsid w:val="00F815E5"/>
    <w:rsid w:val="00F81635"/>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D47"/>
    <w:rsid w:val="00F94E94"/>
    <w:rsid w:val="00F94F33"/>
    <w:rsid w:val="00F951D1"/>
    <w:rsid w:val="00F95214"/>
    <w:rsid w:val="00F95453"/>
    <w:rsid w:val="00F96318"/>
    <w:rsid w:val="00FA06B1"/>
    <w:rsid w:val="00FA1639"/>
    <w:rsid w:val="00FA1E5F"/>
    <w:rsid w:val="00FA1F12"/>
    <w:rsid w:val="00FA2952"/>
    <w:rsid w:val="00FA3120"/>
    <w:rsid w:val="00FA3281"/>
    <w:rsid w:val="00FA461B"/>
    <w:rsid w:val="00FA4683"/>
    <w:rsid w:val="00FA4C0D"/>
    <w:rsid w:val="00FA4D1C"/>
    <w:rsid w:val="00FA50FF"/>
    <w:rsid w:val="00FA5711"/>
    <w:rsid w:val="00FA5A15"/>
    <w:rsid w:val="00FA5EEE"/>
    <w:rsid w:val="00FA6BD4"/>
    <w:rsid w:val="00FA6BDC"/>
    <w:rsid w:val="00FA7A47"/>
    <w:rsid w:val="00FB02D6"/>
    <w:rsid w:val="00FB03EC"/>
    <w:rsid w:val="00FB096B"/>
    <w:rsid w:val="00FB1689"/>
    <w:rsid w:val="00FB1EF9"/>
    <w:rsid w:val="00FB3AC7"/>
    <w:rsid w:val="00FB478F"/>
    <w:rsid w:val="00FB488B"/>
    <w:rsid w:val="00FB4B57"/>
    <w:rsid w:val="00FB4CD9"/>
    <w:rsid w:val="00FB5165"/>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6F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A85"/>
    <w:rsid w:val="00FE2CCB"/>
    <w:rsid w:val="00FE2D1A"/>
    <w:rsid w:val="00FE2D4E"/>
    <w:rsid w:val="00FE354A"/>
    <w:rsid w:val="00FE37DD"/>
    <w:rsid w:val="00FE3B07"/>
    <w:rsid w:val="00FE44C9"/>
    <w:rsid w:val="00FE4EB4"/>
    <w:rsid w:val="00FE501C"/>
    <w:rsid w:val="00FE530B"/>
    <w:rsid w:val="00FE55A6"/>
    <w:rsid w:val="00FE7DCA"/>
    <w:rsid w:val="00FE7E2D"/>
    <w:rsid w:val="00FF135D"/>
    <w:rsid w:val="00FF13B3"/>
    <w:rsid w:val="00FF146C"/>
    <w:rsid w:val="00FF34A2"/>
    <w:rsid w:val="00FF395D"/>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9697"/>
    <o:shapelayout v:ext="edit">
      <o:idmap v:ext="edit" data="1"/>
    </o:shapelayout>
  </w:shapeDefaults>
  <w:decimalSymbol w:val="."/>
  <w:listSeparator w:val=","/>
  <w14:docId w14:val="1282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14560D"/>
    <w:pPr>
      <w:ind w:left="720"/>
      <w:contextualSpacing/>
    </w:pPr>
  </w:style>
  <w:style w:type="character" w:customStyle="1" w:styleId="HeaderChar">
    <w:name w:val="Header Char"/>
    <w:basedOn w:val="DefaultParagraphFont"/>
    <w:link w:val="Header"/>
    <w:uiPriority w:val="99"/>
    <w:rsid w:val="008A3BE6"/>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14560D"/>
    <w:pPr>
      <w:ind w:left="720"/>
      <w:contextualSpacing/>
    </w:pPr>
  </w:style>
  <w:style w:type="character" w:customStyle="1" w:styleId="HeaderChar">
    <w:name w:val="Header Char"/>
    <w:basedOn w:val="DefaultParagraphFont"/>
    <w:link w:val="Header"/>
    <w:uiPriority w:val="99"/>
    <w:rsid w:val="008A3BE6"/>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5141">
      <w:bodyDiv w:val="1"/>
      <w:marLeft w:val="0"/>
      <w:marRight w:val="0"/>
      <w:marTop w:val="0"/>
      <w:marBottom w:val="0"/>
      <w:divBdr>
        <w:top w:val="none" w:sz="0" w:space="0" w:color="auto"/>
        <w:left w:val="none" w:sz="0" w:space="0" w:color="auto"/>
        <w:bottom w:val="none" w:sz="0" w:space="0" w:color="auto"/>
        <w:right w:val="none" w:sz="0" w:space="0" w:color="auto"/>
      </w:divBdr>
      <w:divsChild>
        <w:div w:id="518390758">
          <w:marLeft w:val="0"/>
          <w:marRight w:val="0"/>
          <w:marTop w:val="0"/>
          <w:marBottom w:val="0"/>
          <w:divBdr>
            <w:top w:val="none" w:sz="0" w:space="0" w:color="auto"/>
            <w:left w:val="none" w:sz="0" w:space="0" w:color="auto"/>
            <w:bottom w:val="none" w:sz="0" w:space="0" w:color="auto"/>
            <w:right w:val="none" w:sz="0" w:space="0" w:color="auto"/>
          </w:divBdr>
          <w:divsChild>
            <w:div w:id="175677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7CA30-3953-4ABC-8932-4E3CF052956A}">
  <ds:schemaRefs>
    <ds:schemaRef ds:uri="http://purl.org/dc/dcmitype/"/>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7275C80-1ADD-4620-9824-9988A4246F4F}">
  <ds:schemaRefs>
    <ds:schemaRef ds:uri="http://schemas.microsoft.com/sharepoint/v3/contenttype/forms"/>
  </ds:schemaRefs>
</ds:datastoreItem>
</file>

<file path=customXml/itemProps3.xml><?xml version="1.0" encoding="utf-8"?>
<ds:datastoreItem xmlns:ds="http://schemas.openxmlformats.org/officeDocument/2006/customXml" ds:itemID="{2575CF54-2453-473A-A61D-2E847C8B7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4C01B3-685A-429E-8792-36B210B93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1438</Words>
  <Characters>8201</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lpstr>
    </vt:vector>
  </TitlesOfParts>
  <Company>AIG</Company>
  <LinksUpToDate>false</LinksUpToDate>
  <CharactersWithSpaces>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2013-05-30T21:30:00Z</cp:lastPrinted>
  <dcterms:created xsi:type="dcterms:W3CDTF">2015-12-02T20:05:00Z</dcterms:created>
  <dcterms:modified xsi:type="dcterms:W3CDTF">2015-12-02T20:05:00Z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0x010100E493FD8593A80341801924389BFE2A65</vt:lpwstr>
  </property>
</Properties>
</file>