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6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232"/>
        <w:gridCol w:w="4140"/>
        <w:gridCol w:w="4248"/>
      </w:tblGrid>
      <w:tr w:rsidR="00E9632D" w:rsidRPr="004A024A" w14:paraId="284B9638" w14:textId="77777777" w:rsidTr="000B6CA2">
        <w:tc>
          <w:tcPr>
            <w:tcW w:w="6372" w:type="dxa"/>
            <w:gridSpan w:val="2"/>
          </w:tcPr>
          <w:p w14:paraId="284B9633" w14:textId="77777777" w:rsidR="00E9632D" w:rsidRDefault="00A45052" w:rsidP="00B96178">
            <w:pPr>
              <w:rPr>
                <w:rFonts w:ascii="Arial" w:hAnsi="Arial" w:cs="Arial"/>
                <w:b/>
                <w:sz w:val="16"/>
                <w:szCs w:val="16"/>
              </w:rPr>
            </w:pPr>
            <w:bookmarkStart w:id="0" w:name="_GoBack"/>
            <w:bookmarkEnd w:id="0"/>
            <w:r>
              <w:rPr>
                <w:rFonts w:ascii="Arial" w:hAnsi="Arial" w:cs="Arial"/>
                <w:b/>
                <w:sz w:val="16"/>
                <w:szCs w:val="16"/>
              </w:rPr>
              <w:t>Category</w:t>
            </w:r>
            <w:r w:rsidR="00E9632D" w:rsidRPr="0009606F">
              <w:rPr>
                <w:rFonts w:ascii="Arial" w:hAnsi="Arial" w:cs="Arial"/>
                <w:b/>
                <w:sz w:val="16"/>
                <w:szCs w:val="16"/>
              </w:rPr>
              <w:t>:</w:t>
            </w:r>
            <w:r w:rsidR="00E9632D">
              <w:rPr>
                <w:rFonts w:ascii="Arial" w:hAnsi="Arial" w:cs="Arial"/>
                <w:b/>
                <w:sz w:val="16"/>
                <w:szCs w:val="16"/>
              </w:rPr>
              <w:t xml:space="preserve"> </w:t>
            </w:r>
          </w:p>
          <w:p w14:paraId="284B9634" w14:textId="77777777" w:rsidR="00A45052" w:rsidRPr="00335743" w:rsidRDefault="00B677DA" w:rsidP="00B96178">
            <w:pPr>
              <w:rPr>
                <w:rFonts w:ascii="Arial" w:hAnsi="Arial" w:cs="Arial"/>
                <w:b/>
                <w:color w:val="00B0F0"/>
                <w:sz w:val="20"/>
                <w:szCs w:val="20"/>
              </w:rPr>
            </w:pPr>
            <w:r w:rsidRPr="00335743">
              <w:rPr>
                <w:rFonts w:ascii="Arial" w:hAnsi="Arial" w:cs="Arial"/>
                <w:b/>
                <w:bCs/>
                <w:color w:val="00B0F0"/>
                <w:sz w:val="20"/>
                <w:szCs w:val="20"/>
              </w:rPr>
              <w:t>Standard</w:t>
            </w:r>
          </w:p>
        </w:tc>
        <w:tc>
          <w:tcPr>
            <w:tcW w:w="4248" w:type="dxa"/>
          </w:tcPr>
          <w:p w14:paraId="284B9635" w14:textId="77777777" w:rsidR="00E9632D" w:rsidRDefault="00E9632D" w:rsidP="00427A89">
            <w:pPr>
              <w:jc w:val="both"/>
              <w:rPr>
                <w:rFonts w:ascii="Arial" w:hAnsi="Arial" w:cs="Arial"/>
                <w:i/>
                <w:iCs/>
                <w:sz w:val="16"/>
                <w:szCs w:val="16"/>
              </w:rPr>
            </w:pPr>
            <w:r>
              <w:rPr>
                <w:rFonts w:ascii="Arial" w:hAnsi="Arial" w:cs="Arial"/>
                <w:b/>
                <w:bCs/>
                <w:sz w:val="16"/>
                <w:szCs w:val="16"/>
              </w:rPr>
              <w:t>Functional Area</w:t>
            </w:r>
            <w:r>
              <w:rPr>
                <w:rFonts w:ascii="Arial" w:hAnsi="Arial" w:cs="Arial"/>
                <w:i/>
                <w:iCs/>
                <w:sz w:val="16"/>
                <w:szCs w:val="16"/>
              </w:rPr>
              <w:t>:</w:t>
            </w:r>
          </w:p>
          <w:p w14:paraId="284B9636" w14:textId="77777777" w:rsidR="00E9632D" w:rsidRPr="00335743" w:rsidRDefault="00E9632D" w:rsidP="00427A89">
            <w:pPr>
              <w:jc w:val="both"/>
              <w:rPr>
                <w:b/>
                <w:color w:val="00B0F0"/>
                <w:sz w:val="20"/>
                <w:szCs w:val="20"/>
              </w:rPr>
            </w:pPr>
            <w:r w:rsidRPr="00335743">
              <w:rPr>
                <w:rFonts w:ascii="Arial" w:hAnsi="Arial" w:cs="Arial"/>
                <w:b/>
                <w:iCs/>
                <w:color w:val="00B0F0"/>
                <w:sz w:val="20"/>
                <w:szCs w:val="20"/>
              </w:rPr>
              <w:t xml:space="preserve">Global </w:t>
            </w:r>
            <w:r w:rsidR="00A45052" w:rsidRPr="00335743">
              <w:rPr>
                <w:rFonts w:ascii="Arial" w:hAnsi="Arial" w:cs="Arial"/>
                <w:b/>
                <w:iCs/>
                <w:color w:val="00B0F0"/>
                <w:sz w:val="20"/>
                <w:szCs w:val="20"/>
              </w:rPr>
              <w:t xml:space="preserve">Commercial </w:t>
            </w:r>
            <w:r w:rsidRPr="00335743">
              <w:rPr>
                <w:rFonts w:ascii="Arial" w:hAnsi="Arial" w:cs="Arial"/>
                <w:b/>
                <w:iCs/>
                <w:color w:val="00B0F0"/>
                <w:sz w:val="20"/>
                <w:szCs w:val="20"/>
              </w:rPr>
              <w:t>Underwriting</w:t>
            </w:r>
          </w:p>
          <w:p w14:paraId="284B9637" w14:textId="77777777" w:rsidR="00E9632D" w:rsidRPr="0009606F" w:rsidRDefault="00E9632D" w:rsidP="00427A89">
            <w:pPr>
              <w:jc w:val="both"/>
              <w:rPr>
                <w:rFonts w:ascii="Arial" w:hAnsi="Arial" w:cs="Arial"/>
                <w:i/>
                <w:iCs/>
                <w:sz w:val="16"/>
                <w:szCs w:val="16"/>
              </w:rPr>
            </w:pPr>
          </w:p>
        </w:tc>
      </w:tr>
      <w:tr w:rsidR="00E9632D" w:rsidRPr="004A024A" w14:paraId="284B963E" w14:textId="77777777" w:rsidTr="000B6CA2">
        <w:tc>
          <w:tcPr>
            <w:tcW w:w="6372" w:type="dxa"/>
            <w:gridSpan w:val="2"/>
          </w:tcPr>
          <w:p w14:paraId="284B9639" w14:textId="77777777" w:rsidR="00E9632D" w:rsidRDefault="00E9632D" w:rsidP="00B96178">
            <w:pPr>
              <w:jc w:val="both"/>
              <w:rPr>
                <w:rFonts w:ascii="Arial" w:hAnsi="Arial" w:cs="Arial"/>
                <w:i/>
                <w:iCs/>
                <w:sz w:val="16"/>
                <w:szCs w:val="16"/>
              </w:rPr>
            </w:pPr>
            <w:r w:rsidRPr="006D7119">
              <w:rPr>
                <w:rFonts w:ascii="Arial" w:hAnsi="Arial" w:cs="Arial"/>
                <w:b/>
                <w:bCs/>
                <w:sz w:val="16"/>
                <w:szCs w:val="16"/>
              </w:rPr>
              <w:t>Effective Date</w:t>
            </w:r>
            <w:r w:rsidRPr="006D7119">
              <w:rPr>
                <w:rFonts w:ascii="Arial" w:hAnsi="Arial" w:cs="Arial"/>
                <w:i/>
                <w:iCs/>
                <w:sz w:val="16"/>
                <w:szCs w:val="16"/>
              </w:rPr>
              <w:t xml:space="preserve">: </w:t>
            </w:r>
          </w:p>
          <w:p w14:paraId="284B963A" w14:textId="77777777" w:rsidR="00E9632D" w:rsidRPr="00335743" w:rsidRDefault="00E9632D" w:rsidP="00B96178">
            <w:pPr>
              <w:jc w:val="both"/>
              <w:rPr>
                <w:rFonts w:ascii="Arial" w:hAnsi="Arial" w:cs="Arial"/>
                <w:b/>
                <w:bCs/>
                <w:color w:val="00B0F0"/>
                <w:sz w:val="16"/>
                <w:szCs w:val="16"/>
              </w:rPr>
            </w:pPr>
            <w:r w:rsidRPr="00335743">
              <w:rPr>
                <w:rFonts w:ascii="Arial" w:hAnsi="Arial" w:cs="Arial"/>
                <w:i/>
                <w:iCs/>
                <w:color w:val="00B0F0"/>
                <w:sz w:val="16"/>
                <w:szCs w:val="16"/>
              </w:rPr>
              <w:t xml:space="preserve"> </w:t>
            </w:r>
            <w:r w:rsidR="00A11D64" w:rsidRPr="00335743">
              <w:rPr>
                <w:rFonts w:ascii="Arial" w:hAnsi="Arial" w:cs="Arial"/>
                <w:b/>
                <w:i/>
                <w:iCs/>
                <w:color w:val="00B0F0"/>
                <w:sz w:val="20"/>
                <w:szCs w:val="20"/>
              </w:rPr>
              <w:t>July 15</w:t>
            </w:r>
            <w:r w:rsidR="00424CF3" w:rsidRPr="00335743">
              <w:rPr>
                <w:rFonts w:ascii="Arial" w:hAnsi="Arial" w:cs="Arial"/>
                <w:b/>
                <w:i/>
                <w:iCs/>
                <w:color w:val="00B0F0"/>
                <w:sz w:val="20"/>
                <w:szCs w:val="20"/>
              </w:rPr>
              <w:t>,</w:t>
            </w:r>
            <w:r w:rsidR="003123BD" w:rsidRPr="00335743">
              <w:rPr>
                <w:rFonts w:ascii="Arial" w:hAnsi="Arial" w:cs="Arial"/>
                <w:b/>
                <w:i/>
                <w:iCs/>
                <w:color w:val="00B0F0"/>
                <w:sz w:val="20"/>
                <w:szCs w:val="20"/>
              </w:rPr>
              <w:t xml:space="preserve"> 2013</w:t>
            </w:r>
            <w:r w:rsidRPr="00335743">
              <w:rPr>
                <w:rFonts w:ascii="Arial" w:hAnsi="Arial" w:cs="Arial"/>
                <w:b/>
                <w:i/>
                <w:iCs/>
                <w:color w:val="00B0F0"/>
                <w:sz w:val="20"/>
                <w:szCs w:val="20"/>
              </w:rPr>
              <w:t xml:space="preserve"> </w:t>
            </w:r>
          </w:p>
        </w:tc>
        <w:tc>
          <w:tcPr>
            <w:tcW w:w="4248" w:type="dxa"/>
          </w:tcPr>
          <w:p w14:paraId="284B963B" w14:textId="77777777" w:rsidR="00E9632D" w:rsidRDefault="00E9632D" w:rsidP="00B96178">
            <w:pPr>
              <w:rPr>
                <w:rFonts w:ascii="Arial" w:hAnsi="Arial" w:cs="Arial"/>
                <w:i/>
                <w:iCs/>
                <w:sz w:val="16"/>
                <w:szCs w:val="16"/>
              </w:rPr>
            </w:pPr>
            <w:r>
              <w:rPr>
                <w:rFonts w:ascii="Arial" w:hAnsi="Arial" w:cs="Arial"/>
                <w:b/>
                <w:bCs/>
                <w:sz w:val="16"/>
                <w:szCs w:val="16"/>
              </w:rPr>
              <w:t>Date Issued</w:t>
            </w:r>
            <w:r w:rsidRPr="0009606F">
              <w:rPr>
                <w:rFonts w:ascii="Arial" w:hAnsi="Arial" w:cs="Arial"/>
                <w:i/>
                <w:iCs/>
                <w:sz w:val="16"/>
                <w:szCs w:val="16"/>
              </w:rPr>
              <w:t>:</w:t>
            </w:r>
            <w:r>
              <w:rPr>
                <w:rFonts w:ascii="Arial" w:hAnsi="Arial" w:cs="Arial"/>
                <w:i/>
                <w:iCs/>
                <w:sz w:val="16"/>
                <w:szCs w:val="16"/>
              </w:rPr>
              <w:t xml:space="preserve"> </w:t>
            </w:r>
          </w:p>
          <w:p w14:paraId="284B963C" w14:textId="77777777" w:rsidR="00E9632D" w:rsidRPr="00335743" w:rsidRDefault="00E9632D" w:rsidP="00B96178">
            <w:pPr>
              <w:rPr>
                <w:rFonts w:ascii="Arial" w:hAnsi="Arial" w:cs="Arial"/>
                <w:b/>
                <w:i/>
                <w:iCs/>
                <w:color w:val="00B0F0"/>
                <w:sz w:val="20"/>
                <w:szCs w:val="20"/>
              </w:rPr>
            </w:pPr>
            <w:r>
              <w:rPr>
                <w:rFonts w:ascii="Arial" w:hAnsi="Arial" w:cs="Arial"/>
                <w:i/>
                <w:iCs/>
                <w:sz w:val="16"/>
                <w:szCs w:val="16"/>
              </w:rPr>
              <w:t xml:space="preserve"> </w:t>
            </w:r>
            <w:r w:rsidR="00A11D64" w:rsidRPr="00335743">
              <w:rPr>
                <w:rFonts w:ascii="Arial" w:hAnsi="Arial" w:cs="Arial"/>
                <w:b/>
                <w:i/>
                <w:iCs/>
                <w:color w:val="00B0F0"/>
                <w:sz w:val="20"/>
                <w:szCs w:val="20"/>
              </w:rPr>
              <w:t>July 15</w:t>
            </w:r>
            <w:r w:rsidR="003123BD" w:rsidRPr="00335743">
              <w:rPr>
                <w:rFonts w:ascii="Arial" w:hAnsi="Arial" w:cs="Arial"/>
                <w:b/>
                <w:i/>
                <w:iCs/>
                <w:color w:val="00B0F0"/>
                <w:sz w:val="20"/>
                <w:szCs w:val="20"/>
              </w:rPr>
              <w:t>, 2013</w:t>
            </w:r>
          </w:p>
          <w:p w14:paraId="284B963D" w14:textId="77777777" w:rsidR="00A45052" w:rsidRPr="00AE3A16" w:rsidRDefault="00A45052" w:rsidP="00B96178">
            <w:pPr>
              <w:rPr>
                <w:rFonts w:ascii="Arial" w:hAnsi="Arial" w:cs="Arial"/>
                <w:b/>
                <w:i/>
                <w:iCs/>
                <w:color w:val="0000FF"/>
                <w:sz w:val="20"/>
                <w:szCs w:val="20"/>
              </w:rPr>
            </w:pPr>
          </w:p>
        </w:tc>
      </w:tr>
      <w:tr w:rsidR="0012774B" w:rsidRPr="004A024A" w14:paraId="284B9644" w14:textId="77777777" w:rsidTr="000B6CA2">
        <w:trPr>
          <w:trHeight w:val="522"/>
        </w:trPr>
        <w:tc>
          <w:tcPr>
            <w:tcW w:w="6372" w:type="dxa"/>
            <w:gridSpan w:val="2"/>
          </w:tcPr>
          <w:p w14:paraId="284B963F" w14:textId="77777777" w:rsidR="0012774B" w:rsidRDefault="0012774B" w:rsidP="00CE0239">
            <w:pPr>
              <w:rPr>
                <w:rFonts w:ascii="Arial" w:hAnsi="Arial" w:cs="Arial"/>
                <w:i/>
                <w:iCs/>
                <w:color w:val="FF0000"/>
                <w:sz w:val="16"/>
                <w:szCs w:val="20"/>
              </w:rPr>
            </w:pPr>
            <w:r w:rsidRPr="0009606F">
              <w:rPr>
                <w:rFonts w:ascii="Arial" w:hAnsi="Arial" w:cs="Arial"/>
                <w:b/>
                <w:bCs/>
                <w:sz w:val="16"/>
                <w:szCs w:val="16"/>
              </w:rPr>
              <w:t>Owner:</w:t>
            </w:r>
            <w:r w:rsidRPr="00427A89">
              <w:rPr>
                <w:rFonts w:ascii="Arial" w:hAnsi="Arial" w:cs="Arial"/>
                <w:i/>
                <w:iCs/>
                <w:color w:val="FF0000"/>
                <w:sz w:val="16"/>
                <w:szCs w:val="20"/>
              </w:rPr>
              <w:t xml:space="preserve"> </w:t>
            </w:r>
          </w:p>
          <w:p w14:paraId="284B9640" w14:textId="77777777" w:rsidR="0012774B" w:rsidRPr="00335743" w:rsidRDefault="0012774B" w:rsidP="00CE0239">
            <w:pPr>
              <w:rPr>
                <w:rFonts w:ascii="Arial" w:hAnsi="Arial" w:cs="Arial"/>
                <w:b/>
                <w:bCs/>
                <w:color w:val="00B0F0"/>
                <w:sz w:val="20"/>
                <w:szCs w:val="20"/>
              </w:rPr>
            </w:pPr>
            <w:r w:rsidRPr="00335743">
              <w:rPr>
                <w:rFonts w:ascii="Arial" w:hAnsi="Arial" w:cs="Arial"/>
                <w:b/>
                <w:bCs/>
                <w:color w:val="00B0F0"/>
                <w:sz w:val="20"/>
                <w:szCs w:val="20"/>
              </w:rPr>
              <w:t xml:space="preserve">Global </w:t>
            </w:r>
            <w:r w:rsidR="00A45052" w:rsidRPr="00335743">
              <w:rPr>
                <w:rFonts w:ascii="Arial" w:hAnsi="Arial" w:cs="Arial"/>
                <w:b/>
                <w:bCs/>
                <w:color w:val="00B0F0"/>
                <w:sz w:val="20"/>
                <w:szCs w:val="20"/>
              </w:rPr>
              <w:t xml:space="preserve">Commercial </w:t>
            </w:r>
            <w:r w:rsidRPr="00335743">
              <w:rPr>
                <w:rFonts w:ascii="Arial" w:hAnsi="Arial" w:cs="Arial"/>
                <w:b/>
                <w:bCs/>
                <w:color w:val="00B0F0"/>
                <w:sz w:val="20"/>
                <w:szCs w:val="20"/>
              </w:rPr>
              <w:t>Underwriting Committee</w:t>
            </w:r>
          </w:p>
          <w:p w14:paraId="284B9641" w14:textId="77777777" w:rsidR="0012774B" w:rsidRPr="0009606F" w:rsidRDefault="0012774B" w:rsidP="00B96178">
            <w:pPr>
              <w:jc w:val="both"/>
              <w:rPr>
                <w:rFonts w:ascii="Arial" w:hAnsi="Arial" w:cs="Arial"/>
                <w:i/>
                <w:iCs/>
                <w:sz w:val="16"/>
                <w:szCs w:val="16"/>
              </w:rPr>
            </w:pPr>
            <w:r w:rsidRPr="0009606F">
              <w:rPr>
                <w:rFonts w:ascii="Arial" w:hAnsi="Arial" w:cs="Arial"/>
                <w:i/>
                <w:iCs/>
                <w:sz w:val="16"/>
                <w:szCs w:val="16"/>
              </w:rPr>
              <w:br/>
              <w:t xml:space="preserve"> </w:t>
            </w:r>
          </w:p>
        </w:tc>
        <w:tc>
          <w:tcPr>
            <w:tcW w:w="4248" w:type="dxa"/>
          </w:tcPr>
          <w:p w14:paraId="284B9642" w14:textId="77777777" w:rsidR="0012774B" w:rsidRDefault="0012774B" w:rsidP="00B96178">
            <w:pPr>
              <w:rPr>
                <w:rFonts w:ascii="Arial" w:hAnsi="Arial" w:cs="Arial"/>
                <w:sz w:val="16"/>
                <w:szCs w:val="16"/>
              </w:rPr>
            </w:pPr>
            <w:r w:rsidRPr="0009606F">
              <w:rPr>
                <w:rFonts w:ascii="Arial" w:hAnsi="Arial" w:cs="Arial"/>
                <w:b/>
                <w:bCs/>
                <w:sz w:val="16"/>
                <w:szCs w:val="16"/>
              </w:rPr>
              <w:t>Contact for Questions</w:t>
            </w:r>
            <w:r w:rsidRPr="0009606F">
              <w:rPr>
                <w:rFonts w:ascii="Arial" w:hAnsi="Arial" w:cs="Arial"/>
                <w:sz w:val="16"/>
                <w:szCs w:val="16"/>
              </w:rPr>
              <w:t>:</w:t>
            </w:r>
            <w:r w:rsidRPr="00427A89">
              <w:rPr>
                <w:rFonts w:ascii="Arial" w:hAnsi="Arial" w:cs="Arial"/>
                <w:i/>
                <w:iCs/>
                <w:color w:val="FF0000"/>
                <w:sz w:val="16"/>
                <w:szCs w:val="16"/>
              </w:rPr>
              <w:t xml:space="preserve"> </w:t>
            </w:r>
          </w:p>
          <w:p w14:paraId="284B9643" w14:textId="77777777" w:rsidR="0012774B" w:rsidRPr="00335743" w:rsidRDefault="004D65CB" w:rsidP="00B96178">
            <w:pPr>
              <w:rPr>
                <w:rFonts w:ascii="Arial" w:hAnsi="Arial" w:cs="Arial"/>
                <w:b/>
                <w:bCs/>
                <w:color w:val="00B0F0"/>
                <w:sz w:val="20"/>
                <w:szCs w:val="20"/>
              </w:rPr>
            </w:pPr>
            <w:r w:rsidRPr="00335743">
              <w:rPr>
                <w:rFonts w:ascii="Arial" w:hAnsi="Arial" w:cs="Arial"/>
                <w:b/>
                <w:bCs/>
                <w:color w:val="00B0F0"/>
                <w:sz w:val="20"/>
                <w:szCs w:val="20"/>
              </w:rPr>
              <w:t xml:space="preserve">Global Commercial </w:t>
            </w:r>
            <w:r w:rsidR="0012774B" w:rsidRPr="00335743">
              <w:rPr>
                <w:rFonts w:ascii="Arial" w:hAnsi="Arial" w:cs="Arial"/>
                <w:b/>
                <w:bCs/>
                <w:color w:val="00B0F0"/>
                <w:sz w:val="20"/>
                <w:szCs w:val="20"/>
              </w:rPr>
              <w:t>Head of Technical Underwriting</w:t>
            </w:r>
          </w:p>
        </w:tc>
      </w:tr>
      <w:tr w:rsidR="0012774B" w:rsidRPr="004A024A" w14:paraId="284B9646" w14:textId="77777777" w:rsidTr="000B6CA2">
        <w:trPr>
          <w:trHeight w:val="522"/>
        </w:trPr>
        <w:tc>
          <w:tcPr>
            <w:tcW w:w="10620" w:type="dxa"/>
            <w:gridSpan w:val="3"/>
          </w:tcPr>
          <w:p w14:paraId="284B9645" w14:textId="77777777" w:rsidR="0012774B" w:rsidRPr="0009606F" w:rsidRDefault="0012774B" w:rsidP="00B96178">
            <w:pPr>
              <w:rPr>
                <w:rFonts w:ascii="Arial" w:hAnsi="Arial" w:cs="Arial"/>
                <w:b/>
                <w:bCs/>
                <w:sz w:val="16"/>
                <w:szCs w:val="16"/>
              </w:rPr>
            </w:pPr>
            <w:r w:rsidRPr="0009606F">
              <w:rPr>
                <w:rFonts w:ascii="Arial" w:hAnsi="Arial" w:cs="Arial"/>
                <w:b/>
                <w:bCs/>
                <w:sz w:val="16"/>
                <w:szCs w:val="16"/>
              </w:rPr>
              <w:t>Approver</w:t>
            </w:r>
            <w:r w:rsidRPr="0009606F">
              <w:rPr>
                <w:rFonts w:ascii="Arial" w:hAnsi="Arial" w:cs="Arial"/>
                <w:sz w:val="16"/>
                <w:szCs w:val="16"/>
              </w:rPr>
              <w:t>:</w:t>
            </w:r>
            <w:r w:rsidRPr="0009606F">
              <w:rPr>
                <w:rFonts w:ascii="Arial" w:hAnsi="Arial" w:cs="Arial"/>
                <w:sz w:val="16"/>
                <w:szCs w:val="16"/>
              </w:rPr>
              <w:br/>
            </w:r>
            <w:r w:rsidR="00A45052" w:rsidRPr="00335743">
              <w:rPr>
                <w:rFonts w:ascii="Arial" w:hAnsi="Arial" w:cs="Arial"/>
                <w:b/>
                <w:bCs/>
                <w:color w:val="00B0F0"/>
                <w:sz w:val="20"/>
                <w:szCs w:val="20"/>
              </w:rPr>
              <w:t>Global</w:t>
            </w:r>
            <w:r w:rsidRPr="00335743">
              <w:rPr>
                <w:rFonts w:ascii="Arial" w:hAnsi="Arial" w:cs="Arial"/>
                <w:b/>
                <w:bCs/>
                <w:color w:val="00B0F0"/>
                <w:sz w:val="20"/>
                <w:szCs w:val="20"/>
              </w:rPr>
              <w:t xml:space="preserve"> Commercial Chief Underwriting Officer</w:t>
            </w:r>
          </w:p>
        </w:tc>
      </w:tr>
      <w:tr w:rsidR="009549C8" w:rsidRPr="004A024A" w14:paraId="284B964B" w14:textId="77777777" w:rsidTr="000B6CA2">
        <w:tc>
          <w:tcPr>
            <w:tcW w:w="2232" w:type="dxa"/>
          </w:tcPr>
          <w:p w14:paraId="284B9647" w14:textId="77777777" w:rsidR="009549C8" w:rsidRPr="004A024A" w:rsidRDefault="009549C8" w:rsidP="004813A1">
            <w:pPr>
              <w:spacing w:before="60" w:after="60"/>
              <w:jc w:val="both"/>
              <w:rPr>
                <w:rFonts w:ascii="Arial" w:hAnsi="Arial" w:cs="Arial"/>
                <w:b/>
                <w:sz w:val="20"/>
                <w:szCs w:val="20"/>
              </w:rPr>
            </w:pPr>
            <w:r>
              <w:rPr>
                <w:rFonts w:ascii="Arial" w:hAnsi="Arial" w:cs="Arial"/>
                <w:b/>
                <w:sz w:val="20"/>
                <w:szCs w:val="20"/>
              </w:rPr>
              <w:t>Purpose</w:t>
            </w:r>
          </w:p>
        </w:tc>
        <w:tc>
          <w:tcPr>
            <w:tcW w:w="8388" w:type="dxa"/>
            <w:gridSpan w:val="2"/>
          </w:tcPr>
          <w:p w14:paraId="284B9648" w14:textId="77777777" w:rsidR="0065020C" w:rsidRDefault="0065020C" w:rsidP="0065020C">
            <w:pPr>
              <w:rPr>
                <w:rFonts w:ascii="Arial" w:hAnsi="Arial" w:cs="Arial"/>
                <w:sz w:val="20"/>
                <w:szCs w:val="20"/>
              </w:rPr>
            </w:pPr>
          </w:p>
          <w:p w14:paraId="284B9649" w14:textId="77777777" w:rsidR="009549C8" w:rsidRPr="0065020C" w:rsidRDefault="0065020C" w:rsidP="00427A89">
            <w:pPr>
              <w:rPr>
                <w:rFonts w:ascii="Arial" w:hAnsi="Arial" w:cs="Arial"/>
                <w:i/>
                <w:iCs/>
                <w:color w:val="FF0000"/>
                <w:sz w:val="20"/>
                <w:szCs w:val="20"/>
              </w:rPr>
            </w:pPr>
            <w:r>
              <w:rPr>
                <w:rFonts w:ascii="Arial" w:hAnsi="Arial" w:cs="Arial"/>
                <w:sz w:val="20"/>
                <w:szCs w:val="20"/>
              </w:rPr>
              <w:t>This</w:t>
            </w:r>
            <w:r w:rsidRPr="0065020C">
              <w:rPr>
                <w:rFonts w:ascii="Arial" w:hAnsi="Arial" w:cs="Arial"/>
                <w:sz w:val="20"/>
                <w:szCs w:val="20"/>
              </w:rPr>
              <w:t xml:space="preserve"> Global S</w:t>
            </w:r>
            <w:r w:rsidR="00223A65">
              <w:rPr>
                <w:rFonts w:ascii="Arial" w:hAnsi="Arial" w:cs="Arial"/>
                <w:sz w:val="20"/>
                <w:szCs w:val="20"/>
              </w:rPr>
              <w:t>tandard on Producer Compensation</w:t>
            </w:r>
            <w:r w:rsidRPr="0065020C">
              <w:rPr>
                <w:rFonts w:ascii="Arial" w:hAnsi="Arial" w:cs="Arial"/>
                <w:sz w:val="20"/>
                <w:szCs w:val="20"/>
              </w:rPr>
              <w:t xml:space="preserve"> </w:t>
            </w:r>
            <w:r>
              <w:rPr>
                <w:rFonts w:ascii="Arial" w:hAnsi="Arial" w:cs="Arial"/>
                <w:sz w:val="20"/>
                <w:szCs w:val="20"/>
              </w:rPr>
              <w:t>establishes the AIG Property Casualty Global Commercial minimum operational requirements</w:t>
            </w:r>
            <w:r w:rsidRPr="0065020C">
              <w:rPr>
                <w:rFonts w:ascii="Arial" w:hAnsi="Arial" w:cs="Arial"/>
                <w:sz w:val="20"/>
                <w:szCs w:val="20"/>
              </w:rPr>
              <w:t xml:space="preserve"> pe</w:t>
            </w:r>
            <w:r>
              <w:rPr>
                <w:rFonts w:ascii="Arial" w:hAnsi="Arial" w:cs="Arial"/>
                <w:sz w:val="20"/>
                <w:szCs w:val="20"/>
              </w:rPr>
              <w:t>rtaining to the amount of</w:t>
            </w:r>
            <w:r w:rsidRPr="0065020C">
              <w:rPr>
                <w:rFonts w:ascii="Arial" w:hAnsi="Arial" w:cs="Arial"/>
                <w:sz w:val="20"/>
                <w:szCs w:val="20"/>
              </w:rPr>
              <w:t xml:space="preserve"> remuneration, by way of a percentage of the premium or agreed fee</w:t>
            </w:r>
            <w:r>
              <w:rPr>
                <w:rFonts w:ascii="Arial" w:hAnsi="Arial" w:cs="Arial"/>
                <w:sz w:val="20"/>
                <w:szCs w:val="20"/>
              </w:rPr>
              <w:t>s</w:t>
            </w:r>
            <w:r w:rsidRPr="0065020C">
              <w:rPr>
                <w:rFonts w:ascii="Arial" w:hAnsi="Arial" w:cs="Arial"/>
                <w:sz w:val="20"/>
                <w:szCs w:val="20"/>
              </w:rPr>
              <w:t xml:space="preserve">, payable by the Company to the producer for the introduction and retention of policyholders, or </w:t>
            </w:r>
            <w:r>
              <w:rPr>
                <w:rFonts w:ascii="Arial" w:hAnsi="Arial" w:cs="Arial"/>
                <w:sz w:val="20"/>
                <w:szCs w:val="20"/>
              </w:rPr>
              <w:t xml:space="preserve">for </w:t>
            </w:r>
            <w:r w:rsidRPr="0065020C">
              <w:rPr>
                <w:rFonts w:ascii="Arial" w:hAnsi="Arial" w:cs="Arial"/>
                <w:sz w:val="20"/>
                <w:szCs w:val="20"/>
              </w:rPr>
              <w:t xml:space="preserve">services rendered </w:t>
            </w:r>
            <w:r>
              <w:rPr>
                <w:rFonts w:ascii="Arial" w:hAnsi="Arial" w:cs="Arial"/>
                <w:sz w:val="20"/>
                <w:szCs w:val="20"/>
              </w:rPr>
              <w:t xml:space="preserve">on behalf of the Company </w:t>
            </w:r>
            <w:r w:rsidRPr="0065020C">
              <w:rPr>
                <w:rFonts w:ascii="Arial" w:hAnsi="Arial" w:cs="Arial"/>
                <w:sz w:val="20"/>
                <w:szCs w:val="20"/>
              </w:rPr>
              <w:t xml:space="preserve">in </w:t>
            </w:r>
            <w:r w:rsidR="00D0075D">
              <w:rPr>
                <w:rFonts w:ascii="Arial" w:hAnsi="Arial" w:cs="Arial"/>
                <w:sz w:val="20"/>
                <w:szCs w:val="20"/>
              </w:rPr>
              <w:t xml:space="preserve">related to </w:t>
            </w:r>
            <w:r w:rsidRPr="0065020C">
              <w:rPr>
                <w:rFonts w:ascii="Arial" w:hAnsi="Arial" w:cs="Arial"/>
                <w:sz w:val="20"/>
                <w:szCs w:val="20"/>
              </w:rPr>
              <w:t xml:space="preserve">any </w:t>
            </w:r>
            <w:r w:rsidR="00D0075D">
              <w:rPr>
                <w:rFonts w:ascii="Arial" w:hAnsi="Arial" w:cs="Arial"/>
                <w:sz w:val="20"/>
                <w:szCs w:val="20"/>
              </w:rPr>
              <w:t xml:space="preserve">insurance </w:t>
            </w:r>
            <w:r w:rsidRPr="0065020C">
              <w:rPr>
                <w:rFonts w:ascii="Arial" w:hAnsi="Arial" w:cs="Arial"/>
                <w:sz w:val="20"/>
                <w:szCs w:val="20"/>
              </w:rPr>
              <w:t xml:space="preserve">product </w:t>
            </w:r>
            <w:r w:rsidR="00D0075D">
              <w:rPr>
                <w:rFonts w:ascii="Arial" w:hAnsi="Arial" w:cs="Arial"/>
                <w:sz w:val="20"/>
                <w:szCs w:val="20"/>
              </w:rPr>
              <w:t xml:space="preserve">or service </w:t>
            </w:r>
            <w:r w:rsidRPr="0065020C">
              <w:rPr>
                <w:rFonts w:ascii="Arial" w:hAnsi="Arial" w:cs="Arial"/>
                <w:sz w:val="20"/>
                <w:szCs w:val="20"/>
              </w:rPr>
              <w:t xml:space="preserve">in any location worldwide. </w:t>
            </w:r>
          </w:p>
          <w:p w14:paraId="284B964A" w14:textId="77777777" w:rsidR="009549C8" w:rsidRPr="00915DCF" w:rsidRDefault="009549C8" w:rsidP="00F206D1">
            <w:pPr>
              <w:rPr>
                <w:rFonts w:ascii="Arial" w:hAnsi="Arial" w:cs="Arial"/>
                <w:color w:val="000000"/>
                <w:sz w:val="20"/>
                <w:szCs w:val="20"/>
              </w:rPr>
            </w:pPr>
          </w:p>
        </w:tc>
      </w:tr>
      <w:tr w:rsidR="009549C8" w:rsidRPr="004A024A" w14:paraId="284B9650" w14:textId="77777777" w:rsidTr="000B6CA2">
        <w:tc>
          <w:tcPr>
            <w:tcW w:w="2232" w:type="dxa"/>
          </w:tcPr>
          <w:p w14:paraId="284B964C" w14:textId="77777777" w:rsidR="009549C8" w:rsidRPr="004A024A" w:rsidRDefault="009549C8" w:rsidP="003B4A02">
            <w:pPr>
              <w:spacing w:before="60" w:after="60"/>
              <w:rPr>
                <w:rFonts w:ascii="Arial" w:hAnsi="Arial" w:cs="Arial"/>
                <w:b/>
                <w:sz w:val="20"/>
                <w:szCs w:val="20"/>
              </w:rPr>
            </w:pPr>
            <w:r w:rsidRPr="004A024A">
              <w:rPr>
                <w:rFonts w:ascii="Arial" w:hAnsi="Arial" w:cs="Arial"/>
                <w:b/>
                <w:sz w:val="20"/>
                <w:szCs w:val="20"/>
              </w:rPr>
              <w:t>Scope</w:t>
            </w:r>
          </w:p>
        </w:tc>
        <w:tc>
          <w:tcPr>
            <w:tcW w:w="8388" w:type="dxa"/>
            <w:gridSpan w:val="2"/>
          </w:tcPr>
          <w:p w14:paraId="284B964D" w14:textId="77777777" w:rsidR="009549C8" w:rsidRDefault="009549C8" w:rsidP="00B5006C">
            <w:pPr>
              <w:tabs>
                <w:tab w:val="num" w:pos="612"/>
              </w:tabs>
              <w:rPr>
                <w:rFonts w:ascii="Arial" w:hAnsi="Arial" w:cs="Arial"/>
                <w:sz w:val="20"/>
                <w:szCs w:val="20"/>
              </w:rPr>
            </w:pPr>
          </w:p>
          <w:p w14:paraId="284B964E" w14:textId="77777777" w:rsidR="009549C8" w:rsidRPr="00C802AB" w:rsidRDefault="009549C8" w:rsidP="00B5006C">
            <w:pPr>
              <w:tabs>
                <w:tab w:val="num" w:pos="612"/>
              </w:tabs>
              <w:rPr>
                <w:rFonts w:ascii="Arial" w:hAnsi="Arial" w:cs="Arial"/>
                <w:i/>
                <w:iCs/>
                <w:sz w:val="16"/>
                <w:szCs w:val="16"/>
              </w:rPr>
            </w:pPr>
            <w:r w:rsidRPr="00BC2A13">
              <w:rPr>
                <w:rFonts w:ascii="Arial" w:hAnsi="Arial" w:cs="Arial"/>
                <w:sz w:val="20"/>
                <w:szCs w:val="20"/>
              </w:rPr>
              <w:t xml:space="preserve">The </w:t>
            </w:r>
            <w:r w:rsidR="00B677DA">
              <w:rPr>
                <w:rFonts w:ascii="Arial" w:hAnsi="Arial" w:cs="Arial"/>
                <w:sz w:val="20"/>
                <w:szCs w:val="20"/>
              </w:rPr>
              <w:t>requirement</w:t>
            </w:r>
            <w:r w:rsidR="00A45052">
              <w:rPr>
                <w:rFonts w:ascii="Arial" w:hAnsi="Arial" w:cs="Arial"/>
                <w:sz w:val="20"/>
                <w:szCs w:val="20"/>
              </w:rPr>
              <w:t xml:space="preserve">s set out in this </w:t>
            </w:r>
            <w:r w:rsidR="004D65CB">
              <w:rPr>
                <w:rFonts w:ascii="Arial" w:hAnsi="Arial" w:cs="Arial"/>
                <w:sz w:val="20"/>
                <w:szCs w:val="20"/>
              </w:rPr>
              <w:t>S</w:t>
            </w:r>
            <w:r w:rsidR="00B677DA">
              <w:rPr>
                <w:rFonts w:ascii="Arial" w:hAnsi="Arial" w:cs="Arial"/>
                <w:sz w:val="20"/>
                <w:szCs w:val="20"/>
              </w:rPr>
              <w:t>tandard</w:t>
            </w:r>
            <w:r w:rsidRPr="00BC2A13">
              <w:rPr>
                <w:rFonts w:ascii="Arial" w:hAnsi="Arial" w:cs="Arial"/>
                <w:sz w:val="20"/>
                <w:szCs w:val="20"/>
              </w:rPr>
              <w:t xml:space="preserve"> apply to </w:t>
            </w:r>
            <w:r>
              <w:rPr>
                <w:rFonts w:ascii="Arial" w:hAnsi="Arial" w:cs="Arial"/>
                <w:sz w:val="20"/>
                <w:szCs w:val="20"/>
              </w:rPr>
              <w:t xml:space="preserve">employees of </w:t>
            </w:r>
            <w:r w:rsidR="004D65CB">
              <w:rPr>
                <w:rFonts w:ascii="Arial" w:hAnsi="Arial" w:cs="Arial"/>
                <w:sz w:val="20"/>
                <w:szCs w:val="20"/>
              </w:rPr>
              <w:t>AIG Property Casualty</w:t>
            </w:r>
            <w:r>
              <w:rPr>
                <w:rFonts w:ascii="Arial" w:hAnsi="Arial" w:cs="Arial"/>
                <w:sz w:val="20"/>
                <w:szCs w:val="20"/>
              </w:rPr>
              <w:t xml:space="preserve"> Commercial </w:t>
            </w:r>
            <w:r w:rsidR="004D65CB">
              <w:rPr>
                <w:rFonts w:ascii="Arial" w:hAnsi="Arial" w:cs="Arial"/>
                <w:sz w:val="20"/>
                <w:szCs w:val="20"/>
              </w:rPr>
              <w:t>with responsibility for</w:t>
            </w:r>
            <w:r>
              <w:rPr>
                <w:rFonts w:ascii="Arial" w:hAnsi="Arial" w:cs="Arial"/>
                <w:sz w:val="20"/>
                <w:szCs w:val="20"/>
              </w:rPr>
              <w:t xml:space="preserve"> </w:t>
            </w:r>
            <w:r w:rsidR="003A451C">
              <w:rPr>
                <w:rFonts w:ascii="Arial" w:hAnsi="Arial" w:cs="Arial"/>
                <w:sz w:val="20"/>
                <w:szCs w:val="20"/>
              </w:rPr>
              <w:t xml:space="preserve">distribution, </w:t>
            </w:r>
            <w:r>
              <w:rPr>
                <w:rFonts w:ascii="Arial" w:hAnsi="Arial" w:cs="Arial"/>
                <w:sz w:val="20"/>
                <w:szCs w:val="20"/>
              </w:rPr>
              <w:t>underwriting or</w:t>
            </w:r>
            <w:r w:rsidR="004D65CB">
              <w:rPr>
                <w:rFonts w:ascii="Arial" w:hAnsi="Arial" w:cs="Arial"/>
                <w:sz w:val="20"/>
                <w:szCs w:val="20"/>
              </w:rPr>
              <w:t xml:space="preserve"> managing</w:t>
            </w:r>
            <w:r>
              <w:rPr>
                <w:rFonts w:ascii="Arial" w:hAnsi="Arial" w:cs="Arial"/>
                <w:sz w:val="20"/>
                <w:szCs w:val="20"/>
              </w:rPr>
              <w:t xml:space="preserve"> insurance risk</w:t>
            </w:r>
            <w:r w:rsidR="004D65CB">
              <w:rPr>
                <w:rFonts w:ascii="Arial" w:hAnsi="Arial" w:cs="Arial"/>
                <w:sz w:val="20"/>
                <w:szCs w:val="20"/>
              </w:rPr>
              <w:t>s,</w:t>
            </w:r>
            <w:r>
              <w:rPr>
                <w:rFonts w:ascii="Arial" w:hAnsi="Arial" w:cs="Arial"/>
                <w:sz w:val="20"/>
                <w:szCs w:val="20"/>
              </w:rPr>
              <w:t xml:space="preserve"> policies and portfolios.</w:t>
            </w:r>
            <w:r w:rsidR="00D0075D">
              <w:rPr>
                <w:rFonts w:ascii="Arial" w:hAnsi="Arial" w:cs="Arial"/>
                <w:sz w:val="20"/>
                <w:szCs w:val="20"/>
              </w:rPr>
              <w:t xml:space="preserve"> Compensation for reinsurance transactions is not included in the scope of this Standard.</w:t>
            </w:r>
          </w:p>
          <w:p w14:paraId="284B964F" w14:textId="77777777" w:rsidR="009549C8" w:rsidRPr="00427A89" w:rsidRDefault="009549C8" w:rsidP="00427A89">
            <w:pPr>
              <w:autoSpaceDE w:val="0"/>
              <w:autoSpaceDN w:val="0"/>
              <w:adjustRightInd w:val="0"/>
              <w:jc w:val="both"/>
              <w:rPr>
                <w:rFonts w:ascii="Arial" w:hAnsi="Arial" w:cs="Arial"/>
                <w:i/>
                <w:iCs/>
                <w:sz w:val="16"/>
                <w:szCs w:val="16"/>
              </w:rPr>
            </w:pPr>
          </w:p>
        </w:tc>
      </w:tr>
      <w:tr w:rsidR="009549C8" w:rsidRPr="004A024A" w14:paraId="284B9653" w14:textId="77777777" w:rsidTr="000B6CA2">
        <w:trPr>
          <w:trHeight w:val="612"/>
        </w:trPr>
        <w:tc>
          <w:tcPr>
            <w:tcW w:w="2232" w:type="dxa"/>
          </w:tcPr>
          <w:p w14:paraId="284B9651" w14:textId="77777777" w:rsidR="009549C8" w:rsidRPr="004A024A" w:rsidRDefault="009549C8" w:rsidP="003B4A02">
            <w:pPr>
              <w:spacing w:before="60" w:after="60"/>
              <w:rPr>
                <w:rFonts w:ascii="Arial" w:hAnsi="Arial" w:cs="Arial"/>
                <w:b/>
                <w:sz w:val="20"/>
                <w:szCs w:val="20"/>
              </w:rPr>
            </w:pPr>
            <w:r w:rsidRPr="004A024A">
              <w:rPr>
                <w:rFonts w:ascii="Arial" w:hAnsi="Arial" w:cs="Arial"/>
                <w:b/>
                <w:sz w:val="20"/>
                <w:szCs w:val="20"/>
              </w:rPr>
              <w:t>O</w:t>
            </w:r>
            <w:r>
              <w:rPr>
                <w:rFonts w:ascii="Arial" w:hAnsi="Arial" w:cs="Arial"/>
                <w:b/>
                <w:sz w:val="20"/>
                <w:szCs w:val="20"/>
              </w:rPr>
              <w:t>perational Requirement</w:t>
            </w:r>
            <w:r w:rsidRPr="004A024A">
              <w:rPr>
                <w:rFonts w:ascii="Arial" w:hAnsi="Arial" w:cs="Arial"/>
                <w:b/>
                <w:sz w:val="20"/>
                <w:szCs w:val="20"/>
              </w:rPr>
              <w:t>s</w:t>
            </w:r>
          </w:p>
        </w:tc>
        <w:tc>
          <w:tcPr>
            <w:tcW w:w="8388" w:type="dxa"/>
            <w:gridSpan w:val="2"/>
          </w:tcPr>
          <w:p w14:paraId="284B9652" w14:textId="77777777" w:rsidR="009549C8" w:rsidRPr="00427A89" w:rsidRDefault="009549C8" w:rsidP="00057E48">
            <w:pPr>
              <w:rPr>
                <w:rFonts w:ascii="Arial" w:hAnsi="Arial" w:cs="Arial"/>
                <w:i/>
                <w:iCs/>
                <w:sz w:val="16"/>
                <w:szCs w:val="16"/>
              </w:rPr>
            </w:pPr>
          </w:p>
        </w:tc>
      </w:tr>
      <w:tr w:rsidR="009549C8" w:rsidRPr="004A024A" w14:paraId="284B9678" w14:textId="77777777" w:rsidTr="000B6CA2">
        <w:trPr>
          <w:trHeight w:val="387"/>
        </w:trPr>
        <w:tc>
          <w:tcPr>
            <w:tcW w:w="2232" w:type="dxa"/>
          </w:tcPr>
          <w:p w14:paraId="284B9654" w14:textId="77777777" w:rsidR="009549C8" w:rsidRPr="00335743" w:rsidRDefault="00C87150" w:rsidP="004912A9">
            <w:pPr>
              <w:rPr>
                <w:rFonts w:ascii="Arial" w:hAnsi="Arial" w:cs="Arial"/>
                <w:i/>
                <w:color w:val="00B0F0"/>
                <w:sz w:val="20"/>
                <w:szCs w:val="20"/>
              </w:rPr>
            </w:pPr>
            <w:r w:rsidRPr="00335743">
              <w:rPr>
                <w:rFonts w:ascii="Arial" w:hAnsi="Arial" w:cs="Arial"/>
                <w:i/>
                <w:color w:val="00B0F0"/>
                <w:sz w:val="20"/>
                <w:szCs w:val="20"/>
              </w:rPr>
              <w:t>Definitions</w:t>
            </w:r>
          </w:p>
        </w:tc>
        <w:tc>
          <w:tcPr>
            <w:tcW w:w="8388" w:type="dxa"/>
            <w:gridSpan w:val="2"/>
          </w:tcPr>
          <w:p w14:paraId="284B9655" w14:textId="77777777" w:rsidR="00C87150" w:rsidRPr="00C87150" w:rsidRDefault="00C87150" w:rsidP="00C87150">
            <w:pPr>
              <w:rPr>
                <w:rFonts w:ascii="Arial" w:hAnsi="Arial" w:cs="Arial"/>
                <w:b/>
                <w:sz w:val="20"/>
                <w:szCs w:val="20"/>
              </w:rPr>
            </w:pPr>
          </w:p>
          <w:p w14:paraId="284B9656" w14:textId="77777777" w:rsidR="00C87150" w:rsidRPr="00C87150" w:rsidRDefault="00C87150" w:rsidP="00C87150">
            <w:pPr>
              <w:rPr>
                <w:rFonts w:ascii="Arial" w:hAnsi="Arial" w:cs="Arial"/>
                <w:b/>
                <w:sz w:val="20"/>
                <w:szCs w:val="20"/>
              </w:rPr>
            </w:pPr>
            <w:r w:rsidRPr="007156BD">
              <w:rPr>
                <w:rFonts w:ascii="Arial" w:hAnsi="Arial" w:cs="Arial"/>
                <w:b/>
                <w:i/>
                <w:sz w:val="20"/>
                <w:szCs w:val="20"/>
              </w:rPr>
              <w:t>Producer</w:t>
            </w:r>
          </w:p>
          <w:p w14:paraId="284B9657" w14:textId="77777777" w:rsidR="00C87150" w:rsidRPr="00C87150" w:rsidRDefault="00C87150" w:rsidP="00C87150">
            <w:pPr>
              <w:rPr>
                <w:rFonts w:ascii="Arial" w:hAnsi="Arial" w:cs="Arial"/>
                <w:sz w:val="20"/>
                <w:szCs w:val="20"/>
              </w:rPr>
            </w:pPr>
            <w:r w:rsidRPr="00C87150">
              <w:rPr>
                <w:rFonts w:ascii="Arial" w:hAnsi="Arial" w:cs="Arial"/>
                <w:sz w:val="20"/>
                <w:szCs w:val="20"/>
              </w:rPr>
              <w:t xml:space="preserve">An insurance broker, insurance agent, or similar intermediary which acts to bring parties seeking insurance together with insurance providers.  An independent insurance agent, defined as a person or entity which solicits, negotiates or sells an insurance contract </w:t>
            </w:r>
            <w:r w:rsidRPr="00C87150">
              <w:rPr>
                <w:rFonts w:ascii="Arial" w:hAnsi="Arial" w:cs="Arial"/>
                <w:iCs/>
                <w:sz w:val="20"/>
                <w:szCs w:val="20"/>
              </w:rPr>
              <w:t xml:space="preserve">on behalf of an insurance company </w:t>
            </w:r>
            <w:r w:rsidRPr="00C87150">
              <w:rPr>
                <w:rFonts w:ascii="Arial" w:hAnsi="Arial" w:cs="Arial"/>
                <w:sz w:val="20"/>
                <w:szCs w:val="20"/>
              </w:rPr>
              <w:t>for compensation, is a Prod</w:t>
            </w:r>
            <w:r w:rsidR="007156BD">
              <w:rPr>
                <w:rFonts w:ascii="Arial" w:hAnsi="Arial" w:cs="Arial"/>
                <w:sz w:val="20"/>
                <w:szCs w:val="20"/>
              </w:rPr>
              <w:t>ucer for purposes of this Standard</w:t>
            </w:r>
            <w:r w:rsidRPr="00C87150">
              <w:rPr>
                <w:rFonts w:ascii="Arial" w:hAnsi="Arial" w:cs="Arial"/>
                <w:sz w:val="20"/>
                <w:szCs w:val="20"/>
              </w:rPr>
              <w:t xml:space="preserve"> if it is not owned or controlled by </w:t>
            </w:r>
            <w:r>
              <w:rPr>
                <w:rFonts w:ascii="Arial" w:hAnsi="Arial" w:cs="Arial"/>
                <w:sz w:val="20"/>
                <w:szCs w:val="20"/>
              </w:rPr>
              <w:t>AIG</w:t>
            </w:r>
            <w:r w:rsidRPr="00C87150">
              <w:rPr>
                <w:rFonts w:ascii="Arial" w:hAnsi="Arial" w:cs="Arial"/>
                <w:sz w:val="20"/>
                <w:szCs w:val="20"/>
              </w:rPr>
              <w:t xml:space="preserve"> and its agency agreement does not prohibit the representation of other insurers</w:t>
            </w:r>
          </w:p>
          <w:p w14:paraId="284B9658" w14:textId="77777777" w:rsidR="00C87150" w:rsidRPr="00C87150" w:rsidRDefault="00C87150" w:rsidP="00C87150">
            <w:pPr>
              <w:rPr>
                <w:rFonts w:ascii="Arial" w:hAnsi="Arial" w:cs="Arial"/>
                <w:sz w:val="20"/>
                <w:szCs w:val="20"/>
              </w:rPr>
            </w:pPr>
          </w:p>
          <w:p w14:paraId="284B9659" w14:textId="77777777" w:rsidR="00C87150" w:rsidRPr="00C87150" w:rsidRDefault="00C87150" w:rsidP="00C87150">
            <w:pPr>
              <w:rPr>
                <w:rFonts w:ascii="Arial" w:hAnsi="Arial" w:cs="Arial"/>
                <w:sz w:val="20"/>
                <w:szCs w:val="20"/>
              </w:rPr>
            </w:pPr>
            <w:r w:rsidRPr="00C87150">
              <w:rPr>
                <w:rFonts w:ascii="Arial" w:hAnsi="Arial" w:cs="Arial"/>
                <w:sz w:val="20"/>
                <w:szCs w:val="20"/>
              </w:rPr>
              <w:t>Commission may be defined differently in different countries. The relevant local definition must be applied</w:t>
            </w:r>
            <w:r w:rsidR="007156BD">
              <w:rPr>
                <w:rFonts w:ascii="Arial" w:hAnsi="Arial" w:cs="Arial"/>
                <w:sz w:val="20"/>
                <w:szCs w:val="20"/>
              </w:rPr>
              <w:t xml:space="preserve">. If </w:t>
            </w:r>
            <w:r w:rsidR="00731951">
              <w:rPr>
                <w:rFonts w:ascii="Arial" w:hAnsi="Arial" w:cs="Arial"/>
                <w:sz w:val="20"/>
                <w:szCs w:val="20"/>
              </w:rPr>
              <w:t>c</w:t>
            </w:r>
            <w:r w:rsidR="007156BD">
              <w:rPr>
                <w:rFonts w:ascii="Arial" w:hAnsi="Arial" w:cs="Arial"/>
                <w:sz w:val="20"/>
                <w:szCs w:val="20"/>
              </w:rPr>
              <w:t>ommission is not defined</w:t>
            </w:r>
            <w:r w:rsidRPr="00C87150">
              <w:rPr>
                <w:rFonts w:ascii="Arial" w:hAnsi="Arial" w:cs="Arial"/>
                <w:sz w:val="20"/>
                <w:szCs w:val="20"/>
              </w:rPr>
              <w:t xml:space="preserve"> locally, the</w:t>
            </w:r>
            <w:r w:rsidR="007156BD">
              <w:rPr>
                <w:rFonts w:ascii="Arial" w:hAnsi="Arial" w:cs="Arial"/>
                <w:sz w:val="20"/>
                <w:szCs w:val="20"/>
              </w:rPr>
              <w:t xml:space="preserve"> following standard d</w:t>
            </w:r>
            <w:r w:rsidRPr="00C87150">
              <w:rPr>
                <w:rFonts w:ascii="Arial" w:hAnsi="Arial" w:cs="Arial"/>
                <w:sz w:val="20"/>
                <w:szCs w:val="20"/>
              </w:rPr>
              <w:t>efinition</w:t>
            </w:r>
            <w:r w:rsidR="007156BD">
              <w:rPr>
                <w:rFonts w:ascii="Arial" w:hAnsi="Arial" w:cs="Arial"/>
                <w:sz w:val="20"/>
                <w:szCs w:val="20"/>
              </w:rPr>
              <w:t>s apply</w:t>
            </w:r>
            <w:r w:rsidRPr="00C87150">
              <w:rPr>
                <w:rFonts w:ascii="Arial" w:hAnsi="Arial" w:cs="Arial"/>
                <w:sz w:val="20"/>
                <w:szCs w:val="20"/>
              </w:rPr>
              <w:t>.</w:t>
            </w:r>
          </w:p>
          <w:p w14:paraId="284B965A" w14:textId="77777777" w:rsidR="00C87150" w:rsidRDefault="00C87150" w:rsidP="00C87150">
            <w:pPr>
              <w:rPr>
                <w:rFonts w:ascii="Arial" w:hAnsi="Arial" w:cs="Arial"/>
                <w:sz w:val="20"/>
                <w:szCs w:val="20"/>
              </w:rPr>
            </w:pPr>
          </w:p>
          <w:p w14:paraId="284B965B" w14:textId="77777777" w:rsidR="007156BD" w:rsidRPr="00C87150" w:rsidRDefault="007156BD" w:rsidP="00C87150">
            <w:pPr>
              <w:rPr>
                <w:rFonts w:ascii="Arial" w:hAnsi="Arial" w:cs="Arial"/>
                <w:sz w:val="20"/>
                <w:szCs w:val="20"/>
              </w:rPr>
            </w:pPr>
          </w:p>
          <w:p w14:paraId="284B965C" w14:textId="77777777" w:rsidR="00C87150" w:rsidRPr="00C87150" w:rsidRDefault="00C87150" w:rsidP="00C87150">
            <w:pPr>
              <w:rPr>
                <w:rFonts w:ascii="Arial" w:hAnsi="Arial" w:cs="Arial"/>
                <w:b/>
                <w:i/>
                <w:sz w:val="20"/>
                <w:szCs w:val="20"/>
              </w:rPr>
            </w:pPr>
            <w:r w:rsidRPr="00C87150">
              <w:rPr>
                <w:rFonts w:ascii="Arial" w:hAnsi="Arial" w:cs="Arial"/>
                <w:b/>
                <w:i/>
                <w:sz w:val="20"/>
                <w:szCs w:val="20"/>
              </w:rPr>
              <w:t>Standard Commission</w:t>
            </w:r>
          </w:p>
          <w:p w14:paraId="284B965D" w14:textId="77777777" w:rsidR="00C87150" w:rsidRPr="00C87150" w:rsidRDefault="007156BD" w:rsidP="00C87150">
            <w:pPr>
              <w:rPr>
                <w:rFonts w:ascii="Arial" w:hAnsi="Arial" w:cs="Arial"/>
                <w:sz w:val="20"/>
                <w:szCs w:val="20"/>
              </w:rPr>
            </w:pPr>
            <w:r>
              <w:rPr>
                <w:rFonts w:ascii="Arial" w:hAnsi="Arial" w:cs="Arial"/>
                <w:sz w:val="20"/>
                <w:szCs w:val="20"/>
              </w:rPr>
              <w:t xml:space="preserve">The </w:t>
            </w:r>
            <w:r w:rsidR="00C87150" w:rsidRPr="00C87150">
              <w:rPr>
                <w:rFonts w:ascii="Arial" w:hAnsi="Arial" w:cs="Arial"/>
                <w:sz w:val="20"/>
                <w:szCs w:val="20"/>
              </w:rPr>
              <w:t>am</w:t>
            </w:r>
            <w:r w:rsidR="00FC5ABF">
              <w:rPr>
                <w:rFonts w:ascii="Arial" w:hAnsi="Arial" w:cs="Arial"/>
                <w:sz w:val="20"/>
                <w:szCs w:val="20"/>
              </w:rPr>
              <w:t>ount or</w:t>
            </w:r>
            <w:r>
              <w:rPr>
                <w:rFonts w:ascii="Arial" w:hAnsi="Arial" w:cs="Arial"/>
                <w:sz w:val="20"/>
                <w:szCs w:val="20"/>
              </w:rPr>
              <w:t xml:space="preserve"> percentage of premium</w:t>
            </w:r>
            <w:r w:rsidR="00C87150" w:rsidRPr="00C87150">
              <w:rPr>
                <w:rFonts w:ascii="Arial" w:hAnsi="Arial" w:cs="Arial"/>
                <w:sz w:val="20"/>
                <w:szCs w:val="20"/>
              </w:rPr>
              <w:t xml:space="preserve"> paid to a producer as compensation for the placement and/or servicing </w:t>
            </w:r>
            <w:r w:rsidR="00FC5ABF">
              <w:rPr>
                <w:rFonts w:ascii="Arial" w:hAnsi="Arial" w:cs="Arial"/>
                <w:sz w:val="20"/>
                <w:szCs w:val="20"/>
              </w:rPr>
              <w:t>of a particular insurance contract</w:t>
            </w:r>
            <w:r w:rsidR="00223A65">
              <w:rPr>
                <w:rFonts w:ascii="Arial" w:hAnsi="Arial" w:cs="Arial"/>
                <w:sz w:val="20"/>
                <w:szCs w:val="20"/>
              </w:rPr>
              <w:t xml:space="preserve"> as part of the transaction.</w:t>
            </w:r>
            <w:r w:rsidR="0027540E">
              <w:rPr>
                <w:rFonts w:ascii="Arial" w:hAnsi="Arial" w:cs="Arial"/>
                <w:sz w:val="20"/>
                <w:szCs w:val="20"/>
              </w:rPr>
              <w:t xml:space="preserve">  Such commissions are </w:t>
            </w:r>
            <w:r w:rsidR="001340DF">
              <w:rPr>
                <w:rFonts w:ascii="Arial" w:hAnsi="Arial" w:cs="Arial"/>
                <w:sz w:val="20"/>
                <w:szCs w:val="20"/>
              </w:rPr>
              <w:t xml:space="preserve">typically </w:t>
            </w:r>
            <w:r w:rsidR="0027540E">
              <w:rPr>
                <w:rFonts w:ascii="Arial" w:hAnsi="Arial" w:cs="Arial"/>
                <w:sz w:val="20"/>
                <w:szCs w:val="20"/>
              </w:rPr>
              <w:t xml:space="preserve">stated </w:t>
            </w:r>
            <w:r w:rsidR="001340DF">
              <w:rPr>
                <w:rFonts w:ascii="Arial" w:hAnsi="Arial" w:cs="Arial"/>
                <w:sz w:val="20"/>
                <w:szCs w:val="20"/>
              </w:rPr>
              <w:t>i</w:t>
            </w:r>
            <w:r w:rsidR="0027540E">
              <w:rPr>
                <w:rFonts w:ascii="Arial" w:hAnsi="Arial" w:cs="Arial"/>
                <w:sz w:val="20"/>
                <w:szCs w:val="20"/>
              </w:rPr>
              <w:t>n the Declarations of an insurance policy.</w:t>
            </w:r>
          </w:p>
          <w:p w14:paraId="284B965E" w14:textId="77777777" w:rsidR="00C87150" w:rsidRPr="00C87150" w:rsidRDefault="00C87150" w:rsidP="00C87150">
            <w:pPr>
              <w:rPr>
                <w:rFonts w:ascii="Arial" w:hAnsi="Arial" w:cs="Arial"/>
                <w:sz w:val="20"/>
                <w:szCs w:val="20"/>
              </w:rPr>
            </w:pPr>
          </w:p>
          <w:p w14:paraId="284B965F" w14:textId="77777777" w:rsidR="00C87150" w:rsidRPr="00C87150" w:rsidRDefault="00C87150" w:rsidP="00C87150">
            <w:pPr>
              <w:rPr>
                <w:rFonts w:ascii="Arial" w:hAnsi="Arial" w:cs="Arial"/>
                <w:b/>
                <w:i/>
                <w:sz w:val="20"/>
                <w:szCs w:val="20"/>
              </w:rPr>
            </w:pPr>
            <w:r w:rsidRPr="00C87150">
              <w:rPr>
                <w:rFonts w:ascii="Arial" w:hAnsi="Arial" w:cs="Arial"/>
                <w:b/>
                <w:i/>
                <w:sz w:val="20"/>
                <w:szCs w:val="20"/>
              </w:rPr>
              <w:t>Supplementa</w:t>
            </w:r>
            <w:r w:rsidR="00214BB9">
              <w:rPr>
                <w:rFonts w:ascii="Arial" w:hAnsi="Arial" w:cs="Arial"/>
                <w:b/>
                <w:i/>
                <w:sz w:val="20"/>
                <w:szCs w:val="20"/>
              </w:rPr>
              <w:t>l</w:t>
            </w:r>
            <w:r w:rsidR="00FC455C">
              <w:rPr>
                <w:rFonts w:ascii="Arial" w:hAnsi="Arial" w:cs="Arial"/>
                <w:b/>
                <w:i/>
                <w:sz w:val="20"/>
                <w:szCs w:val="20"/>
              </w:rPr>
              <w:t xml:space="preserve"> </w:t>
            </w:r>
            <w:r w:rsidRPr="00C87150">
              <w:rPr>
                <w:rFonts w:ascii="Arial" w:hAnsi="Arial" w:cs="Arial"/>
                <w:b/>
                <w:i/>
                <w:sz w:val="20"/>
                <w:szCs w:val="20"/>
              </w:rPr>
              <w:t>Commission</w:t>
            </w:r>
          </w:p>
          <w:p w14:paraId="284B9660" w14:textId="77777777" w:rsidR="00C87150" w:rsidRPr="00C87150" w:rsidRDefault="00C87150" w:rsidP="00C87150">
            <w:pPr>
              <w:rPr>
                <w:rFonts w:ascii="Arial" w:hAnsi="Arial" w:cs="Arial"/>
                <w:sz w:val="20"/>
                <w:szCs w:val="20"/>
              </w:rPr>
            </w:pPr>
            <w:r w:rsidRPr="00C87150">
              <w:rPr>
                <w:rFonts w:ascii="Arial" w:hAnsi="Arial" w:cs="Arial"/>
                <w:sz w:val="20"/>
                <w:szCs w:val="20"/>
              </w:rPr>
              <w:t xml:space="preserve">Commission paid to a </w:t>
            </w:r>
            <w:r w:rsidR="00432DCA">
              <w:rPr>
                <w:rFonts w:ascii="Arial" w:hAnsi="Arial" w:cs="Arial"/>
                <w:sz w:val="20"/>
                <w:szCs w:val="20"/>
              </w:rPr>
              <w:t>P</w:t>
            </w:r>
            <w:r w:rsidRPr="00C87150">
              <w:rPr>
                <w:rFonts w:ascii="Arial" w:hAnsi="Arial" w:cs="Arial"/>
                <w:sz w:val="20"/>
                <w:szCs w:val="20"/>
              </w:rPr>
              <w:t>roducer</w:t>
            </w:r>
            <w:r w:rsidR="00FC5ABF">
              <w:rPr>
                <w:rFonts w:ascii="Arial" w:hAnsi="Arial" w:cs="Arial"/>
                <w:sz w:val="20"/>
                <w:szCs w:val="20"/>
              </w:rPr>
              <w:t xml:space="preserve">, </w:t>
            </w:r>
            <w:r w:rsidR="00FC5ABF" w:rsidRPr="00C87150">
              <w:rPr>
                <w:rFonts w:ascii="Arial" w:hAnsi="Arial" w:cs="Arial"/>
                <w:sz w:val="20"/>
                <w:szCs w:val="20"/>
              </w:rPr>
              <w:t>such as an over-ride</w:t>
            </w:r>
            <w:r w:rsidR="00FC5ABF">
              <w:rPr>
                <w:rFonts w:ascii="Arial" w:hAnsi="Arial" w:cs="Arial"/>
                <w:sz w:val="20"/>
                <w:szCs w:val="20"/>
              </w:rPr>
              <w:t>,</w:t>
            </w:r>
            <w:r w:rsidRPr="00C87150">
              <w:rPr>
                <w:rFonts w:ascii="Arial" w:hAnsi="Arial" w:cs="Arial"/>
                <w:sz w:val="20"/>
                <w:szCs w:val="20"/>
              </w:rPr>
              <w:t xml:space="preserve"> </w:t>
            </w:r>
            <w:r w:rsidR="004754AD">
              <w:rPr>
                <w:rFonts w:ascii="Arial" w:hAnsi="Arial" w:cs="Arial"/>
                <w:sz w:val="20"/>
                <w:szCs w:val="20"/>
              </w:rPr>
              <w:t xml:space="preserve">or enhanced commission, </w:t>
            </w:r>
            <w:r w:rsidR="00FC5ABF">
              <w:rPr>
                <w:rFonts w:ascii="Arial" w:hAnsi="Arial" w:cs="Arial"/>
                <w:sz w:val="20"/>
                <w:szCs w:val="20"/>
              </w:rPr>
              <w:t>that is</w:t>
            </w:r>
            <w:r w:rsidRPr="00C87150">
              <w:rPr>
                <w:rFonts w:ascii="Arial" w:hAnsi="Arial" w:cs="Arial"/>
                <w:sz w:val="20"/>
                <w:szCs w:val="20"/>
              </w:rPr>
              <w:t xml:space="preserve"> over and above the standard </w:t>
            </w:r>
            <w:r w:rsidR="00FC5ABF">
              <w:rPr>
                <w:rFonts w:ascii="Arial" w:hAnsi="Arial" w:cs="Arial"/>
                <w:sz w:val="20"/>
                <w:szCs w:val="20"/>
              </w:rPr>
              <w:t xml:space="preserve">insurance contract commission, </w:t>
            </w:r>
            <w:r w:rsidR="00FC5ABF" w:rsidRPr="00C87150">
              <w:rPr>
                <w:rFonts w:ascii="Arial" w:hAnsi="Arial" w:cs="Arial"/>
                <w:sz w:val="20"/>
                <w:szCs w:val="20"/>
              </w:rPr>
              <w:t>as compensation</w:t>
            </w:r>
            <w:r w:rsidRPr="00C87150">
              <w:rPr>
                <w:rFonts w:ascii="Arial" w:hAnsi="Arial" w:cs="Arial"/>
                <w:sz w:val="20"/>
                <w:szCs w:val="20"/>
              </w:rPr>
              <w:t xml:space="preserve"> for for the placement and/or</w:t>
            </w:r>
            <w:r w:rsidR="00FC5ABF">
              <w:rPr>
                <w:rFonts w:ascii="Arial" w:hAnsi="Arial" w:cs="Arial"/>
                <w:sz w:val="20"/>
                <w:szCs w:val="20"/>
              </w:rPr>
              <w:t xml:space="preserve"> servicing of a</w:t>
            </w:r>
            <w:r w:rsidRPr="00C87150">
              <w:rPr>
                <w:rFonts w:ascii="Arial" w:hAnsi="Arial" w:cs="Arial"/>
                <w:sz w:val="20"/>
                <w:szCs w:val="20"/>
              </w:rPr>
              <w:t xml:space="preserve"> defined set of insurance policies, paid in the aggregate at specified intervals. </w:t>
            </w:r>
          </w:p>
          <w:p w14:paraId="284B9661" w14:textId="77777777" w:rsidR="00C87150" w:rsidRDefault="00C87150" w:rsidP="00C87150">
            <w:pPr>
              <w:rPr>
                <w:rFonts w:ascii="Arial" w:hAnsi="Arial" w:cs="Arial"/>
                <w:sz w:val="20"/>
                <w:szCs w:val="20"/>
              </w:rPr>
            </w:pPr>
            <w:r w:rsidRPr="00C87150">
              <w:rPr>
                <w:rFonts w:ascii="Arial" w:hAnsi="Arial" w:cs="Arial"/>
                <w:sz w:val="20"/>
                <w:szCs w:val="20"/>
              </w:rPr>
              <w:lastRenderedPageBreak/>
              <w:tab/>
            </w:r>
          </w:p>
          <w:p w14:paraId="284B9662" w14:textId="77777777" w:rsidR="00FC5ABF" w:rsidRDefault="00C87150" w:rsidP="00C87150">
            <w:pPr>
              <w:rPr>
                <w:rFonts w:ascii="Arial" w:hAnsi="Arial" w:cs="Arial"/>
                <w:sz w:val="20"/>
                <w:szCs w:val="20"/>
              </w:rPr>
            </w:pPr>
            <w:r>
              <w:rPr>
                <w:rFonts w:ascii="Arial" w:hAnsi="Arial" w:cs="Arial"/>
                <w:sz w:val="20"/>
                <w:szCs w:val="20"/>
              </w:rPr>
              <w:t xml:space="preserve">  </w:t>
            </w:r>
          </w:p>
          <w:p w14:paraId="284B9663" w14:textId="77777777" w:rsidR="00C87150" w:rsidRPr="00C87150" w:rsidRDefault="00C87150" w:rsidP="00C87150">
            <w:pPr>
              <w:rPr>
                <w:rFonts w:ascii="Arial" w:hAnsi="Arial" w:cs="Arial"/>
                <w:sz w:val="20"/>
                <w:szCs w:val="20"/>
              </w:rPr>
            </w:pPr>
            <w:r w:rsidRPr="00C87150">
              <w:rPr>
                <w:rFonts w:ascii="Arial" w:hAnsi="Arial" w:cs="Arial"/>
                <w:b/>
                <w:i/>
                <w:sz w:val="20"/>
                <w:szCs w:val="20"/>
              </w:rPr>
              <w:t>Contingent Commission</w:t>
            </w:r>
          </w:p>
          <w:p w14:paraId="284B9664" w14:textId="77777777" w:rsidR="00703A57" w:rsidRDefault="00C87150" w:rsidP="00C87150">
            <w:pPr>
              <w:rPr>
                <w:rFonts w:ascii="Arial" w:hAnsi="Arial" w:cs="Arial"/>
                <w:sz w:val="20"/>
                <w:szCs w:val="20"/>
              </w:rPr>
            </w:pPr>
            <w:r w:rsidRPr="00C87150">
              <w:rPr>
                <w:rFonts w:ascii="Arial" w:hAnsi="Arial" w:cs="Arial"/>
                <w:sz w:val="20"/>
                <w:szCs w:val="20"/>
              </w:rPr>
              <w:t xml:space="preserve">Commission paid to a Producer based on the achievement of a pre-negotiated contractual contingency, such as </w:t>
            </w:r>
            <w:r w:rsidR="00FC5ABF">
              <w:rPr>
                <w:rFonts w:ascii="Arial" w:hAnsi="Arial" w:cs="Arial"/>
                <w:sz w:val="20"/>
                <w:szCs w:val="20"/>
              </w:rPr>
              <w:t xml:space="preserve">a </w:t>
            </w:r>
            <w:r w:rsidRPr="00C87150">
              <w:rPr>
                <w:rFonts w:ascii="Arial" w:hAnsi="Arial" w:cs="Arial"/>
                <w:sz w:val="20"/>
                <w:szCs w:val="20"/>
              </w:rPr>
              <w:t xml:space="preserve">designated </w:t>
            </w:r>
            <w:r w:rsidR="00FC5ABF">
              <w:rPr>
                <w:rFonts w:ascii="Arial" w:hAnsi="Arial" w:cs="Arial"/>
                <w:sz w:val="20"/>
                <w:szCs w:val="20"/>
              </w:rPr>
              <w:t>level of premium or profitability of</w:t>
            </w:r>
            <w:r w:rsidRPr="00C87150">
              <w:rPr>
                <w:rFonts w:ascii="Arial" w:hAnsi="Arial" w:cs="Arial"/>
                <w:sz w:val="20"/>
                <w:szCs w:val="20"/>
              </w:rPr>
              <w:t xml:space="preserve"> a specific account or portfolio of business</w:t>
            </w:r>
            <w:r w:rsidR="00FC5ABF">
              <w:rPr>
                <w:rFonts w:ascii="Arial" w:hAnsi="Arial" w:cs="Arial"/>
                <w:sz w:val="20"/>
                <w:szCs w:val="20"/>
              </w:rPr>
              <w:t xml:space="preserve">. </w:t>
            </w:r>
          </w:p>
          <w:p w14:paraId="284B9665" w14:textId="77777777" w:rsidR="00703A57" w:rsidRDefault="00703A57" w:rsidP="00C87150">
            <w:pPr>
              <w:rPr>
                <w:rFonts w:ascii="Arial" w:hAnsi="Arial" w:cs="Arial"/>
                <w:sz w:val="20"/>
                <w:szCs w:val="20"/>
              </w:rPr>
            </w:pPr>
          </w:p>
          <w:p w14:paraId="284B9666" w14:textId="77777777" w:rsidR="00C87150" w:rsidRPr="00C87150" w:rsidRDefault="00C87150" w:rsidP="00C87150">
            <w:pPr>
              <w:rPr>
                <w:rFonts w:ascii="Arial" w:hAnsi="Arial" w:cs="Arial"/>
                <w:b/>
                <w:i/>
                <w:sz w:val="20"/>
                <w:szCs w:val="20"/>
              </w:rPr>
            </w:pPr>
            <w:r w:rsidRPr="00C87150">
              <w:rPr>
                <w:rFonts w:ascii="Arial" w:hAnsi="Arial" w:cs="Arial"/>
                <w:b/>
                <w:i/>
                <w:sz w:val="20"/>
                <w:szCs w:val="20"/>
              </w:rPr>
              <w:t>Advanced Commission</w:t>
            </w:r>
          </w:p>
          <w:p w14:paraId="284B9667" w14:textId="77777777" w:rsidR="00B22637" w:rsidRPr="00C87150" w:rsidRDefault="00C87150" w:rsidP="00B22637">
            <w:pPr>
              <w:rPr>
                <w:rFonts w:ascii="Arial" w:hAnsi="Arial" w:cs="Arial"/>
                <w:sz w:val="20"/>
                <w:szCs w:val="20"/>
              </w:rPr>
            </w:pPr>
            <w:r w:rsidRPr="00C87150">
              <w:rPr>
                <w:rFonts w:ascii="Arial" w:hAnsi="Arial" w:cs="Arial"/>
                <w:sz w:val="20"/>
                <w:szCs w:val="20"/>
              </w:rPr>
              <w:t xml:space="preserve">An </w:t>
            </w:r>
            <w:r w:rsidR="00432DCA">
              <w:rPr>
                <w:rFonts w:ascii="Arial" w:hAnsi="Arial" w:cs="Arial"/>
                <w:sz w:val="20"/>
                <w:szCs w:val="20"/>
              </w:rPr>
              <w:t>a</w:t>
            </w:r>
            <w:r w:rsidR="00214BB9">
              <w:rPr>
                <w:rFonts w:ascii="Arial" w:hAnsi="Arial" w:cs="Arial"/>
                <w:sz w:val="20"/>
                <w:szCs w:val="20"/>
              </w:rPr>
              <w:t>dvanced or u</w:t>
            </w:r>
            <w:r w:rsidRPr="00C87150">
              <w:rPr>
                <w:rFonts w:ascii="Arial" w:hAnsi="Arial" w:cs="Arial"/>
                <w:sz w:val="20"/>
                <w:szCs w:val="20"/>
              </w:rPr>
              <w:t xml:space="preserve">pfront </w:t>
            </w:r>
            <w:r w:rsidR="00033251">
              <w:rPr>
                <w:rFonts w:ascii="Arial" w:hAnsi="Arial" w:cs="Arial"/>
                <w:sz w:val="20"/>
                <w:szCs w:val="20"/>
              </w:rPr>
              <w:t>c</w:t>
            </w:r>
            <w:r w:rsidRPr="00C87150">
              <w:rPr>
                <w:rFonts w:ascii="Arial" w:hAnsi="Arial" w:cs="Arial"/>
                <w:sz w:val="20"/>
                <w:szCs w:val="20"/>
              </w:rPr>
              <w:t xml:space="preserve">ommission </w:t>
            </w:r>
            <w:r w:rsidR="00432DCA">
              <w:rPr>
                <w:rFonts w:ascii="Arial" w:hAnsi="Arial" w:cs="Arial"/>
                <w:sz w:val="20"/>
                <w:szCs w:val="20"/>
              </w:rPr>
              <w:t>is</w:t>
            </w:r>
            <w:r w:rsidR="00432DCA" w:rsidRPr="00C87150">
              <w:rPr>
                <w:rFonts w:ascii="Arial" w:hAnsi="Arial" w:cs="Arial"/>
                <w:sz w:val="20"/>
                <w:szCs w:val="20"/>
              </w:rPr>
              <w:t xml:space="preserve"> </w:t>
            </w:r>
            <w:r w:rsidRPr="00C87150">
              <w:rPr>
                <w:rFonts w:ascii="Arial" w:hAnsi="Arial" w:cs="Arial"/>
                <w:sz w:val="20"/>
                <w:szCs w:val="20"/>
              </w:rPr>
              <w:t xml:space="preserve">any agreement to pay a commission or fee to a producer, before the expected subject premiums are received or earned. </w:t>
            </w:r>
            <w:r w:rsidR="00B22637">
              <w:rPr>
                <w:rFonts w:ascii="Arial" w:hAnsi="Arial" w:cs="Arial"/>
                <w:sz w:val="20"/>
                <w:szCs w:val="20"/>
              </w:rPr>
              <w:t>Such agreements</w:t>
            </w:r>
            <w:r w:rsidRPr="00C87150">
              <w:rPr>
                <w:rFonts w:ascii="Arial" w:hAnsi="Arial" w:cs="Arial"/>
                <w:sz w:val="20"/>
                <w:szCs w:val="20"/>
              </w:rPr>
              <w:t xml:space="preserve"> can be structured in a variety of ways, including but not limited to </w:t>
            </w:r>
            <w:r w:rsidR="00B22637" w:rsidRPr="00C87150">
              <w:rPr>
                <w:rFonts w:ascii="Arial" w:hAnsi="Arial" w:cs="Arial"/>
                <w:sz w:val="20"/>
                <w:szCs w:val="20"/>
              </w:rPr>
              <w:t>an advance agai</w:t>
            </w:r>
            <w:r w:rsidR="00B22637">
              <w:rPr>
                <w:rFonts w:ascii="Arial" w:hAnsi="Arial" w:cs="Arial"/>
                <w:sz w:val="20"/>
                <w:szCs w:val="20"/>
              </w:rPr>
              <w:t>nst a commission rate</w:t>
            </w:r>
            <w:r w:rsidR="00B22637" w:rsidRPr="00C87150">
              <w:rPr>
                <w:rFonts w:ascii="Arial" w:hAnsi="Arial" w:cs="Arial"/>
                <w:sz w:val="20"/>
                <w:szCs w:val="20"/>
              </w:rPr>
              <w:t xml:space="preserve"> to be earned by the producer </w:t>
            </w:r>
            <w:r w:rsidR="00B22637">
              <w:rPr>
                <w:rFonts w:ascii="Arial" w:hAnsi="Arial" w:cs="Arial"/>
                <w:sz w:val="20"/>
                <w:szCs w:val="20"/>
              </w:rPr>
              <w:t>as each policy is written</w:t>
            </w:r>
            <w:r w:rsidR="00B22637" w:rsidRPr="00C87150">
              <w:rPr>
                <w:rFonts w:ascii="Arial" w:hAnsi="Arial" w:cs="Arial"/>
                <w:sz w:val="20"/>
                <w:szCs w:val="20"/>
              </w:rPr>
              <w:t xml:space="preserve">, or an </w:t>
            </w:r>
            <w:r w:rsidR="00B22637">
              <w:rPr>
                <w:rFonts w:ascii="Arial" w:hAnsi="Arial" w:cs="Arial"/>
                <w:sz w:val="20"/>
                <w:szCs w:val="20"/>
              </w:rPr>
              <w:t>override</w:t>
            </w:r>
            <w:r w:rsidR="00B22637" w:rsidRPr="00C87150">
              <w:rPr>
                <w:rFonts w:ascii="Arial" w:hAnsi="Arial" w:cs="Arial"/>
                <w:sz w:val="20"/>
                <w:szCs w:val="20"/>
              </w:rPr>
              <w:t xml:space="preserve"> on top </w:t>
            </w:r>
            <w:r w:rsidR="00B22637">
              <w:rPr>
                <w:rFonts w:ascii="Arial" w:hAnsi="Arial" w:cs="Arial"/>
                <w:sz w:val="20"/>
                <w:szCs w:val="20"/>
              </w:rPr>
              <w:t>of the agreed commission rate.</w:t>
            </w:r>
          </w:p>
          <w:p w14:paraId="284B9668" w14:textId="77777777" w:rsidR="00C87150" w:rsidRDefault="00C87150" w:rsidP="00033251">
            <w:pPr>
              <w:rPr>
                <w:rFonts w:ascii="Arial" w:hAnsi="Arial" w:cs="Arial"/>
                <w:sz w:val="20"/>
                <w:szCs w:val="20"/>
              </w:rPr>
            </w:pPr>
          </w:p>
          <w:p w14:paraId="284B966A" w14:textId="77777777" w:rsidR="008C4243" w:rsidRPr="008C4243" w:rsidRDefault="008C4243" w:rsidP="001340DF">
            <w:pPr>
              <w:rPr>
                <w:rFonts w:ascii="Arial" w:hAnsi="Arial" w:cs="Arial"/>
                <w:i/>
                <w:sz w:val="20"/>
                <w:szCs w:val="20"/>
              </w:rPr>
            </w:pPr>
            <w:r w:rsidRPr="008C4243">
              <w:rPr>
                <w:rFonts w:ascii="Arial" w:hAnsi="Arial" w:cs="Arial"/>
                <w:i/>
                <w:sz w:val="20"/>
                <w:szCs w:val="20"/>
              </w:rPr>
              <w:t xml:space="preserve">Other forms of </w:t>
            </w:r>
            <w:r w:rsidR="00B22637">
              <w:rPr>
                <w:rFonts w:ascii="Arial" w:hAnsi="Arial" w:cs="Arial"/>
                <w:i/>
                <w:sz w:val="20"/>
                <w:szCs w:val="20"/>
              </w:rPr>
              <w:t>P</w:t>
            </w:r>
            <w:r w:rsidR="00B22637" w:rsidRPr="008C4243">
              <w:rPr>
                <w:rFonts w:ascii="Arial" w:hAnsi="Arial" w:cs="Arial"/>
                <w:i/>
                <w:sz w:val="20"/>
                <w:szCs w:val="20"/>
              </w:rPr>
              <w:t xml:space="preserve">roducer </w:t>
            </w:r>
            <w:r w:rsidRPr="008C4243">
              <w:rPr>
                <w:rFonts w:ascii="Arial" w:hAnsi="Arial" w:cs="Arial"/>
                <w:i/>
                <w:sz w:val="20"/>
                <w:szCs w:val="20"/>
              </w:rPr>
              <w:t>compensation include</w:t>
            </w:r>
          </w:p>
          <w:p w14:paraId="284B966C" w14:textId="77777777" w:rsidR="00A11D64" w:rsidRDefault="00A11D64" w:rsidP="008C4243">
            <w:pPr>
              <w:tabs>
                <w:tab w:val="left" w:pos="1515"/>
              </w:tabs>
              <w:rPr>
                <w:rFonts w:ascii="Arial" w:hAnsi="Arial" w:cs="Arial"/>
                <w:b/>
                <w:i/>
                <w:sz w:val="20"/>
                <w:szCs w:val="20"/>
              </w:rPr>
            </w:pPr>
          </w:p>
          <w:p w14:paraId="284B966D" w14:textId="77777777" w:rsidR="001340DF" w:rsidRPr="00C87150" w:rsidRDefault="001340DF" w:rsidP="001340DF">
            <w:pPr>
              <w:rPr>
                <w:rFonts w:ascii="Arial" w:hAnsi="Arial" w:cs="Arial"/>
                <w:b/>
                <w:i/>
                <w:sz w:val="20"/>
                <w:szCs w:val="20"/>
              </w:rPr>
            </w:pPr>
            <w:r w:rsidRPr="00C87150">
              <w:rPr>
                <w:rFonts w:ascii="Arial" w:hAnsi="Arial" w:cs="Arial"/>
                <w:b/>
                <w:i/>
                <w:sz w:val="20"/>
                <w:szCs w:val="20"/>
              </w:rPr>
              <w:t xml:space="preserve">Distribution Mark-up   </w:t>
            </w:r>
          </w:p>
          <w:p w14:paraId="284B966E" w14:textId="77777777" w:rsidR="00A11D64" w:rsidRPr="00C87150" w:rsidRDefault="001340DF" w:rsidP="001340DF">
            <w:pPr>
              <w:rPr>
                <w:rFonts w:ascii="Arial" w:hAnsi="Arial" w:cs="Arial"/>
                <w:sz w:val="20"/>
                <w:szCs w:val="20"/>
              </w:rPr>
            </w:pPr>
            <w:r>
              <w:rPr>
                <w:rFonts w:ascii="Arial" w:hAnsi="Arial" w:cs="Arial"/>
                <w:sz w:val="20"/>
                <w:szCs w:val="20"/>
              </w:rPr>
              <w:t>Compensation to a third party sponsor or vendor for the</w:t>
            </w:r>
            <w:r w:rsidRPr="00C87150">
              <w:rPr>
                <w:rFonts w:ascii="Arial" w:hAnsi="Arial" w:cs="Arial"/>
                <w:sz w:val="20"/>
                <w:szCs w:val="20"/>
              </w:rPr>
              <w:t xml:space="preserve"> distribution </w:t>
            </w:r>
            <w:r>
              <w:rPr>
                <w:rFonts w:ascii="Arial" w:hAnsi="Arial" w:cs="Arial"/>
                <w:sz w:val="20"/>
                <w:szCs w:val="20"/>
              </w:rPr>
              <w:t>of</w:t>
            </w:r>
            <w:r w:rsidRPr="00C87150">
              <w:rPr>
                <w:rFonts w:ascii="Arial" w:hAnsi="Arial" w:cs="Arial"/>
                <w:sz w:val="20"/>
                <w:szCs w:val="20"/>
              </w:rPr>
              <w:t xml:space="preserve"> </w:t>
            </w:r>
            <w:r>
              <w:rPr>
                <w:rFonts w:ascii="Arial" w:hAnsi="Arial" w:cs="Arial"/>
                <w:sz w:val="20"/>
                <w:szCs w:val="20"/>
              </w:rPr>
              <w:t>AIG</w:t>
            </w:r>
            <w:r w:rsidRPr="00C87150">
              <w:rPr>
                <w:rFonts w:ascii="Arial" w:hAnsi="Arial" w:cs="Arial"/>
                <w:sz w:val="20"/>
                <w:szCs w:val="20"/>
              </w:rPr>
              <w:t xml:space="preserve"> products</w:t>
            </w:r>
            <w:r>
              <w:rPr>
                <w:rFonts w:ascii="Arial" w:hAnsi="Arial" w:cs="Arial"/>
                <w:sz w:val="20"/>
                <w:szCs w:val="20"/>
              </w:rPr>
              <w:t>,</w:t>
            </w:r>
            <w:r w:rsidRPr="00C87150">
              <w:rPr>
                <w:rFonts w:ascii="Arial" w:hAnsi="Arial" w:cs="Arial"/>
                <w:sz w:val="20"/>
                <w:szCs w:val="20"/>
              </w:rPr>
              <w:t xml:space="preserve"> </w:t>
            </w:r>
            <w:r>
              <w:rPr>
                <w:rFonts w:ascii="Arial" w:hAnsi="Arial" w:cs="Arial"/>
                <w:sz w:val="20"/>
                <w:szCs w:val="20"/>
              </w:rPr>
              <w:t>where</w:t>
            </w:r>
            <w:r w:rsidRPr="00C87150">
              <w:rPr>
                <w:rFonts w:ascii="Arial" w:hAnsi="Arial" w:cs="Arial"/>
                <w:sz w:val="20"/>
                <w:szCs w:val="20"/>
              </w:rPr>
              <w:t xml:space="preserve"> with </w:t>
            </w:r>
            <w:r>
              <w:rPr>
                <w:rFonts w:ascii="Arial" w:hAnsi="Arial" w:cs="Arial"/>
                <w:sz w:val="20"/>
                <w:szCs w:val="20"/>
              </w:rPr>
              <w:t>AIG</w:t>
            </w:r>
            <w:r w:rsidRPr="00C87150">
              <w:rPr>
                <w:rFonts w:ascii="Arial" w:hAnsi="Arial" w:cs="Arial"/>
                <w:sz w:val="20"/>
                <w:szCs w:val="20"/>
              </w:rPr>
              <w:t>’</w:t>
            </w:r>
            <w:r>
              <w:rPr>
                <w:rFonts w:ascii="Arial" w:hAnsi="Arial" w:cs="Arial"/>
                <w:sz w:val="20"/>
                <w:szCs w:val="20"/>
              </w:rPr>
              <w:t>s</w:t>
            </w:r>
            <w:r w:rsidRPr="00C87150">
              <w:rPr>
                <w:rFonts w:ascii="Arial" w:hAnsi="Arial" w:cs="Arial"/>
                <w:sz w:val="20"/>
                <w:szCs w:val="20"/>
              </w:rPr>
              <w:t xml:space="preserve"> knowledge and approval</w:t>
            </w:r>
            <w:r>
              <w:rPr>
                <w:rFonts w:ascii="Arial" w:hAnsi="Arial" w:cs="Arial"/>
                <w:sz w:val="20"/>
                <w:szCs w:val="20"/>
              </w:rPr>
              <w:t>,</w:t>
            </w:r>
            <w:r w:rsidRPr="00C87150">
              <w:rPr>
                <w:rFonts w:ascii="Arial" w:hAnsi="Arial" w:cs="Arial"/>
                <w:sz w:val="20"/>
                <w:szCs w:val="20"/>
              </w:rPr>
              <w:t xml:space="preserve"> the end customer </w:t>
            </w:r>
            <w:r>
              <w:rPr>
                <w:rFonts w:ascii="Arial" w:hAnsi="Arial" w:cs="Arial"/>
                <w:sz w:val="20"/>
                <w:szCs w:val="20"/>
              </w:rPr>
              <w:t xml:space="preserve">makes a payment </w:t>
            </w:r>
            <w:r w:rsidRPr="00C87150">
              <w:rPr>
                <w:rFonts w:ascii="Arial" w:hAnsi="Arial" w:cs="Arial"/>
                <w:sz w:val="20"/>
                <w:szCs w:val="20"/>
              </w:rPr>
              <w:t>which is higher th</w:t>
            </w:r>
            <w:r>
              <w:rPr>
                <w:rFonts w:ascii="Arial" w:hAnsi="Arial" w:cs="Arial"/>
                <w:sz w:val="20"/>
                <w:szCs w:val="20"/>
              </w:rPr>
              <w:t xml:space="preserve">an the premium charged to the sponsor by the company. </w:t>
            </w:r>
          </w:p>
          <w:p w14:paraId="284B966F" w14:textId="77777777" w:rsidR="001340DF" w:rsidRDefault="001340DF" w:rsidP="0027540E">
            <w:pPr>
              <w:rPr>
                <w:rFonts w:ascii="Arial" w:hAnsi="Arial" w:cs="Arial"/>
                <w:b/>
                <w:sz w:val="18"/>
                <w:szCs w:val="18"/>
              </w:rPr>
            </w:pPr>
          </w:p>
          <w:p w14:paraId="284B9670" w14:textId="77777777" w:rsidR="0027540E" w:rsidRPr="008C4243" w:rsidRDefault="0027540E" w:rsidP="0027540E">
            <w:pPr>
              <w:rPr>
                <w:rFonts w:ascii="Arial" w:hAnsi="Arial" w:cs="Arial"/>
                <w:b/>
                <w:sz w:val="20"/>
                <w:szCs w:val="20"/>
              </w:rPr>
            </w:pPr>
            <w:r w:rsidRPr="008C4243">
              <w:rPr>
                <w:rFonts w:ascii="Arial" w:hAnsi="Arial" w:cs="Arial"/>
                <w:b/>
                <w:sz w:val="20"/>
                <w:szCs w:val="20"/>
              </w:rPr>
              <w:t>Fee for Service Agreement:</w:t>
            </w:r>
          </w:p>
          <w:p w14:paraId="284B9671" w14:textId="77777777" w:rsidR="00FC455C" w:rsidRDefault="0027540E" w:rsidP="00BC4475">
            <w:pPr>
              <w:rPr>
                <w:rFonts w:ascii="Arial" w:hAnsi="Arial" w:cs="Arial"/>
                <w:sz w:val="20"/>
                <w:szCs w:val="20"/>
              </w:rPr>
            </w:pPr>
            <w:r w:rsidRPr="008C4243">
              <w:rPr>
                <w:rFonts w:ascii="Arial" w:hAnsi="Arial" w:cs="Arial"/>
                <w:sz w:val="20"/>
                <w:szCs w:val="20"/>
              </w:rPr>
              <w:t xml:space="preserve">An agreement with a Producer under which the Producer agrees to provide services or information about their business.  Such service or information is in connection with activities agreed to be undertaken by the Producer and AIG to enhance the efficiency of the placement of insurance business, for example placement system access, access to </w:t>
            </w:r>
            <w:r w:rsidR="008F6622">
              <w:rPr>
                <w:rFonts w:ascii="Arial" w:hAnsi="Arial" w:cs="Arial"/>
                <w:sz w:val="20"/>
                <w:szCs w:val="20"/>
              </w:rPr>
              <w:t>P</w:t>
            </w:r>
            <w:r w:rsidRPr="008C4243">
              <w:rPr>
                <w:rFonts w:ascii="Arial" w:hAnsi="Arial" w:cs="Arial"/>
                <w:sz w:val="20"/>
                <w:szCs w:val="20"/>
              </w:rPr>
              <w:t xml:space="preserve">roducer events, commitments to hold meetings and participate in relationship governance efforts, outside of the normal course of seeking to place business with AIG as part of services the Producer provides to its clients.  As a matter of form, such agreements may be standalone or consolidated with agreements on </w:t>
            </w:r>
            <w:r w:rsidR="00317F82">
              <w:rPr>
                <w:rFonts w:ascii="Arial" w:hAnsi="Arial" w:cs="Arial"/>
                <w:sz w:val="20"/>
                <w:szCs w:val="20"/>
              </w:rPr>
              <w:t>c</w:t>
            </w:r>
            <w:r w:rsidRPr="008C4243">
              <w:rPr>
                <w:rFonts w:ascii="Arial" w:hAnsi="Arial" w:cs="Arial"/>
                <w:sz w:val="20"/>
                <w:szCs w:val="20"/>
              </w:rPr>
              <w:t>ommission to be provided to Producers.</w:t>
            </w:r>
          </w:p>
          <w:p w14:paraId="284B9672" w14:textId="77777777" w:rsidR="00180689" w:rsidRDefault="00180689" w:rsidP="00BC4475">
            <w:pPr>
              <w:rPr>
                <w:rFonts w:ascii="Arial" w:hAnsi="Arial" w:cs="Arial"/>
                <w:sz w:val="20"/>
                <w:szCs w:val="20"/>
              </w:rPr>
            </w:pPr>
          </w:p>
          <w:p w14:paraId="284B9673" w14:textId="77777777" w:rsidR="00180689" w:rsidRPr="008C4243" w:rsidRDefault="00180689" w:rsidP="00BC4475">
            <w:pPr>
              <w:rPr>
                <w:rFonts w:ascii="Arial" w:hAnsi="Arial" w:cs="Arial"/>
                <w:sz w:val="20"/>
                <w:szCs w:val="20"/>
              </w:rPr>
            </w:pPr>
            <w:r w:rsidRPr="00C87150" w:rsidDel="0027540E">
              <w:rPr>
                <w:rFonts w:ascii="Arial" w:hAnsi="Arial" w:cs="Arial"/>
                <w:sz w:val="20"/>
                <w:szCs w:val="20"/>
              </w:rPr>
              <w:t xml:space="preserve">Brokerage fees charged by the Producer directly to the customer in contracts or agreements to which </w:t>
            </w:r>
            <w:r w:rsidDel="0027540E">
              <w:rPr>
                <w:rFonts w:ascii="Arial" w:hAnsi="Arial" w:cs="Arial"/>
                <w:sz w:val="20"/>
                <w:szCs w:val="20"/>
              </w:rPr>
              <w:t>AIG</w:t>
            </w:r>
            <w:r w:rsidRPr="00C87150" w:rsidDel="0027540E">
              <w:rPr>
                <w:rFonts w:ascii="Arial" w:hAnsi="Arial" w:cs="Arial"/>
                <w:sz w:val="20"/>
                <w:szCs w:val="20"/>
              </w:rPr>
              <w:t xml:space="preserve"> is not a party, are not included in the definition of commi</w:t>
            </w:r>
            <w:r w:rsidDel="0027540E">
              <w:rPr>
                <w:rFonts w:ascii="Arial" w:hAnsi="Arial" w:cs="Arial"/>
                <w:sz w:val="20"/>
                <w:szCs w:val="20"/>
              </w:rPr>
              <w:t>ssions</w:t>
            </w:r>
            <w:r>
              <w:rPr>
                <w:rFonts w:ascii="Arial" w:hAnsi="Arial" w:cs="Arial"/>
                <w:sz w:val="20"/>
                <w:szCs w:val="20"/>
              </w:rPr>
              <w:t>,</w:t>
            </w:r>
            <w:r w:rsidDel="0027540E">
              <w:rPr>
                <w:rFonts w:ascii="Arial" w:hAnsi="Arial" w:cs="Arial"/>
                <w:sz w:val="20"/>
                <w:szCs w:val="20"/>
              </w:rPr>
              <w:t xml:space="preserve"> Distribution Mark U</w:t>
            </w:r>
            <w:r>
              <w:rPr>
                <w:rFonts w:ascii="Arial" w:hAnsi="Arial" w:cs="Arial"/>
                <w:sz w:val="20"/>
                <w:szCs w:val="20"/>
              </w:rPr>
              <w:t>p or Fee for Service</w:t>
            </w:r>
          </w:p>
          <w:p w14:paraId="284B9674" w14:textId="77777777" w:rsidR="008C4243" w:rsidRPr="0027540E" w:rsidRDefault="008C4243" w:rsidP="00BC4475">
            <w:pPr>
              <w:rPr>
                <w:rFonts w:ascii="Arial" w:hAnsi="Arial" w:cs="Arial"/>
                <w:sz w:val="18"/>
                <w:szCs w:val="18"/>
              </w:rPr>
            </w:pPr>
          </w:p>
          <w:p w14:paraId="284B9675" w14:textId="77777777" w:rsidR="00C87150" w:rsidRPr="00C87150" w:rsidDel="0027540E" w:rsidRDefault="00C87150" w:rsidP="00C87150">
            <w:pPr>
              <w:rPr>
                <w:rFonts w:ascii="Arial" w:hAnsi="Arial" w:cs="Arial"/>
                <w:b/>
                <w:i/>
                <w:sz w:val="20"/>
                <w:szCs w:val="20"/>
              </w:rPr>
            </w:pPr>
            <w:r w:rsidRPr="00C87150" w:rsidDel="0027540E">
              <w:rPr>
                <w:rFonts w:ascii="Arial" w:hAnsi="Arial" w:cs="Arial"/>
                <w:b/>
                <w:i/>
                <w:sz w:val="20"/>
                <w:szCs w:val="20"/>
              </w:rPr>
              <w:t>Other Acquisition Expenses</w:t>
            </w:r>
          </w:p>
          <w:p w14:paraId="284B9676" w14:textId="77777777" w:rsidR="009549C8" w:rsidRDefault="00C87150" w:rsidP="00180689">
            <w:pPr>
              <w:rPr>
                <w:rFonts w:ascii="Arial" w:hAnsi="Arial" w:cs="Arial"/>
                <w:sz w:val="20"/>
                <w:szCs w:val="20"/>
              </w:rPr>
            </w:pPr>
            <w:r w:rsidRPr="00C87150" w:rsidDel="0027540E">
              <w:rPr>
                <w:rFonts w:ascii="Arial" w:hAnsi="Arial" w:cs="Arial"/>
                <w:sz w:val="20"/>
                <w:szCs w:val="20"/>
              </w:rPr>
              <w:t xml:space="preserve">Payments made by the Company which may include both monetary </w:t>
            </w:r>
            <w:r w:rsidR="004B38CC">
              <w:rPr>
                <w:rFonts w:ascii="Arial" w:hAnsi="Arial" w:cs="Arial"/>
                <w:sz w:val="20"/>
                <w:szCs w:val="20"/>
              </w:rPr>
              <w:t>compensation</w:t>
            </w:r>
            <w:r w:rsidR="004B38CC" w:rsidRPr="00C87150" w:rsidDel="0027540E">
              <w:rPr>
                <w:rFonts w:ascii="Arial" w:hAnsi="Arial" w:cs="Arial"/>
                <w:sz w:val="20"/>
                <w:szCs w:val="20"/>
              </w:rPr>
              <w:t xml:space="preserve"> </w:t>
            </w:r>
            <w:r w:rsidRPr="00C87150" w:rsidDel="0027540E">
              <w:rPr>
                <w:rFonts w:ascii="Arial" w:hAnsi="Arial" w:cs="Arial"/>
                <w:sz w:val="20"/>
                <w:szCs w:val="20"/>
              </w:rPr>
              <w:t xml:space="preserve">as well as awards which may include travel and or training of </w:t>
            </w:r>
            <w:r w:rsidR="00317F82">
              <w:rPr>
                <w:rFonts w:ascii="Arial" w:hAnsi="Arial" w:cs="Arial"/>
                <w:sz w:val="20"/>
                <w:szCs w:val="20"/>
              </w:rPr>
              <w:t>P</w:t>
            </w:r>
            <w:r w:rsidRPr="00C87150" w:rsidDel="0027540E">
              <w:rPr>
                <w:rFonts w:ascii="Arial" w:hAnsi="Arial" w:cs="Arial"/>
                <w:sz w:val="20"/>
                <w:szCs w:val="20"/>
              </w:rPr>
              <w:t xml:space="preserve">roducers are </w:t>
            </w:r>
            <w:r w:rsidRPr="00180689" w:rsidDel="0027540E">
              <w:rPr>
                <w:rFonts w:ascii="Arial" w:hAnsi="Arial" w:cs="Arial"/>
                <w:sz w:val="20"/>
                <w:szCs w:val="20"/>
              </w:rPr>
              <w:t>not included</w:t>
            </w:r>
            <w:r w:rsidRPr="00C87150" w:rsidDel="0027540E">
              <w:rPr>
                <w:rFonts w:ascii="Arial" w:hAnsi="Arial" w:cs="Arial"/>
                <w:sz w:val="20"/>
                <w:szCs w:val="20"/>
              </w:rPr>
              <w:t xml:space="preserve"> in the definition of commission</w:t>
            </w:r>
            <w:r w:rsidR="00180689">
              <w:rPr>
                <w:rFonts w:ascii="Arial" w:hAnsi="Arial" w:cs="Arial"/>
                <w:sz w:val="20"/>
                <w:szCs w:val="20"/>
              </w:rPr>
              <w:t xml:space="preserve">, Distribution Mark-Up or Fee for Service </w:t>
            </w:r>
            <w:r w:rsidRPr="00C87150" w:rsidDel="0027540E">
              <w:rPr>
                <w:rFonts w:ascii="Arial" w:hAnsi="Arial" w:cs="Arial"/>
                <w:sz w:val="20"/>
                <w:szCs w:val="20"/>
              </w:rPr>
              <w:t xml:space="preserve">. Such remuneration is governed by the AIG </w:t>
            </w:r>
            <w:r w:rsidR="002F3877">
              <w:rPr>
                <w:rFonts w:ascii="Arial" w:hAnsi="Arial" w:cs="Arial"/>
                <w:sz w:val="20"/>
                <w:szCs w:val="20"/>
              </w:rPr>
              <w:t>Property Casualty Gifts and Entertainment Standard</w:t>
            </w:r>
            <w:r w:rsidRPr="00C87150" w:rsidDel="0027540E">
              <w:rPr>
                <w:rFonts w:ascii="Arial" w:hAnsi="Arial" w:cs="Arial"/>
                <w:sz w:val="20"/>
                <w:szCs w:val="20"/>
              </w:rPr>
              <w:t xml:space="preserve">.  Additionally, those expenses which are incurred for the marketing, advertising, and promotion of any product or group of products distributed through a producer are likewise not considered to fall under the definition of commissions. </w:t>
            </w:r>
          </w:p>
          <w:p w14:paraId="284B9677" w14:textId="77777777" w:rsidR="0027789D" w:rsidRPr="00C87150" w:rsidRDefault="0027789D" w:rsidP="00180689">
            <w:pPr>
              <w:rPr>
                <w:rFonts w:ascii="Arial" w:hAnsi="Arial" w:cs="Arial"/>
                <w:sz w:val="20"/>
                <w:szCs w:val="20"/>
              </w:rPr>
            </w:pPr>
          </w:p>
        </w:tc>
      </w:tr>
      <w:tr w:rsidR="009D2F84" w:rsidRPr="004A024A" w14:paraId="284B967F" w14:textId="77777777" w:rsidTr="000B6CA2">
        <w:trPr>
          <w:trHeight w:val="387"/>
        </w:trPr>
        <w:tc>
          <w:tcPr>
            <w:tcW w:w="2232" w:type="dxa"/>
          </w:tcPr>
          <w:p w14:paraId="284B9679" w14:textId="77777777" w:rsidR="009D2F84" w:rsidRPr="00335743" w:rsidRDefault="009D2F84" w:rsidP="004912A9">
            <w:pPr>
              <w:rPr>
                <w:rFonts w:ascii="Arial" w:hAnsi="Arial" w:cs="Arial"/>
                <w:i/>
                <w:color w:val="00B0F0"/>
                <w:sz w:val="20"/>
                <w:szCs w:val="20"/>
              </w:rPr>
            </w:pPr>
            <w:r w:rsidRPr="00335743">
              <w:rPr>
                <w:rFonts w:ascii="Arial" w:hAnsi="Arial" w:cs="Arial"/>
                <w:i/>
                <w:color w:val="00B0F0"/>
                <w:sz w:val="20"/>
                <w:szCs w:val="20"/>
              </w:rPr>
              <w:lastRenderedPageBreak/>
              <w:t>General Principles</w:t>
            </w:r>
          </w:p>
        </w:tc>
        <w:tc>
          <w:tcPr>
            <w:tcW w:w="8388" w:type="dxa"/>
            <w:gridSpan w:val="2"/>
          </w:tcPr>
          <w:p w14:paraId="284B967A" w14:textId="77777777" w:rsidR="009D2F84" w:rsidRDefault="009D2F84" w:rsidP="00C87150">
            <w:pPr>
              <w:rPr>
                <w:rFonts w:ascii="Arial" w:hAnsi="Arial" w:cs="Arial"/>
                <w:b/>
                <w:sz w:val="20"/>
                <w:szCs w:val="20"/>
              </w:rPr>
            </w:pPr>
          </w:p>
          <w:p w14:paraId="284B967B" w14:textId="77777777" w:rsidR="009D2F84" w:rsidRPr="00D80B25" w:rsidRDefault="009D2F84" w:rsidP="009A28A6">
            <w:pPr>
              <w:pStyle w:val="ListParagraph"/>
              <w:numPr>
                <w:ilvl w:val="0"/>
                <w:numId w:val="23"/>
              </w:numPr>
              <w:rPr>
                <w:rFonts w:ascii="Arial" w:hAnsi="Arial" w:cs="Arial"/>
                <w:sz w:val="20"/>
                <w:szCs w:val="20"/>
              </w:rPr>
            </w:pPr>
            <w:r w:rsidRPr="00D80B25">
              <w:rPr>
                <w:rFonts w:ascii="Arial" w:hAnsi="Arial" w:cs="Arial"/>
                <w:sz w:val="20"/>
                <w:szCs w:val="20"/>
              </w:rPr>
              <w:t xml:space="preserve">Commercial Insurance works closely with </w:t>
            </w:r>
            <w:r w:rsidR="00033251">
              <w:rPr>
                <w:rFonts w:ascii="Arial" w:hAnsi="Arial" w:cs="Arial"/>
                <w:sz w:val="20"/>
                <w:szCs w:val="20"/>
              </w:rPr>
              <w:t>P</w:t>
            </w:r>
            <w:r w:rsidRPr="00D80B25">
              <w:rPr>
                <w:rFonts w:ascii="Arial" w:hAnsi="Arial" w:cs="Arial"/>
                <w:sz w:val="20"/>
                <w:szCs w:val="20"/>
              </w:rPr>
              <w:t>roducers and to provide competitive and valued products for mutual customers.</w:t>
            </w:r>
          </w:p>
          <w:p w14:paraId="284B967C" w14:textId="77777777" w:rsidR="009D2F84" w:rsidRPr="00D80B25" w:rsidRDefault="009D2F84" w:rsidP="00C87150">
            <w:pPr>
              <w:rPr>
                <w:rFonts w:ascii="Arial" w:hAnsi="Arial" w:cs="Arial"/>
                <w:sz w:val="20"/>
                <w:szCs w:val="20"/>
              </w:rPr>
            </w:pPr>
          </w:p>
          <w:p w14:paraId="284B967D" w14:textId="77777777" w:rsidR="009D2F84" w:rsidRPr="00D80B25" w:rsidRDefault="009D2F84" w:rsidP="009A28A6">
            <w:pPr>
              <w:pStyle w:val="ListParagraph"/>
              <w:numPr>
                <w:ilvl w:val="0"/>
                <w:numId w:val="23"/>
              </w:numPr>
              <w:rPr>
                <w:rFonts w:ascii="Arial" w:hAnsi="Arial" w:cs="Arial"/>
                <w:sz w:val="20"/>
                <w:szCs w:val="20"/>
              </w:rPr>
            </w:pPr>
            <w:r w:rsidRPr="00D80B25">
              <w:rPr>
                <w:rFonts w:ascii="Arial" w:hAnsi="Arial" w:cs="Arial"/>
                <w:sz w:val="20"/>
                <w:szCs w:val="20"/>
              </w:rPr>
              <w:t>Producer compensation is intended to provide reasonable remuneration for the services provided.</w:t>
            </w:r>
          </w:p>
          <w:p w14:paraId="284B967E" w14:textId="77777777" w:rsidR="009A28A6" w:rsidRPr="009A28A6" w:rsidRDefault="009A28A6" w:rsidP="009A28A6">
            <w:pPr>
              <w:rPr>
                <w:rFonts w:ascii="Arial" w:hAnsi="Arial" w:cs="Arial"/>
                <w:b/>
                <w:sz w:val="20"/>
                <w:szCs w:val="20"/>
              </w:rPr>
            </w:pPr>
          </w:p>
        </w:tc>
      </w:tr>
      <w:tr w:rsidR="003D3FA9" w:rsidRPr="004A024A" w14:paraId="284B9686" w14:textId="77777777" w:rsidTr="000B6CA2">
        <w:trPr>
          <w:trHeight w:val="387"/>
        </w:trPr>
        <w:tc>
          <w:tcPr>
            <w:tcW w:w="2232" w:type="dxa"/>
          </w:tcPr>
          <w:p w14:paraId="284B9680" w14:textId="77777777" w:rsidR="003D3FA9" w:rsidRPr="00335743" w:rsidRDefault="0027789D" w:rsidP="00B5006C">
            <w:pPr>
              <w:rPr>
                <w:rFonts w:ascii="Arial" w:hAnsi="Arial" w:cs="Arial"/>
                <w:i/>
                <w:color w:val="00B0F0"/>
                <w:sz w:val="20"/>
                <w:szCs w:val="20"/>
              </w:rPr>
            </w:pPr>
            <w:r w:rsidRPr="00335743">
              <w:rPr>
                <w:rFonts w:ascii="Arial" w:hAnsi="Arial" w:cs="Arial"/>
                <w:i/>
                <w:color w:val="00B0F0"/>
                <w:sz w:val="20"/>
                <w:szCs w:val="20"/>
              </w:rPr>
              <w:lastRenderedPageBreak/>
              <w:t xml:space="preserve">Standard </w:t>
            </w:r>
            <w:r w:rsidR="00BC4475" w:rsidRPr="00335743">
              <w:rPr>
                <w:rFonts w:ascii="Arial" w:hAnsi="Arial" w:cs="Arial"/>
                <w:i/>
                <w:color w:val="00B0F0"/>
                <w:sz w:val="20"/>
                <w:szCs w:val="20"/>
              </w:rPr>
              <w:t>Commission payment controls</w:t>
            </w:r>
          </w:p>
        </w:tc>
        <w:tc>
          <w:tcPr>
            <w:tcW w:w="8388" w:type="dxa"/>
            <w:gridSpan w:val="2"/>
          </w:tcPr>
          <w:p w14:paraId="284B9681" w14:textId="77777777" w:rsidR="0048340A" w:rsidRDefault="003D3FA9" w:rsidP="003D4BC5">
            <w:pPr>
              <w:pStyle w:val="Heading3"/>
              <w:numPr>
                <w:ilvl w:val="0"/>
                <w:numId w:val="19"/>
              </w:numPr>
              <w:spacing w:before="240" w:after="60" w:line="240" w:lineRule="auto"/>
              <w:rPr>
                <w:b w:val="0"/>
                <w:color w:val="auto"/>
                <w:sz w:val="20"/>
                <w:szCs w:val="20"/>
              </w:rPr>
            </w:pPr>
            <w:r w:rsidRPr="003D3FA9">
              <w:rPr>
                <w:b w:val="0"/>
                <w:color w:val="auto"/>
                <w:sz w:val="20"/>
                <w:szCs w:val="20"/>
              </w:rPr>
              <w:t xml:space="preserve">Each </w:t>
            </w:r>
            <w:r>
              <w:rPr>
                <w:b w:val="0"/>
                <w:color w:val="auto"/>
                <w:sz w:val="20"/>
                <w:szCs w:val="20"/>
              </w:rPr>
              <w:t>Product Tower</w:t>
            </w:r>
            <w:r w:rsidR="00327227">
              <w:rPr>
                <w:b w:val="0"/>
                <w:color w:val="auto"/>
                <w:sz w:val="20"/>
                <w:szCs w:val="20"/>
              </w:rPr>
              <w:t xml:space="preserve">, in consultation with </w:t>
            </w:r>
            <w:r w:rsidR="00B57557">
              <w:rPr>
                <w:b w:val="0"/>
                <w:color w:val="auto"/>
                <w:sz w:val="20"/>
                <w:szCs w:val="20"/>
              </w:rPr>
              <w:t xml:space="preserve">local and </w:t>
            </w:r>
            <w:r w:rsidR="00327227">
              <w:rPr>
                <w:b w:val="0"/>
                <w:color w:val="auto"/>
                <w:sz w:val="20"/>
                <w:szCs w:val="20"/>
              </w:rPr>
              <w:t>regional</w:t>
            </w:r>
            <w:r w:rsidRPr="003D3FA9">
              <w:rPr>
                <w:b w:val="0"/>
                <w:color w:val="auto"/>
                <w:sz w:val="20"/>
                <w:szCs w:val="20"/>
              </w:rPr>
              <w:t xml:space="preserve"> management</w:t>
            </w:r>
            <w:r w:rsidR="00327227">
              <w:rPr>
                <w:b w:val="0"/>
                <w:color w:val="auto"/>
                <w:sz w:val="20"/>
                <w:szCs w:val="20"/>
              </w:rPr>
              <w:t>,</w:t>
            </w:r>
            <w:r w:rsidRPr="003D3FA9">
              <w:rPr>
                <w:b w:val="0"/>
                <w:color w:val="auto"/>
                <w:sz w:val="20"/>
                <w:szCs w:val="20"/>
              </w:rPr>
              <w:t xml:space="preserve"> must establish, document, and communicate permissible </w:t>
            </w:r>
            <w:r w:rsidR="0048340A">
              <w:rPr>
                <w:b w:val="0"/>
                <w:color w:val="auto"/>
                <w:sz w:val="20"/>
                <w:szCs w:val="20"/>
              </w:rPr>
              <w:t xml:space="preserve">Standard Commission </w:t>
            </w:r>
            <w:r w:rsidRPr="003D3FA9">
              <w:rPr>
                <w:b w:val="0"/>
                <w:color w:val="auto"/>
                <w:sz w:val="20"/>
                <w:szCs w:val="20"/>
              </w:rPr>
              <w:t>levels</w:t>
            </w:r>
            <w:r w:rsidRPr="003D3FA9">
              <w:rPr>
                <w:b w:val="0"/>
                <w:color w:val="FF0000"/>
                <w:sz w:val="20"/>
                <w:szCs w:val="20"/>
              </w:rPr>
              <w:t xml:space="preserve"> </w:t>
            </w:r>
            <w:r w:rsidR="00327227">
              <w:rPr>
                <w:b w:val="0"/>
                <w:color w:val="auto"/>
                <w:sz w:val="20"/>
                <w:szCs w:val="20"/>
              </w:rPr>
              <w:t xml:space="preserve">with respect to each product </w:t>
            </w:r>
            <w:r w:rsidRPr="003D3FA9">
              <w:rPr>
                <w:b w:val="0"/>
                <w:color w:val="auto"/>
                <w:sz w:val="20"/>
                <w:szCs w:val="20"/>
              </w:rPr>
              <w:t>line</w:t>
            </w:r>
            <w:r w:rsidRPr="003D3FA9">
              <w:rPr>
                <w:b w:val="0"/>
                <w:color w:val="FF0000"/>
                <w:sz w:val="20"/>
                <w:szCs w:val="20"/>
              </w:rPr>
              <w:t xml:space="preserve"> </w:t>
            </w:r>
            <w:r w:rsidRPr="003D3FA9">
              <w:rPr>
                <w:b w:val="0"/>
                <w:color w:val="auto"/>
                <w:sz w:val="20"/>
                <w:szCs w:val="20"/>
              </w:rPr>
              <w:t>to all</w:t>
            </w:r>
            <w:r>
              <w:rPr>
                <w:b w:val="0"/>
                <w:color w:val="auto"/>
                <w:sz w:val="20"/>
                <w:szCs w:val="20"/>
              </w:rPr>
              <w:t xml:space="preserve"> appropriate staff</w:t>
            </w:r>
            <w:r w:rsidR="00186BDF">
              <w:rPr>
                <w:b w:val="0"/>
                <w:color w:val="auto"/>
                <w:sz w:val="20"/>
                <w:szCs w:val="20"/>
              </w:rPr>
              <w:t xml:space="preserve">. </w:t>
            </w:r>
          </w:p>
          <w:p w14:paraId="284B9682" w14:textId="77777777" w:rsidR="003D3FA9" w:rsidRPr="003D3FA9" w:rsidRDefault="0027789D" w:rsidP="003D4BC5">
            <w:pPr>
              <w:pStyle w:val="Heading3"/>
              <w:numPr>
                <w:ilvl w:val="0"/>
                <w:numId w:val="19"/>
              </w:numPr>
              <w:spacing w:before="240" w:after="60" w:line="240" w:lineRule="auto"/>
              <w:rPr>
                <w:b w:val="0"/>
                <w:color w:val="auto"/>
                <w:sz w:val="20"/>
                <w:szCs w:val="20"/>
              </w:rPr>
            </w:pPr>
            <w:r>
              <w:rPr>
                <w:b w:val="0"/>
                <w:color w:val="auto"/>
                <w:sz w:val="20"/>
                <w:szCs w:val="20"/>
              </w:rPr>
              <w:t xml:space="preserve">Standard </w:t>
            </w:r>
            <w:r w:rsidR="003D3FA9" w:rsidRPr="003D3FA9">
              <w:rPr>
                <w:b w:val="0"/>
                <w:color w:val="auto"/>
                <w:sz w:val="20"/>
                <w:szCs w:val="20"/>
              </w:rPr>
              <w:t>Commissi</w:t>
            </w:r>
            <w:r w:rsidR="00765240">
              <w:rPr>
                <w:b w:val="0"/>
                <w:color w:val="auto"/>
                <w:sz w:val="20"/>
                <w:szCs w:val="20"/>
              </w:rPr>
              <w:t>on p</w:t>
            </w:r>
            <w:r w:rsidR="003D3FA9" w:rsidRPr="003D3FA9">
              <w:rPr>
                <w:b w:val="0"/>
                <w:color w:val="auto"/>
                <w:sz w:val="20"/>
                <w:szCs w:val="20"/>
              </w:rPr>
              <w:t>ayment levels must be</w:t>
            </w:r>
            <w:r w:rsidR="003D4BC5">
              <w:rPr>
                <w:b w:val="0"/>
                <w:color w:val="auto"/>
                <w:sz w:val="20"/>
                <w:szCs w:val="20"/>
              </w:rPr>
              <w:t xml:space="preserve"> included as part of technical price, </w:t>
            </w:r>
            <w:r w:rsidR="00186BDF">
              <w:rPr>
                <w:b w:val="0"/>
                <w:color w:val="auto"/>
                <w:sz w:val="20"/>
                <w:szCs w:val="20"/>
              </w:rPr>
              <w:t xml:space="preserve">and </w:t>
            </w:r>
            <w:r w:rsidR="003D4BC5">
              <w:rPr>
                <w:b w:val="0"/>
                <w:color w:val="auto"/>
                <w:sz w:val="20"/>
                <w:szCs w:val="20"/>
              </w:rPr>
              <w:t>must be regularly monitored</w:t>
            </w:r>
            <w:r w:rsidR="003D3FA9" w:rsidRPr="003D3FA9">
              <w:rPr>
                <w:b w:val="0"/>
                <w:color w:val="auto"/>
                <w:sz w:val="20"/>
                <w:szCs w:val="20"/>
              </w:rPr>
              <w:t xml:space="preserve"> and managed through established reports. </w:t>
            </w:r>
          </w:p>
          <w:p w14:paraId="284B9683" w14:textId="77777777" w:rsidR="003D3FA9" w:rsidRPr="003D3FA9" w:rsidRDefault="0027789D" w:rsidP="003D4BC5">
            <w:pPr>
              <w:pStyle w:val="Heading3"/>
              <w:numPr>
                <w:ilvl w:val="0"/>
                <w:numId w:val="19"/>
              </w:numPr>
              <w:spacing w:before="240" w:after="60" w:line="240" w:lineRule="auto"/>
              <w:rPr>
                <w:b w:val="0"/>
                <w:color w:val="auto"/>
                <w:sz w:val="20"/>
                <w:szCs w:val="20"/>
              </w:rPr>
            </w:pPr>
            <w:r>
              <w:rPr>
                <w:b w:val="0"/>
                <w:color w:val="auto"/>
                <w:sz w:val="20"/>
                <w:szCs w:val="20"/>
              </w:rPr>
              <w:t xml:space="preserve">Standard </w:t>
            </w:r>
            <w:r w:rsidR="00327227">
              <w:rPr>
                <w:b w:val="0"/>
                <w:color w:val="auto"/>
                <w:sz w:val="20"/>
                <w:szCs w:val="20"/>
              </w:rPr>
              <w:t>Commission p</w:t>
            </w:r>
            <w:r w:rsidR="003D3FA9" w:rsidRPr="003D3FA9">
              <w:rPr>
                <w:b w:val="0"/>
                <w:color w:val="auto"/>
                <w:sz w:val="20"/>
                <w:szCs w:val="20"/>
              </w:rPr>
              <w:t xml:space="preserve">ayment levels must detail the amount and type of commission that may be offered by underwriters. </w:t>
            </w:r>
          </w:p>
          <w:p w14:paraId="284B9684" w14:textId="77777777" w:rsidR="00327227" w:rsidRPr="00A202A2" w:rsidRDefault="003D3FA9" w:rsidP="00A202A2">
            <w:pPr>
              <w:pStyle w:val="Heading3"/>
              <w:numPr>
                <w:ilvl w:val="0"/>
                <w:numId w:val="19"/>
              </w:numPr>
              <w:spacing w:before="240" w:after="60" w:line="240" w:lineRule="auto"/>
              <w:rPr>
                <w:b w:val="0"/>
                <w:color w:val="auto"/>
                <w:sz w:val="20"/>
                <w:szCs w:val="20"/>
              </w:rPr>
            </w:pPr>
            <w:r w:rsidRPr="003D3FA9">
              <w:rPr>
                <w:b w:val="0"/>
                <w:color w:val="auto"/>
                <w:sz w:val="20"/>
                <w:szCs w:val="20"/>
              </w:rPr>
              <w:t xml:space="preserve">Local </w:t>
            </w:r>
            <w:r w:rsidR="00B57557">
              <w:rPr>
                <w:b w:val="0"/>
                <w:color w:val="auto"/>
                <w:sz w:val="20"/>
                <w:szCs w:val="20"/>
              </w:rPr>
              <w:t>and regional</w:t>
            </w:r>
            <w:r w:rsidR="00B57557" w:rsidRPr="003D3FA9">
              <w:rPr>
                <w:b w:val="0"/>
                <w:color w:val="auto"/>
                <w:sz w:val="20"/>
                <w:szCs w:val="20"/>
              </w:rPr>
              <w:t xml:space="preserve"> </w:t>
            </w:r>
            <w:r w:rsidRPr="003D3FA9">
              <w:rPr>
                <w:b w:val="0"/>
                <w:color w:val="auto"/>
                <w:sz w:val="20"/>
                <w:szCs w:val="20"/>
              </w:rPr>
              <w:t>management must establish referral and approval procedures for handling requests for commission paym</w:t>
            </w:r>
            <w:r w:rsidR="00E53A03">
              <w:rPr>
                <w:b w:val="0"/>
                <w:color w:val="auto"/>
                <w:sz w:val="20"/>
                <w:szCs w:val="20"/>
              </w:rPr>
              <w:t xml:space="preserve">ents in </w:t>
            </w:r>
            <w:r w:rsidR="00186BDF">
              <w:rPr>
                <w:b w:val="0"/>
                <w:color w:val="auto"/>
                <w:sz w:val="20"/>
                <w:szCs w:val="20"/>
              </w:rPr>
              <w:t xml:space="preserve">excess of </w:t>
            </w:r>
            <w:r w:rsidR="003D4BC5">
              <w:rPr>
                <w:b w:val="0"/>
                <w:color w:val="auto"/>
                <w:sz w:val="20"/>
                <w:szCs w:val="20"/>
              </w:rPr>
              <w:t>Standard</w:t>
            </w:r>
            <w:r w:rsidR="00186BDF">
              <w:rPr>
                <w:b w:val="0"/>
                <w:color w:val="auto"/>
                <w:sz w:val="20"/>
                <w:szCs w:val="20"/>
              </w:rPr>
              <w:t xml:space="preserve"> Commission level</w:t>
            </w:r>
            <w:r w:rsidR="003D4BC5">
              <w:rPr>
                <w:b w:val="0"/>
                <w:color w:val="auto"/>
                <w:sz w:val="20"/>
                <w:szCs w:val="20"/>
              </w:rPr>
              <w:t>s.</w:t>
            </w:r>
          </w:p>
          <w:p w14:paraId="284B9685" w14:textId="77777777" w:rsidR="003D3FA9" w:rsidRPr="003D3FA9" w:rsidRDefault="003D3FA9" w:rsidP="00622BFE">
            <w:pPr>
              <w:tabs>
                <w:tab w:val="left" w:pos="720"/>
                <w:tab w:val="left" w:pos="1260"/>
              </w:tabs>
              <w:rPr>
                <w:rFonts w:ascii="Arial" w:eastAsia="Helvetica Neue" w:hAnsi="Arial" w:cs="Arial"/>
                <w:sz w:val="20"/>
                <w:szCs w:val="20"/>
              </w:rPr>
            </w:pPr>
          </w:p>
        </w:tc>
      </w:tr>
      <w:tr w:rsidR="003D3FA9" w:rsidRPr="004A024A" w14:paraId="284B9693" w14:textId="77777777" w:rsidTr="000B6CA2">
        <w:trPr>
          <w:trHeight w:val="387"/>
        </w:trPr>
        <w:tc>
          <w:tcPr>
            <w:tcW w:w="2232" w:type="dxa"/>
          </w:tcPr>
          <w:p w14:paraId="284B9687" w14:textId="77777777" w:rsidR="003D3FA9" w:rsidRPr="00335743" w:rsidRDefault="00622BFE" w:rsidP="00B5006C">
            <w:pPr>
              <w:rPr>
                <w:rFonts w:ascii="Arial" w:hAnsi="Arial" w:cs="Arial"/>
                <w:i/>
                <w:color w:val="00B0F0"/>
                <w:sz w:val="20"/>
                <w:szCs w:val="20"/>
              </w:rPr>
            </w:pPr>
            <w:r w:rsidRPr="00335743">
              <w:rPr>
                <w:rFonts w:ascii="Arial" w:hAnsi="Arial" w:cs="Arial"/>
                <w:i/>
                <w:color w:val="00B0F0"/>
                <w:sz w:val="20"/>
                <w:szCs w:val="20"/>
              </w:rPr>
              <w:t>Approval of agreements</w:t>
            </w:r>
            <w:r w:rsidR="0027789D" w:rsidRPr="00335743">
              <w:rPr>
                <w:rFonts w:ascii="Arial" w:hAnsi="Arial" w:cs="Arial"/>
                <w:i/>
                <w:color w:val="00B0F0"/>
                <w:sz w:val="20"/>
                <w:szCs w:val="20"/>
              </w:rPr>
              <w:t xml:space="preserve"> other than Standard Commissions</w:t>
            </w:r>
          </w:p>
        </w:tc>
        <w:tc>
          <w:tcPr>
            <w:tcW w:w="8388" w:type="dxa"/>
            <w:gridSpan w:val="2"/>
          </w:tcPr>
          <w:p w14:paraId="284B9688" w14:textId="77777777" w:rsidR="00622BFE" w:rsidRDefault="00622BFE" w:rsidP="00622BFE">
            <w:pPr>
              <w:tabs>
                <w:tab w:val="left" w:pos="720"/>
                <w:tab w:val="left" w:pos="1260"/>
              </w:tabs>
              <w:rPr>
                <w:rFonts w:ascii="Arial" w:hAnsi="Arial" w:cs="Arial"/>
                <w:color w:val="000000"/>
                <w:sz w:val="20"/>
                <w:szCs w:val="20"/>
              </w:rPr>
            </w:pPr>
          </w:p>
          <w:p w14:paraId="284B9689" w14:textId="77777777" w:rsidR="0016743C" w:rsidRPr="0016743C" w:rsidRDefault="00214BB9">
            <w:pPr>
              <w:pStyle w:val="ListParagraph"/>
              <w:numPr>
                <w:ilvl w:val="0"/>
                <w:numId w:val="22"/>
              </w:numPr>
              <w:tabs>
                <w:tab w:val="left" w:pos="720"/>
                <w:tab w:val="left" w:pos="1260"/>
              </w:tabs>
              <w:rPr>
                <w:rFonts w:ascii="Arial" w:hAnsi="Arial" w:cs="Arial"/>
                <w:color w:val="000000"/>
                <w:sz w:val="20"/>
                <w:szCs w:val="20"/>
              </w:rPr>
            </w:pPr>
            <w:r w:rsidRPr="0027540E">
              <w:rPr>
                <w:rFonts w:ascii="Arial" w:hAnsi="Arial" w:cs="Arial"/>
                <w:sz w:val="20"/>
                <w:szCs w:val="20"/>
              </w:rPr>
              <w:t>Supplemental,</w:t>
            </w:r>
            <w:r w:rsidR="0048340A" w:rsidRPr="0027540E">
              <w:rPr>
                <w:rFonts w:ascii="Arial" w:hAnsi="Arial" w:cs="Arial"/>
                <w:sz w:val="20"/>
                <w:szCs w:val="20"/>
              </w:rPr>
              <w:t xml:space="preserve"> Contingent</w:t>
            </w:r>
            <w:r w:rsidR="004B38CC">
              <w:rPr>
                <w:rFonts w:ascii="Arial" w:hAnsi="Arial" w:cs="Arial"/>
                <w:sz w:val="20"/>
                <w:szCs w:val="20"/>
              </w:rPr>
              <w:t xml:space="preserve">, </w:t>
            </w:r>
            <w:r w:rsidRPr="0027540E">
              <w:rPr>
                <w:rFonts w:ascii="Arial" w:hAnsi="Arial" w:cs="Arial"/>
                <w:sz w:val="20"/>
                <w:szCs w:val="20"/>
              </w:rPr>
              <w:t xml:space="preserve">Advanced </w:t>
            </w:r>
            <w:r w:rsidR="0048340A" w:rsidRPr="0027540E">
              <w:rPr>
                <w:rFonts w:ascii="Arial" w:hAnsi="Arial" w:cs="Arial"/>
                <w:sz w:val="20"/>
                <w:szCs w:val="20"/>
              </w:rPr>
              <w:t>Commission</w:t>
            </w:r>
            <w:r w:rsidR="0027540E" w:rsidRPr="0027540E">
              <w:rPr>
                <w:rFonts w:ascii="Arial" w:hAnsi="Arial" w:cs="Arial"/>
                <w:sz w:val="20"/>
                <w:szCs w:val="20"/>
              </w:rPr>
              <w:t>, and Fee for Service</w:t>
            </w:r>
            <w:r w:rsidR="0048340A" w:rsidRPr="0027540E">
              <w:rPr>
                <w:rFonts w:ascii="Arial" w:hAnsi="Arial" w:cs="Arial"/>
                <w:sz w:val="20"/>
                <w:szCs w:val="20"/>
              </w:rPr>
              <w:t xml:space="preserve"> agreements may be proposed globally, regionally, or by country.  </w:t>
            </w:r>
            <w:r w:rsidR="00D45646">
              <w:rPr>
                <w:rFonts w:ascii="Arial" w:hAnsi="Arial" w:cs="Arial"/>
                <w:sz w:val="20"/>
                <w:szCs w:val="20"/>
              </w:rPr>
              <w:t>Prior to negotiation and execution, a</w:t>
            </w:r>
            <w:r w:rsidR="0048340A" w:rsidRPr="0027540E">
              <w:rPr>
                <w:rFonts w:ascii="Arial" w:hAnsi="Arial" w:cs="Arial"/>
                <w:sz w:val="20"/>
                <w:szCs w:val="20"/>
              </w:rPr>
              <w:t xml:space="preserve">ll such </w:t>
            </w:r>
            <w:r w:rsidR="00D45646">
              <w:rPr>
                <w:rFonts w:ascii="Arial" w:hAnsi="Arial" w:cs="Arial"/>
                <w:sz w:val="20"/>
                <w:szCs w:val="20"/>
              </w:rPr>
              <w:t>proposals</w:t>
            </w:r>
            <w:r w:rsidR="00D45646" w:rsidRPr="0027540E">
              <w:rPr>
                <w:rFonts w:ascii="Arial" w:hAnsi="Arial" w:cs="Arial"/>
                <w:sz w:val="20"/>
                <w:szCs w:val="20"/>
              </w:rPr>
              <w:t xml:space="preserve"> </w:t>
            </w:r>
            <w:r w:rsidR="00B60C68" w:rsidRPr="0027540E">
              <w:rPr>
                <w:rFonts w:ascii="Arial" w:hAnsi="Arial" w:cs="Arial"/>
                <w:sz w:val="20"/>
                <w:szCs w:val="20"/>
              </w:rPr>
              <w:t>must be reviewed and approved</w:t>
            </w:r>
            <w:r w:rsidR="0048340A" w:rsidRPr="0027540E">
              <w:rPr>
                <w:rFonts w:ascii="Arial" w:hAnsi="Arial" w:cs="Arial"/>
                <w:sz w:val="20"/>
                <w:szCs w:val="20"/>
              </w:rPr>
              <w:t xml:space="preserve"> in each </w:t>
            </w:r>
            <w:r w:rsidR="00C84B19">
              <w:rPr>
                <w:rFonts w:ascii="Arial" w:hAnsi="Arial" w:cs="Arial"/>
                <w:sz w:val="20"/>
                <w:szCs w:val="20"/>
              </w:rPr>
              <w:t>country</w:t>
            </w:r>
            <w:r w:rsidR="00C84B19" w:rsidRPr="0027540E">
              <w:rPr>
                <w:rFonts w:ascii="Arial" w:hAnsi="Arial" w:cs="Arial"/>
                <w:sz w:val="20"/>
                <w:szCs w:val="20"/>
              </w:rPr>
              <w:t xml:space="preserve"> </w:t>
            </w:r>
            <w:r w:rsidR="0048340A" w:rsidRPr="0027540E">
              <w:rPr>
                <w:rFonts w:ascii="Arial" w:hAnsi="Arial" w:cs="Arial"/>
                <w:sz w:val="20"/>
                <w:szCs w:val="20"/>
              </w:rPr>
              <w:t>where business is affected</w:t>
            </w:r>
            <w:r w:rsidR="0016743C">
              <w:rPr>
                <w:rFonts w:ascii="Arial" w:hAnsi="Arial" w:cs="Arial"/>
                <w:sz w:val="20"/>
                <w:szCs w:val="20"/>
              </w:rPr>
              <w:t xml:space="preserve">, by the </w:t>
            </w:r>
            <w:r w:rsidR="002A19AB">
              <w:rPr>
                <w:rFonts w:ascii="Arial" w:hAnsi="Arial" w:cs="Arial"/>
                <w:sz w:val="20"/>
                <w:szCs w:val="20"/>
              </w:rPr>
              <w:t xml:space="preserve">respective </w:t>
            </w:r>
            <w:r w:rsidR="0016743C">
              <w:rPr>
                <w:rFonts w:ascii="Arial" w:hAnsi="Arial" w:cs="Arial"/>
                <w:sz w:val="20"/>
                <w:szCs w:val="20"/>
              </w:rPr>
              <w:t xml:space="preserve">Country Manager or </w:t>
            </w:r>
            <w:r w:rsidR="003E39E1">
              <w:rPr>
                <w:rFonts w:ascii="Arial" w:hAnsi="Arial" w:cs="Arial"/>
                <w:sz w:val="20"/>
                <w:szCs w:val="20"/>
              </w:rPr>
              <w:t xml:space="preserve">US </w:t>
            </w:r>
            <w:r w:rsidR="0016743C">
              <w:rPr>
                <w:rFonts w:ascii="Arial" w:hAnsi="Arial" w:cs="Arial"/>
                <w:sz w:val="20"/>
                <w:szCs w:val="20"/>
              </w:rPr>
              <w:t>Regional Pr</w:t>
            </w:r>
            <w:r w:rsidR="002A19AB">
              <w:rPr>
                <w:rFonts w:ascii="Arial" w:hAnsi="Arial" w:cs="Arial"/>
                <w:sz w:val="20"/>
                <w:szCs w:val="20"/>
              </w:rPr>
              <w:t>e</w:t>
            </w:r>
            <w:r w:rsidR="0016743C">
              <w:rPr>
                <w:rFonts w:ascii="Arial" w:hAnsi="Arial" w:cs="Arial"/>
                <w:sz w:val="20"/>
                <w:szCs w:val="20"/>
              </w:rPr>
              <w:t xml:space="preserve">sident, </w:t>
            </w:r>
            <w:r w:rsidR="002A19AB">
              <w:rPr>
                <w:rFonts w:ascii="Arial" w:hAnsi="Arial" w:cs="Arial"/>
                <w:sz w:val="20"/>
                <w:szCs w:val="20"/>
              </w:rPr>
              <w:t>the Country Distribution Officer,</w:t>
            </w:r>
            <w:r w:rsidR="00011075">
              <w:rPr>
                <w:rFonts w:ascii="Arial" w:hAnsi="Arial" w:cs="Arial"/>
                <w:sz w:val="20"/>
                <w:szCs w:val="20"/>
              </w:rPr>
              <w:t xml:space="preserve"> and the </w:t>
            </w:r>
            <w:r w:rsidR="003E6653">
              <w:rPr>
                <w:rFonts w:ascii="Arial" w:hAnsi="Arial" w:cs="Arial"/>
                <w:sz w:val="20"/>
                <w:szCs w:val="20"/>
              </w:rPr>
              <w:t xml:space="preserve">relevant </w:t>
            </w:r>
            <w:r w:rsidR="00011075">
              <w:rPr>
                <w:rFonts w:ascii="Arial" w:hAnsi="Arial" w:cs="Arial"/>
                <w:sz w:val="20"/>
                <w:szCs w:val="20"/>
              </w:rPr>
              <w:t xml:space="preserve">Product Line </w:t>
            </w:r>
            <w:r w:rsidR="003E39E1">
              <w:rPr>
                <w:rFonts w:ascii="Arial" w:hAnsi="Arial" w:cs="Arial"/>
                <w:sz w:val="20"/>
                <w:szCs w:val="20"/>
              </w:rPr>
              <w:t>M</w:t>
            </w:r>
            <w:r w:rsidR="00011075">
              <w:rPr>
                <w:rFonts w:ascii="Arial" w:hAnsi="Arial" w:cs="Arial"/>
                <w:sz w:val="20"/>
                <w:szCs w:val="20"/>
              </w:rPr>
              <w:t>anage</w:t>
            </w:r>
            <w:r w:rsidR="003E6653">
              <w:rPr>
                <w:rFonts w:ascii="Arial" w:hAnsi="Arial" w:cs="Arial"/>
                <w:sz w:val="20"/>
                <w:szCs w:val="20"/>
              </w:rPr>
              <w:t>rs.</w:t>
            </w:r>
            <w:r w:rsidR="00CB12D1">
              <w:rPr>
                <w:rFonts w:ascii="Arial" w:hAnsi="Arial" w:cs="Arial"/>
                <w:sz w:val="20"/>
                <w:szCs w:val="20"/>
              </w:rPr>
              <w:t xml:space="preserve"> Agreements must also be reviewed and approved by Legal, Finance and Accounting, and Compliance before execution.</w:t>
            </w:r>
          </w:p>
          <w:p w14:paraId="284B968A" w14:textId="77777777" w:rsidR="0016743C" w:rsidRPr="0016743C" w:rsidRDefault="0016743C" w:rsidP="0016743C">
            <w:pPr>
              <w:pStyle w:val="ListParagraph"/>
              <w:tabs>
                <w:tab w:val="left" w:pos="720"/>
                <w:tab w:val="left" w:pos="1260"/>
              </w:tabs>
              <w:rPr>
                <w:rFonts w:ascii="Arial" w:hAnsi="Arial" w:cs="Arial"/>
                <w:color w:val="000000"/>
                <w:sz w:val="20"/>
                <w:szCs w:val="20"/>
              </w:rPr>
            </w:pPr>
          </w:p>
          <w:p w14:paraId="284B968B" w14:textId="77777777" w:rsidR="008C4243" w:rsidRDefault="00B26461">
            <w:pPr>
              <w:pStyle w:val="ListParagraph"/>
              <w:numPr>
                <w:ilvl w:val="0"/>
                <w:numId w:val="22"/>
              </w:numPr>
              <w:tabs>
                <w:tab w:val="left" w:pos="720"/>
                <w:tab w:val="left" w:pos="1260"/>
              </w:tabs>
              <w:rPr>
                <w:rFonts w:ascii="Arial" w:hAnsi="Arial" w:cs="Arial"/>
                <w:color w:val="000000"/>
                <w:sz w:val="20"/>
                <w:szCs w:val="20"/>
              </w:rPr>
            </w:pPr>
            <w:r>
              <w:rPr>
                <w:rFonts w:ascii="Arial" w:hAnsi="Arial" w:cs="Arial"/>
                <w:sz w:val="20"/>
                <w:szCs w:val="20"/>
              </w:rPr>
              <w:t>If multiple countries are involved, the respective region(s) must be engaged for approval.</w:t>
            </w:r>
            <w:r w:rsidR="00C84B19">
              <w:rPr>
                <w:rFonts w:ascii="Arial" w:hAnsi="Arial" w:cs="Arial"/>
                <w:sz w:val="20"/>
                <w:szCs w:val="20"/>
              </w:rPr>
              <w:t xml:space="preserve"> If multiple regions are involved, Global Distribution must be engaged for approval.</w:t>
            </w:r>
          </w:p>
          <w:p w14:paraId="284B968C" w14:textId="77777777" w:rsidR="008C4243" w:rsidRDefault="008C4243">
            <w:pPr>
              <w:pStyle w:val="ListParagraph"/>
              <w:tabs>
                <w:tab w:val="left" w:pos="720"/>
                <w:tab w:val="left" w:pos="1260"/>
              </w:tabs>
              <w:rPr>
                <w:rFonts w:ascii="Arial" w:hAnsi="Arial" w:cs="Arial"/>
                <w:color w:val="000000"/>
                <w:sz w:val="20"/>
                <w:szCs w:val="20"/>
              </w:rPr>
            </w:pPr>
          </w:p>
          <w:p w14:paraId="284B968D" w14:textId="77777777" w:rsidR="003E6653" w:rsidRDefault="00B60C68" w:rsidP="00B60C68">
            <w:pPr>
              <w:pStyle w:val="ListParagraph"/>
              <w:numPr>
                <w:ilvl w:val="0"/>
                <w:numId w:val="20"/>
              </w:numPr>
              <w:tabs>
                <w:tab w:val="left" w:pos="720"/>
                <w:tab w:val="left" w:pos="1260"/>
              </w:tabs>
              <w:rPr>
                <w:rFonts w:ascii="Arial" w:hAnsi="Arial" w:cs="Arial"/>
                <w:color w:val="000000"/>
                <w:sz w:val="20"/>
                <w:szCs w:val="20"/>
              </w:rPr>
            </w:pPr>
            <w:r>
              <w:rPr>
                <w:rFonts w:ascii="Arial" w:hAnsi="Arial" w:cs="Arial"/>
                <w:color w:val="000000"/>
                <w:sz w:val="20"/>
                <w:szCs w:val="20"/>
              </w:rPr>
              <w:t xml:space="preserve">All </w:t>
            </w:r>
            <w:r w:rsidR="00011075">
              <w:rPr>
                <w:rFonts w:ascii="Arial" w:hAnsi="Arial" w:cs="Arial"/>
                <w:color w:val="000000"/>
                <w:sz w:val="20"/>
                <w:szCs w:val="20"/>
              </w:rPr>
              <w:t>agreements</w:t>
            </w:r>
            <w:r w:rsidR="00011075" w:rsidRPr="00B60C68">
              <w:rPr>
                <w:rFonts w:ascii="Arial" w:hAnsi="Arial" w:cs="Arial"/>
                <w:color w:val="000000"/>
                <w:sz w:val="20"/>
                <w:szCs w:val="20"/>
              </w:rPr>
              <w:t xml:space="preserve"> </w:t>
            </w:r>
            <w:r w:rsidR="00622BFE" w:rsidRPr="00B60C68">
              <w:rPr>
                <w:rFonts w:ascii="Arial" w:hAnsi="Arial" w:cs="Arial"/>
                <w:color w:val="000000"/>
                <w:sz w:val="20"/>
                <w:szCs w:val="20"/>
              </w:rPr>
              <w:t>f</w:t>
            </w:r>
            <w:r>
              <w:rPr>
                <w:rFonts w:ascii="Arial" w:hAnsi="Arial" w:cs="Arial"/>
                <w:color w:val="000000"/>
                <w:sz w:val="20"/>
                <w:szCs w:val="20"/>
              </w:rPr>
              <w:t>or</w:t>
            </w:r>
            <w:r w:rsidR="00622BFE" w:rsidRPr="00B60C68">
              <w:rPr>
                <w:rFonts w:ascii="Arial" w:hAnsi="Arial" w:cs="Arial"/>
                <w:color w:val="000000"/>
                <w:sz w:val="20"/>
                <w:szCs w:val="20"/>
              </w:rPr>
              <w:t xml:space="preserve"> Supp</w:t>
            </w:r>
            <w:r w:rsidR="00214BB9" w:rsidRPr="00B60C68">
              <w:rPr>
                <w:rFonts w:ascii="Arial" w:hAnsi="Arial" w:cs="Arial"/>
                <w:color w:val="000000"/>
                <w:sz w:val="20"/>
                <w:szCs w:val="20"/>
              </w:rPr>
              <w:t>lemental, Contingent,</w:t>
            </w:r>
            <w:r>
              <w:rPr>
                <w:rFonts w:ascii="Arial" w:hAnsi="Arial" w:cs="Arial"/>
                <w:color w:val="000000"/>
                <w:sz w:val="20"/>
                <w:szCs w:val="20"/>
              </w:rPr>
              <w:t xml:space="preserve"> Advanced</w:t>
            </w:r>
            <w:r w:rsidR="00622BFE" w:rsidRPr="00B60C68">
              <w:rPr>
                <w:rFonts w:ascii="Arial" w:hAnsi="Arial" w:cs="Arial"/>
                <w:color w:val="000000"/>
                <w:sz w:val="20"/>
                <w:szCs w:val="20"/>
              </w:rPr>
              <w:t xml:space="preserve"> Commission</w:t>
            </w:r>
            <w:r w:rsidR="0027540E">
              <w:rPr>
                <w:rFonts w:ascii="Arial" w:hAnsi="Arial" w:cs="Arial"/>
                <w:color w:val="000000"/>
                <w:sz w:val="20"/>
                <w:szCs w:val="20"/>
              </w:rPr>
              <w:t>,</w:t>
            </w:r>
            <w:r w:rsidR="00622BFE" w:rsidRPr="00B60C68">
              <w:rPr>
                <w:rFonts w:ascii="Arial" w:hAnsi="Arial" w:cs="Arial"/>
                <w:color w:val="000000"/>
                <w:sz w:val="20"/>
                <w:szCs w:val="20"/>
              </w:rPr>
              <w:t xml:space="preserve"> </w:t>
            </w:r>
            <w:r w:rsidR="0027540E" w:rsidRPr="0027540E">
              <w:rPr>
                <w:rFonts w:ascii="Arial" w:hAnsi="Arial" w:cs="Arial"/>
                <w:sz w:val="20"/>
                <w:szCs w:val="20"/>
              </w:rPr>
              <w:t xml:space="preserve">and Fee for Service </w:t>
            </w:r>
            <w:r w:rsidR="0027540E">
              <w:rPr>
                <w:rFonts w:ascii="Arial" w:hAnsi="Arial" w:cs="Arial"/>
                <w:color w:val="000000"/>
                <w:sz w:val="20"/>
                <w:szCs w:val="20"/>
              </w:rPr>
              <w:t>a</w:t>
            </w:r>
            <w:r w:rsidR="00622BFE" w:rsidRPr="00B60C68">
              <w:rPr>
                <w:rFonts w:ascii="Arial" w:hAnsi="Arial" w:cs="Arial"/>
                <w:color w:val="000000"/>
                <w:sz w:val="20"/>
                <w:szCs w:val="20"/>
              </w:rPr>
              <w:t xml:space="preserve">greements must be reported to </w:t>
            </w:r>
            <w:r>
              <w:rPr>
                <w:rFonts w:ascii="Arial" w:hAnsi="Arial" w:cs="Arial"/>
                <w:color w:val="000000"/>
                <w:sz w:val="20"/>
                <w:szCs w:val="20"/>
              </w:rPr>
              <w:t xml:space="preserve">the </w:t>
            </w:r>
            <w:r w:rsidR="00CE01D0">
              <w:rPr>
                <w:rFonts w:ascii="Arial" w:hAnsi="Arial" w:cs="Arial"/>
                <w:color w:val="000000"/>
                <w:sz w:val="20"/>
                <w:szCs w:val="20"/>
              </w:rPr>
              <w:t xml:space="preserve">applicable </w:t>
            </w:r>
            <w:r>
              <w:rPr>
                <w:rFonts w:ascii="Arial" w:hAnsi="Arial" w:cs="Arial"/>
                <w:color w:val="000000"/>
                <w:sz w:val="20"/>
                <w:szCs w:val="20"/>
              </w:rPr>
              <w:t xml:space="preserve">regional </w:t>
            </w:r>
            <w:r w:rsidR="00186BDF">
              <w:rPr>
                <w:rFonts w:ascii="Arial" w:hAnsi="Arial" w:cs="Arial"/>
                <w:color w:val="000000"/>
                <w:sz w:val="20"/>
                <w:szCs w:val="20"/>
              </w:rPr>
              <w:t>Executive</w:t>
            </w:r>
            <w:r w:rsidR="00CE01D0">
              <w:rPr>
                <w:rFonts w:ascii="Arial" w:hAnsi="Arial" w:cs="Arial"/>
                <w:color w:val="000000"/>
                <w:sz w:val="20"/>
                <w:szCs w:val="20"/>
              </w:rPr>
              <w:t>(s)</w:t>
            </w:r>
            <w:r w:rsidR="00186BDF">
              <w:rPr>
                <w:rFonts w:ascii="Arial" w:hAnsi="Arial" w:cs="Arial"/>
                <w:color w:val="000000"/>
                <w:sz w:val="20"/>
                <w:szCs w:val="20"/>
              </w:rPr>
              <w:t xml:space="preserve"> </w:t>
            </w:r>
            <w:r>
              <w:rPr>
                <w:rFonts w:ascii="Arial" w:hAnsi="Arial" w:cs="Arial"/>
                <w:color w:val="000000"/>
                <w:sz w:val="20"/>
                <w:szCs w:val="20"/>
              </w:rPr>
              <w:t>Distribution Office</w:t>
            </w:r>
            <w:r w:rsidR="00CE01D0">
              <w:rPr>
                <w:rFonts w:ascii="Arial" w:hAnsi="Arial" w:cs="Arial"/>
                <w:color w:val="000000"/>
                <w:sz w:val="20"/>
                <w:szCs w:val="20"/>
              </w:rPr>
              <w:t>r(s)</w:t>
            </w:r>
            <w:r w:rsidR="00011075">
              <w:rPr>
                <w:rFonts w:ascii="Arial" w:hAnsi="Arial" w:cs="Arial"/>
                <w:color w:val="000000"/>
                <w:sz w:val="20"/>
                <w:szCs w:val="20"/>
              </w:rPr>
              <w:t>, and Product Tower manager</w:t>
            </w:r>
            <w:r w:rsidR="003E6653">
              <w:rPr>
                <w:rFonts w:ascii="Arial" w:hAnsi="Arial" w:cs="Arial"/>
                <w:color w:val="000000"/>
                <w:sz w:val="20"/>
                <w:szCs w:val="20"/>
              </w:rPr>
              <w:t>(s)</w:t>
            </w:r>
            <w:r w:rsidR="00011075">
              <w:rPr>
                <w:rFonts w:ascii="Arial" w:hAnsi="Arial" w:cs="Arial"/>
                <w:color w:val="000000"/>
                <w:sz w:val="20"/>
                <w:szCs w:val="20"/>
              </w:rPr>
              <w:t>, the Chief Distribution Officer, and the Product Tower Chief Underwriting Officer.</w:t>
            </w:r>
          </w:p>
          <w:p w14:paraId="284B968E" w14:textId="77777777" w:rsidR="003E6653" w:rsidRDefault="003E6653" w:rsidP="003E6653">
            <w:pPr>
              <w:pStyle w:val="ListParagraph"/>
              <w:tabs>
                <w:tab w:val="left" w:pos="720"/>
                <w:tab w:val="left" w:pos="1260"/>
              </w:tabs>
              <w:rPr>
                <w:rFonts w:ascii="Arial" w:hAnsi="Arial" w:cs="Arial"/>
                <w:color w:val="000000"/>
                <w:sz w:val="20"/>
                <w:szCs w:val="20"/>
              </w:rPr>
            </w:pPr>
          </w:p>
          <w:p w14:paraId="284B968F" w14:textId="77777777" w:rsidR="003E39E1" w:rsidRPr="003E39E1" w:rsidRDefault="003E39E1" w:rsidP="003E39E1">
            <w:pPr>
              <w:pStyle w:val="ListParagraph"/>
              <w:tabs>
                <w:tab w:val="left" w:pos="720"/>
                <w:tab w:val="left" w:pos="1260"/>
              </w:tabs>
            </w:pPr>
            <w:r>
              <w:rPr>
                <w:rFonts w:ascii="Arial" w:hAnsi="Arial" w:cs="Arial"/>
                <w:color w:val="000000"/>
                <w:sz w:val="20"/>
                <w:szCs w:val="20"/>
              </w:rPr>
              <w:t xml:space="preserve">Any </w:t>
            </w:r>
            <w:r w:rsidR="00B60C68">
              <w:rPr>
                <w:rFonts w:ascii="Arial" w:hAnsi="Arial" w:cs="Arial"/>
                <w:color w:val="000000"/>
                <w:sz w:val="20"/>
                <w:szCs w:val="20"/>
              </w:rPr>
              <w:t xml:space="preserve"> </w:t>
            </w:r>
            <w:r w:rsidRPr="0027540E">
              <w:rPr>
                <w:rFonts w:ascii="Arial" w:hAnsi="Arial" w:cs="Arial"/>
                <w:sz w:val="20"/>
                <w:szCs w:val="20"/>
              </w:rPr>
              <w:t>Supplemental, Contingent</w:t>
            </w:r>
            <w:r>
              <w:rPr>
                <w:rFonts w:ascii="Arial" w:hAnsi="Arial" w:cs="Arial"/>
                <w:sz w:val="20"/>
                <w:szCs w:val="20"/>
              </w:rPr>
              <w:t xml:space="preserve">, </w:t>
            </w:r>
            <w:r w:rsidRPr="0027540E">
              <w:rPr>
                <w:rFonts w:ascii="Arial" w:hAnsi="Arial" w:cs="Arial"/>
                <w:sz w:val="20"/>
                <w:szCs w:val="20"/>
              </w:rPr>
              <w:t>Advanced Commission, and Fee for Service agreement</w:t>
            </w:r>
            <w:r>
              <w:rPr>
                <w:rFonts w:ascii="Arial" w:hAnsi="Arial" w:cs="Arial"/>
                <w:sz w:val="20"/>
                <w:szCs w:val="20"/>
              </w:rPr>
              <w:t xml:space="preserve"> with a Producer with which there is a global agreement in effect requires the prior approval of the Chief Distribution Officer.</w:t>
            </w:r>
          </w:p>
          <w:p w14:paraId="284B9690" w14:textId="77777777" w:rsidR="008C4243" w:rsidRDefault="008C4243">
            <w:pPr>
              <w:pStyle w:val="ListParagraph"/>
              <w:rPr>
                <w:rFonts w:ascii="Arial" w:hAnsi="Arial" w:cs="Arial"/>
                <w:color w:val="000000"/>
                <w:sz w:val="20"/>
                <w:szCs w:val="20"/>
              </w:rPr>
            </w:pPr>
          </w:p>
          <w:p w14:paraId="284B9691" w14:textId="77777777" w:rsidR="003D3FA9" w:rsidRPr="001119B4" w:rsidRDefault="001119B4" w:rsidP="001119B4">
            <w:pPr>
              <w:pStyle w:val="ListParagraph"/>
              <w:numPr>
                <w:ilvl w:val="0"/>
                <w:numId w:val="20"/>
              </w:numPr>
            </w:pPr>
            <w:r w:rsidRPr="001119B4">
              <w:rPr>
                <w:rFonts w:ascii="Arial" w:hAnsi="Arial" w:cs="Arial"/>
                <w:sz w:val="20"/>
                <w:szCs w:val="20"/>
              </w:rPr>
              <w:t>All Producer compensation arrangements other than Standard Commissions are required to be written contracts signed by an officer of the applicable legal entity of the company, or their designee.</w:t>
            </w:r>
          </w:p>
          <w:p w14:paraId="284B9692" w14:textId="77777777" w:rsidR="001119B4" w:rsidRPr="001119B4" w:rsidRDefault="001119B4" w:rsidP="001119B4">
            <w:pPr>
              <w:pStyle w:val="ListParagraph"/>
            </w:pPr>
          </w:p>
        </w:tc>
      </w:tr>
      <w:tr w:rsidR="003D3FA9" w:rsidRPr="004A024A" w14:paraId="284B9698" w14:textId="77777777" w:rsidTr="000B6CA2">
        <w:trPr>
          <w:trHeight w:val="387"/>
        </w:trPr>
        <w:tc>
          <w:tcPr>
            <w:tcW w:w="2232" w:type="dxa"/>
          </w:tcPr>
          <w:p w14:paraId="284B9694" w14:textId="77777777" w:rsidR="00327227" w:rsidRPr="00335743" w:rsidRDefault="00327227" w:rsidP="00327227">
            <w:pPr>
              <w:pStyle w:val="Heading2"/>
              <w:rPr>
                <w:b w:val="0"/>
                <w:i w:val="0"/>
                <w:color w:val="00B0F0"/>
                <w:sz w:val="18"/>
                <w:szCs w:val="18"/>
              </w:rPr>
            </w:pPr>
            <w:r w:rsidRPr="00335743">
              <w:rPr>
                <w:b w:val="0"/>
                <w:i w:val="0"/>
                <w:color w:val="00B0F0"/>
                <w:sz w:val="18"/>
                <w:szCs w:val="18"/>
              </w:rPr>
              <w:t>Disclosure of Commission</w:t>
            </w:r>
          </w:p>
          <w:p w14:paraId="284B9695" w14:textId="77777777" w:rsidR="003D3FA9" w:rsidRPr="00335743" w:rsidRDefault="003D3FA9" w:rsidP="00B5006C">
            <w:pPr>
              <w:rPr>
                <w:rFonts w:ascii="Arial" w:hAnsi="Arial" w:cs="Arial"/>
                <w:i/>
                <w:color w:val="00B0F0"/>
                <w:sz w:val="20"/>
                <w:szCs w:val="20"/>
              </w:rPr>
            </w:pPr>
          </w:p>
        </w:tc>
        <w:tc>
          <w:tcPr>
            <w:tcW w:w="8388" w:type="dxa"/>
            <w:gridSpan w:val="2"/>
          </w:tcPr>
          <w:p w14:paraId="284B9696" w14:textId="77777777" w:rsidR="00327227" w:rsidRPr="00327227" w:rsidRDefault="00327227" w:rsidP="004E1EE4">
            <w:pPr>
              <w:rPr>
                <w:rFonts w:ascii="Arial" w:hAnsi="Arial" w:cs="Arial"/>
                <w:sz w:val="20"/>
                <w:szCs w:val="20"/>
              </w:rPr>
            </w:pPr>
          </w:p>
          <w:p w14:paraId="284B9697" w14:textId="77777777" w:rsidR="003D3FA9" w:rsidRPr="00327227" w:rsidRDefault="00327227" w:rsidP="004E1EE4">
            <w:pPr>
              <w:rPr>
                <w:rFonts w:ascii="Arial" w:hAnsi="Arial" w:cs="Arial"/>
                <w:sz w:val="20"/>
                <w:szCs w:val="20"/>
              </w:rPr>
            </w:pPr>
            <w:r w:rsidRPr="00327227">
              <w:rPr>
                <w:rFonts w:ascii="Arial" w:hAnsi="Arial" w:cs="Arial"/>
                <w:sz w:val="20"/>
                <w:szCs w:val="20"/>
              </w:rPr>
              <w:t>Payments of commission must</w:t>
            </w:r>
            <w:r w:rsidRPr="00327227">
              <w:rPr>
                <w:rFonts w:ascii="Arial" w:hAnsi="Arial" w:cs="Arial"/>
                <w:color w:val="FF0000"/>
                <w:sz w:val="20"/>
                <w:szCs w:val="20"/>
              </w:rPr>
              <w:t xml:space="preserve"> </w:t>
            </w:r>
            <w:r w:rsidRPr="00327227">
              <w:rPr>
                <w:rFonts w:ascii="Arial" w:hAnsi="Arial" w:cs="Arial"/>
                <w:sz w:val="20"/>
                <w:szCs w:val="20"/>
              </w:rPr>
              <w:t>be disclosed wherever required by local law or regulation.</w:t>
            </w:r>
          </w:p>
        </w:tc>
      </w:tr>
      <w:tr w:rsidR="003D3FA9" w:rsidRPr="004A024A" w14:paraId="284B96A1" w14:textId="77777777" w:rsidTr="000B6CA2">
        <w:trPr>
          <w:trHeight w:val="387"/>
        </w:trPr>
        <w:tc>
          <w:tcPr>
            <w:tcW w:w="2232" w:type="dxa"/>
          </w:tcPr>
          <w:p w14:paraId="284B9699" w14:textId="77777777" w:rsidR="003D3FA9" w:rsidRDefault="003D3FA9" w:rsidP="00BD60EB">
            <w:pPr>
              <w:spacing w:before="60" w:after="60"/>
              <w:rPr>
                <w:rFonts w:ascii="Arial" w:eastAsia="Helvetica Neue" w:hAnsi="Arial" w:cs="Arial"/>
                <w:b/>
                <w:bCs/>
                <w:iCs/>
                <w:sz w:val="20"/>
                <w:szCs w:val="20"/>
              </w:rPr>
            </w:pPr>
            <w:r>
              <w:rPr>
                <w:rFonts w:ascii="Arial" w:eastAsia="Helvetica Neue" w:hAnsi="Arial" w:cs="Arial"/>
                <w:b/>
                <w:bCs/>
                <w:iCs/>
                <w:sz w:val="20"/>
                <w:szCs w:val="20"/>
              </w:rPr>
              <w:t xml:space="preserve">Related AIG PC Global Commercial </w:t>
            </w:r>
          </w:p>
          <w:p w14:paraId="284B969A" w14:textId="77777777" w:rsidR="003D3FA9" w:rsidRPr="00B124A2" w:rsidRDefault="003D3FA9" w:rsidP="00BD60EB">
            <w:pPr>
              <w:spacing w:before="60" w:after="60"/>
              <w:rPr>
                <w:rFonts w:ascii="Arial" w:eastAsia="Helvetica Neue" w:hAnsi="Arial" w:cs="Arial"/>
                <w:b/>
                <w:bCs/>
                <w:iCs/>
                <w:sz w:val="20"/>
                <w:szCs w:val="20"/>
              </w:rPr>
            </w:pPr>
            <w:r>
              <w:rPr>
                <w:rFonts w:ascii="Arial" w:eastAsia="Helvetica Neue" w:hAnsi="Arial" w:cs="Arial"/>
                <w:b/>
                <w:bCs/>
                <w:iCs/>
                <w:sz w:val="20"/>
                <w:szCs w:val="20"/>
              </w:rPr>
              <w:t>Documents</w:t>
            </w:r>
          </w:p>
        </w:tc>
        <w:tc>
          <w:tcPr>
            <w:tcW w:w="8388" w:type="dxa"/>
            <w:gridSpan w:val="2"/>
          </w:tcPr>
          <w:p w14:paraId="284B969B" w14:textId="77777777" w:rsidR="003D3FA9" w:rsidRDefault="003D3FA9" w:rsidP="00EA0A49">
            <w:pPr>
              <w:ind w:left="360"/>
              <w:jc w:val="both"/>
              <w:rPr>
                <w:rFonts w:ascii="Arial" w:hAnsi="Arial" w:cs="Arial"/>
                <w:sz w:val="20"/>
                <w:szCs w:val="20"/>
              </w:rPr>
            </w:pPr>
          </w:p>
          <w:p w14:paraId="284B969C" w14:textId="77777777" w:rsidR="003D3FA9" w:rsidRDefault="003D3FA9" w:rsidP="00EA0A49">
            <w:pPr>
              <w:numPr>
                <w:ilvl w:val="0"/>
                <w:numId w:val="16"/>
              </w:numPr>
              <w:jc w:val="both"/>
              <w:rPr>
                <w:rFonts w:ascii="Arial" w:hAnsi="Arial" w:cs="Arial"/>
                <w:sz w:val="20"/>
                <w:szCs w:val="20"/>
              </w:rPr>
            </w:pPr>
            <w:r>
              <w:rPr>
                <w:rFonts w:ascii="Arial" w:hAnsi="Arial" w:cs="Arial"/>
                <w:sz w:val="20"/>
                <w:szCs w:val="20"/>
              </w:rPr>
              <w:t xml:space="preserve">Underwriting </w:t>
            </w:r>
            <w:r w:rsidR="00186BDF">
              <w:rPr>
                <w:rFonts w:ascii="Arial" w:hAnsi="Arial" w:cs="Arial"/>
                <w:sz w:val="20"/>
                <w:szCs w:val="20"/>
              </w:rPr>
              <w:t>Policy</w:t>
            </w:r>
          </w:p>
          <w:p w14:paraId="284B969D" w14:textId="77777777" w:rsidR="00186BDF" w:rsidRDefault="00186BDF" w:rsidP="00EA0A49">
            <w:pPr>
              <w:numPr>
                <w:ilvl w:val="0"/>
                <w:numId w:val="16"/>
              </w:numPr>
              <w:jc w:val="both"/>
              <w:rPr>
                <w:rFonts w:ascii="Arial" w:hAnsi="Arial" w:cs="Arial"/>
                <w:sz w:val="20"/>
                <w:szCs w:val="20"/>
              </w:rPr>
            </w:pPr>
            <w:r>
              <w:rPr>
                <w:rFonts w:ascii="Arial" w:hAnsi="Arial" w:cs="Arial"/>
                <w:sz w:val="20"/>
                <w:szCs w:val="20"/>
              </w:rPr>
              <w:t>Product Development Policy</w:t>
            </w:r>
          </w:p>
          <w:p w14:paraId="284B969E" w14:textId="77777777" w:rsidR="00186BDF" w:rsidRDefault="00186BDF" w:rsidP="00EA0A49">
            <w:pPr>
              <w:numPr>
                <w:ilvl w:val="0"/>
                <w:numId w:val="16"/>
              </w:numPr>
              <w:jc w:val="both"/>
              <w:rPr>
                <w:rFonts w:ascii="Arial" w:hAnsi="Arial" w:cs="Arial"/>
                <w:sz w:val="20"/>
                <w:szCs w:val="20"/>
              </w:rPr>
            </w:pPr>
            <w:r>
              <w:rPr>
                <w:rFonts w:ascii="Arial" w:hAnsi="Arial" w:cs="Arial"/>
                <w:sz w:val="20"/>
                <w:szCs w:val="20"/>
              </w:rPr>
              <w:t>Authority Management Standard</w:t>
            </w:r>
          </w:p>
          <w:p w14:paraId="284B969F" w14:textId="77777777" w:rsidR="008E7FD9" w:rsidRDefault="008E7FD9" w:rsidP="007E02EB">
            <w:pPr>
              <w:numPr>
                <w:ilvl w:val="0"/>
                <w:numId w:val="16"/>
              </w:numPr>
              <w:jc w:val="both"/>
              <w:rPr>
                <w:rFonts w:ascii="Arial" w:hAnsi="Arial" w:cs="Arial"/>
                <w:sz w:val="20"/>
                <w:szCs w:val="20"/>
              </w:rPr>
            </w:pPr>
            <w:r w:rsidRPr="008E7FD9">
              <w:rPr>
                <w:rFonts w:ascii="Arial" w:hAnsi="Arial" w:cs="Arial"/>
                <w:color w:val="0070C0"/>
                <w:sz w:val="20"/>
                <w:szCs w:val="20"/>
              </w:rPr>
              <w:t>AIG Business Partner Risk Management and Governance Program Policy</w:t>
            </w:r>
          </w:p>
          <w:p w14:paraId="284B96A0" w14:textId="77777777" w:rsidR="003D3FA9" w:rsidRPr="00EA0A49" w:rsidRDefault="003D3FA9" w:rsidP="00186BDF">
            <w:pPr>
              <w:ind w:left="720"/>
              <w:jc w:val="both"/>
              <w:rPr>
                <w:rFonts w:ascii="Arial" w:hAnsi="Arial" w:cs="Arial"/>
                <w:sz w:val="20"/>
                <w:szCs w:val="20"/>
              </w:rPr>
            </w:pPr>
          </w:p>
        </w:tc>
      </w:tr>
      <w:tr w:rsidR="001119B4" w:rsidRPr="004A024A" w14:paraId="284B96A5" w14:textId="77777777" w:rsidTr="000B6CA2">
        <w:trPr>
          <w:trHeight w:val="387"/>
        </w:trPr>
        <w:tc>
          <w:tcPr>
            <w:tcW w:w="2232" w:type="dxa"/>
          </w:tcPr>
          <w:p w14:paraId="284B96A2" w14:textId="77777777" w:rsidR="001119B4" w:rsidRDefault="001119B4" w:rsidP="00BD60EB">
            <w:pPr>
              <w:spacing w:before="60" w:after="60"/>
              <w:rPr>
                <w:rFonts w:ascii="Arial" w:eastAsia="Helvetica Neue" w:hAnsi="Arial" w:cs="Arial"/>
                <w:b/>
                <w:bCs/>
                <w:iCs/>
                <w:sz w:val="20"/>
                <w:szCs w:val="20"/>
              </w:rPr>
            </w:pPr>
            <w:r>
              <w:rPr>
                <w:rFonts w:ascii="Arial" w:eastAsia="Helvetica Neue" w:hAnsi="Arial" w:cs="Arial"/>
                <w:b/>
                <w:bCs/>
                <w:iCs/>
                <w:sz w:val="20"/>
                <w:szCs w:val="20"/>
              </w:rPr>
              <w:t>Implementation</w:t>
            </w:r>
          </w:p>
        </w:tc>
        <w:tc>
          <w:tcPr>
            <w:tcW w:w="8388" w:type="dxa"/>
            <w:gridSpan w:val="2"/>
          </w:tcPr>
          <w:p w14:paraId="284B96A3" w14:textId="77777777" w:rsidR="001119B4" w:rsidRDefault="001119B4" w:rsidP="00EA0A49">
            <w:pPr>
              <w:ind w:left="360"/>
              <w:jc w:val="both"/>
              <w:rPr>
                <w:rFonts w:ascii="Arial" w:hAnsi="Arial" w:cs="Arial"/>
                <w:sz w:val="20"/>
                <w:szCs w:val="20"/>
              </w:rPr>
            </w:pPr>
            <w:r w:rsidRPr="001119B4">
              <w:rPr>
                <w:rFonts w:ascii="Arial" w:hAnsi="Arial" w:cs="Arial"/>
                <w:sz w:val="20"/>
                <w:szCs w:val="20"/>
              </w:rPr>
              <w:t>Product Towers and Regions are required to develop a plan for implementing this Global Underwriting Standard.  This plan must be agreed with the Global Commercial CUO and set out the projected implementation timeframes and any exemptions that will be made.</w:t>
            </w:r>
          </w:p>
          <w:p w14:paraId="284B96A4" w14:textId="77777777" w:rsidR="00A11D64" w:rsidRDefault="00A11D64" w:rsidP="00EA0A49">
            <w:pPr>
              <w:ind w:left="360"/>
              <w:jc w:val="both"/>
              <w:rPr>
                <w:rFonts w:ascii="Arial" w:hAnsi="Arial" w:cs="Arial"/>
                <w:sz w:val="20"/>
                <w:szCs w:val="20"/>
              </w:rPr>
            </w:pPr>
          </w:p>
        </w:tc>
      </w:tr>
      <w:tr w:rsidR="003D3FA9" w:rsidRPr="004A024A" w14:paraId="284B96A8" w14:textId="77777777" w:rsidTr="000B6CA2">
        <w:trPr>
          <w:trHeight w:val="387"/>
        </w:trPr>
        <w:tc>
          <w:tcPr>
            <w:tcW w:w="2232" w:type="dxa"/>
          </w:tcPr>
          <w:p w14:paraId="284B96A6" w14:textId="77777777" w:rsidR="003D3FA9" w:rsidRPr="004A024A" w:rsidRDefault="003D3FA9" w:rsidP="00A137CA">
            <w:pPr>
              <w:spacing w:before="120"/>
              <w:rPr>
                <w:rFonts w:ascii="Arial" w:hAnsi="Arial" w:cs="Arial"/>
                <w:b/>
                <w:bCs/>
                <w:sz w:val="20"/>
                <w:szCs w:val="20"/>
              </w:rPr>
            </w:pPr>
            <w:r w:rsidRPr="004A024A">
              <w:rPr>
                <w:rFonts w:ascii="Arial" w:hAnsi="Arial" w:cs="Arial"/>
                <w:b/>
                <w:bCs/>
                <w:sz w:val="20"/>
                <w:szCs w:val="20"/>
              </w:rPr>
              <w:t>Roles  and Responsibilities</w:t>
            </w:r>
          </w:p>
        </w:tc>
        <w:tc>
          <w:tcPr>
            <w:tcW w:w="8388" w:type="dxa"/>
            <w:gridSpan w:val="2"/>
          </w:tcPr>
          <w:p w14:paraId="284B96A7" w14:textId="77777777" w:rsidR="003D3FA9" w:rsidRPr="00427A89" w:rsidRDefault="003D3FA9" w:rsidP="00A137CA">
            <w:pPr>
              <w:spacing w:before="120"/>
              <w:jc w:val="both"/>
              <w:rPr>
                <w:rFonts w:ascii="Arial" w:hAnsi="Arial" w:cs="Arial"/>
                <w:sz w:val="16"/>
                <w:szCs w:val="16"/>
              </w:rPr>
            </w:pPr>
          </w:p>
        </w:tc>
      </w:tr>
      <w:tr w:rsidR="003D3FA9" w:rsidRPr="004A024A" w14:paraId="284B96AD" w14:textId="77777777" w:rsidTr="000B6CA2">
        <w:trPr>
          <w:trHeight w:val="387"/>
        </w:trPr>
        <w:tc>
          <w:tcPr>
            <w:tcW w:w="2232" w:type="dxa"/>
          </w:tcPr>
          <w:p w14:paraId="284B96A9" w14:textId="77777777" w:rsidR="003D3FA9" w:rsidRPr="004A024A" w:rsidRDefault="003D3FA9" w:rsidP="00A137CA">
            <w:pPr>
              <w:spacing w:before="120"/>
              <w:rPr>
                <w:rFonts w:ascii="Arial" w:hAnsi="Arial" w:cs="Arial"/>
                <w:b/>
                <w:bCs/>
                <w:sz w:val="20"/>
                <w:szCs w:val="20"/>
              </w:rPr>
            </w:pPr>
            <w:r>
              <w:rPr>
                <w:rFonts w:ascii="Arial" w:hAnsi="Arial" w:cs="Arial"/>
                <w:bCs/>
                <w:i/>
                <w:iCs/>
                <w:sz w:val="20"/>
                <w:szCs w:val="20"/>
              </w:rPr>
              <w:t>Global Commercial Underwriting Committee</w:t>
            </w:r>
          </w:p>
        </w:tc>
        <w:tc>
          <w:tcPr>
            <w:tcW w:w="8388" w:type="dxa"/>
            <w:gridSpan w:val="2"/>
          </w:tcPr>
          <w:p w14:paraId="284B96AA" w14:textId="77777777" w:rsidR="003D3FA9" w:rsidRDefault="003D3FA9" w:rsidP="00A137CA">
            <w:pPr>
              <w:jc w:val="both"/>
              <w:rPr>
                <w:rFonts w:ascii="Arial" w:hAnsi="Arial" w:cs="Arial"/>
                <w:sz w:val="20"/>
                <w:szCs w:val="20"/>
              </w:rPr>
            </w:pPr>
          </w:p>
          <w:p w14:paraId="284B96AB" w14:textId="77777777" w:rsidR="003D3FA9" w:rsidRDefault="003D3FA9" w:rsidP="007E02EB">
            <w:pPr>
              <w:jc w:val="both"/>
              <w:rPr>
                <w:rFonts w:ascii="Arial" w:hAnsi="Arial" w:cs="Arial"/>
                <w:sz w:val="20"/>
                <w:szCs w:val="20"/>
              </w:rPr>
            </w:pPr>
            <w:r>
              <w:rPr>
                <w:rFonts w:ascii="Arial" w:hAnsi="Arial" w:cs="Arial"/>
                <w:sz w:val="20"/>
                <w:szCs w:val="20"/>
              </w:rPr>
              <w:t>The Global Commercial Underwriting Committee is responsible for establishing and maintaining global underwriting policies and standards, and is accountable for ensuring that they are consistently and uniformly implemented locally.</w:t>
            </w:r>
          </w:p>
          <w:p w14:paraId="284B96AC" w14:textId="77777777" w:rsidR="003D3FA9" w:rsidRPr="00427A89" w:rsidRDefault="003D3FA9" w:rsidP="00A137CA">
            <w:pPr>
              <w:spacing w:before="120"/>
              <w:jc w:val="both"/>
              <w:rPr>
                <w:rFonts w:ascii="Arial" w:hAnsi="Arial" w:cs="Arial"/>
                <w:i/>
                <w:iCs/>
                <w:color w:val="FF0000"/>
                <w:sz w:val="16"/>
                <w:szCs w:val="16"/>
              </w:rPr>
            </w:pPr>
          </w:p>
        </w:tc>
      </w:tr>
      <w:tr w:rsidR="003D3FA9" w:rsidRPr="004A024A" w14:paraId="284B96B2" w14:textId="77777777" w:rsidTr="000B6CA2">
        <w:trPr>
          <w:trHeight w:val="387"/>
        </w:trPr>
        <w:tc>
          <w:tcPr>
            <w:tcW w:w="2232" w:type="dxa"/>
          </w:tcPr>
          <w:p w14:paraId="284B96AE" w14:textId="77777777" w:rsidR="003D3FA9" w:rsidRDefault="003D3FA9" w:rsidP="00BD60EB">
            <w:pPr>
              <w:spacing w:before="120"/>
              <w:rPr>
                <w:rFonts w:ascii="Arial" w:hAnsi="Arial" w:cs="Arial"/>
                <w:bCs/>
                <w:i/>
                <w:iCs/>
                <w:sz w:val="20"/>
                <w:szCs w:val="20"/>
              </w:rPr>
            </w:pPr>
            <w:r>
              <w:rPr>
                <w:rFonts w:ascii="Arial" w:eastAsia="Helvetica Neue" w:hAnsi="Arial" w:cs="Arial"/>
                <w:bCs/>
                <w:i/>
                <w:iCs/>
                <w:sz w:val="20"/>
                <w:szCs w:val="20"/>
              </w:rPr>
              <w:t>Global Product Line underwriting managers</w:t>
            </w:r>
          </w:p>
        </w:tc>
        <w:tc>
          <w:tcPr>
            <w:tcW w:w="8388" w:type="dxa"/>
            <w:gridSpan w:val="2"/>
          </w:tcPr>
          <w:p w14:paraId="284B96AF" w14:textId="77777777" w:rsidR="003D3FA9" w:rsidRDefault="003D3FA9" w:rsidP="00BD60EB">
            <w:pPr>
              <w:jc w:val="both"/>
              <w:rPr>
                <w:rFonts w:ascii="Arial" w:eastAsia="Helvetica Neue" w:hAnsi="Arial" w:cs="Arial"/>
                <w:sz w:val="20"/>
                <w:szCs w:val="20"/>
              </w:rPr>
            </w:pPr>
          </w:p>
          <w:p w14:paraId="284B96B0" w14:textId="77777777" w:rsidR="003D3FA9" w:rsidRDefault="003D3FA9" w:rsidP="009C4802">
            <w:pPr>
              <w:jc w:val="both"/>
              <w:rPr>
                <w:rFonts w:ascii="Arial" w:eastAsia="Helvetica Neue" w:hAnsi="Arial" w:cs="Arial"/>
                <w:sz w:val="20"/>
                <w:szCs w:val="20"/>
              </w:rPr>
            </w:pPr>
            <w:r w:rsidRPr="00C802AB">
              <w:rPr>
                <w:rFonts w:ascii="Arial" w:eastAsia="Helvetica Neue" w:hAnsi="Arial" w:cs="Arial"/>
                <w:sz w:val="20"/>
                <w:szCs w:val="20"/>
              </w:rPr>
              <w:t xml:space="preserve">Global Product </w:t>
            </w:r>
            <w:r>
              <w:rPr>
                <w:rFonts w:ascii="Arial" w:eastAsia="Helvetica Neue" w:hAnsi="Arial" w:cs="Arial"/>
                <w:sz w:val="20"/>
                <w:szCs w:val="20"/>
              </w:rPr>
              <w:t>L</w:t>
            </w:r>
            <w:r w:rsidRPr="00C802AB">
              <w:rPr>
                <w:rFonts w:ascii="Arial" w:eastAsia="Helvetica Neue" w:hAnsi="Arial" w:cs="Arial"/>
                <w:sz w:val="20"/>
                <w:szCs w:val="20"/>
              </w:rPr>
              <w:t>ine</w:t>
            </w:r>
            <w:r>
              <w:rPr>
                <w:rFonts w:ascii="Arial" w:eastAsia="Helvetica Neue" w:hAnsi="Arial" w:cs="Arial"/>
                <w:sz w:val="20"/>
                <w:szCs w:val="20"/>
              </w:rPr>
              <w:t xml:space="preserve"> underwriting managers </w:t>
            </w:r>
            <w:r w:rsidRPr="00C802AB">
              <w:rPr>
                <w:rFonts w:ascii="Arial" w:eastAsia="Helvetica Neue" w:hAnsi="Arial" w:cs="Arial"/>
                <w:sz w:val="20"/>
                <w:szCs w:val="20"/>
              </w:rPr>
              <w:t>are responsible for establishing and maintaini</w:t>
            </w:r>
            <w:r>
              <w:rPr>
                <w:rFonts w:ascii="Arial" w:eastAsia="Helvetica Neue" w:hAnsi="Arial" w:cs="Arial"/>
                <w:sz w:val="20"/>
                <w:szCs w:val="20"/>
              </w:rPr>
              <w:t>ng global product underwriting</w:t>
            </w:r>
            <w:r w:rsidRPr="00C802AB">
              <w:rPr>
                <w:rFonts w:ascii="Arial" w:eastAsia="Helvetica Neue" w:hAnsi="Arial" w:cs="Arial"/>
                <w:sz w:val="20"/>
                <w:szCs w:val="20"/>
              </w:rPr>
              <w:t xml:space="preserve"> </w:t>
            </w:r>
            <w:r>
              <w:rPr>
                <w:rFonts w:ascii="Arial" w:eastAsia="Helvetica Neue" w:hAnsi="Arial" w:cs="Arial"/>
                <w:sz w:val="20"/>
                <w:szCs w:val="20"/>
              </w:rPr>
              <w:t xml:space="preserve">standards, </w:t>
            </w:r>
            <w:r w:rsidRPr="00C802AB">
              <w:rPr>
                <w:rFonts w:ascii="Arial" w:eastAsia="Helvetica Neue" w:hAnsi="Arial" w:cs="Arial"/>
                <w:sz w:val="20"/>
                <w:szCs w:val="20"/>
              </w:rPr>
              <w:t>guidelines</w:t>
            </w:r>
            <w:r>
              <w:rPr>
                <w:rFonts w:ascii="Arial" w:eastAsia="Helvetica Neue" w:hAnsi="Arial" w:cs="Arial"/>
                <w:sz w:val="20"/>
                <w:szCs w:val="20"/>
              </w:rPr>
              <w:t xml:space="preserve">, and procedures, </w:t>
            </w:r>
            <w:r w:rsidRPr="00C802AB">
              <w:rPr>
                <w:rFonts w:ascii="Arial" w:eastAsia="Helvetica Neue" w:hAnsi="Arial" w:cs="Arial"/>
                <w:sz w:val="20"/>
                <w:szCs w:val="20"/>
              </w:rPr>
              <w:t xml:space="preserve">and are accountable for ensuring that </w:t>
            </w:r>
            <w:r>
              <w:rPr>
                <w:rFonts w:ascii="Arial" w:eastAsia="Helvetica Neue" w:hAnsi="Arial" w:cs="Arial"/>
                <w:sz w:val="20"/>
                <w:szCs w:val="20"/>
              </w:rPr>
              <w:t xml:space="preserve">they </w:t>
            </w:r>
            <w:r w:rsidRPr="00C802AB">
              <w:rPr>
                <w:rFonts w:ascii="Arial" w:eastAsia="Helvetica Neue" w:hAnsi="Arial" w:cs="Arial"/>
                <w:sz w:val="20"/>
                <w:szCs w:val="20"/>
              </w:rPr>
              <w:t xml:space="preserve">are consistently and uniformly implemented in their product areas. </w:t>
            </w:r>
          </w:p>
          <w:p w14:paraId="284B96B1" w14:textId="77777777" w:rsidR="003D3FA9" w:rsidRPr="00C802AB" w:rsidRDefault="003D3FA9" w:rsidP="00BD60EB">
            <w:pPr>
              <w:jc w:val="both"/>
              <w:rPr>
                <w:rFonts w:ascii="Arial" w:hAnsi="Arial" w:cs="Arial"/>
                <w:sz w:val="20"/>
                <w:szCs w:val="20"/>
              </w:rPr>
            </w:pPr>
          </w:p>
        </w:tc>
      </w:tr>
      <w:tr w:rsidR="008E7FD9" w:rsidRPr="004A024A" w14:paraId="284B96B5" w14:textId="77777777" w:rsidTr="000B6CA2">
        <w:trPr>
          <w:trHeight w:val="387"/>
        </w:trPr>
        <w:tc>
          <w:tcPr>
            <w:tcW w:w="2232" w:type="dxa"/>
          </w:tcPr>
          <w:p w14:paraId="284B96B3" w14:textId="77777777" w:rsidR="008E7FD9" w:rsidRDefault="008E7FD9" w:rsidP="008E7FD9">
            <w:pPr>
              <w:spacing w:before="120"/>
              <w:rPr>
                <w:rFonts w:ascii="Arial" w:eastAsia="Helvetica Neue" w:hAnsi="Arial" w:cs="Arial"/>
                <w:bCs/>
                <w:i/>
                <w:iCs/>
                <w:sz w:val="20"/>
                <w:szCs w:val="20"/>
              </w:rPr>
            </w:pPr>
            <w:r>
              <w:rPr>
                <w:rFonts w:ascii="Arial" w:eastAsia="Helvetica Neue" w:hAnsi="Arial" w:cs="Arial"/>
                <w:bCs/>
                <w:i/>
                <w:iCs/>
                <w:sz w:val="20"/>
                <w:szCs w:val="20"/>
              </w:rPr>
              <w:t>Global management &amp; distribution executives</w:t>
            </w:r>
          </w:p>
        </w:tc>
        <w:tc>
          <w:tcPr>
            <w:tcW w:w="8388" w:type="dxa"/>
            <w:gridSpan w:val="2"/>
          </w:tcPr>
          <w:p w14:paraId="284B96B4" w14:textId="77777777" w:rsidR="008E7FD9" w:rsidRDefault="00B26461" w:rsidP="00D80B25">
            <w:pPr>
              <w:jc w:val="both"/>
              <w:rPr>
                <w:rFonts w:ascii="Arial" w:eastAsia="Helvetica Neue" w:hAnsi="Arial" w:cs="Arial"/>
                <w:sz w:val="20"/>
                <w:szCs w:val="20"/>
              </w:rPr>
            </w:pPr>
            <w:r>
              <w:rPr>
                <w:rFonts w:ascii="Arial" w:eastAsia="Helvetica Neue" w:hAnsi="Arial" w:cs="Arial"/>
                <w:sz w:val="20"/>
                <w:szCs w:val="20"/>
              </w:rPr>
              <w:t xml:space="preserve">Global management &amp; distribution executives are responsible for establishing and maintaining global broker agreements, and in assisting with the approval process when </w:t>
            </w:r>
            <w:r w:rsidR="00CC67A0">
              <w:rPr>
                <w:rFonts w:ascii="Arial" w:eastAsia="Helvetica Neue" w:hAnsi="Arial" w:cs="Arial"/>
                <w:sz w:val="20"/>
                <w:szCs w:val="20"/>
              </w:rPr>
              <w:t xml:space="preserve">non-standard commission </w:t>
            </w:r>
            <w:r>
              <w:rPr>
                <w:rFonts w:ascii="Arial" w:eastAsia="Helvetica Neue" w:hAnsi="Arial" w:cs="Arial"/>
                <w:sz w:val="20"/>
                <w:szCs w:val="20"/>
              </w:rPr>
              <w:t xml:space="preserve">agreements impact multiple </w:t>
            </w:r>
            <w:r w:rsidR="00D80B25">
              <w:rPr>
                <w:rFonts w:ascii="Arial" w:eastAsia="Helvetica Neue" w:hAnsi="Arial" w:cs="Arial"/>
                <w:sz w:val="20"/>
                <w:szCs w:val="20"/>
              </w:rPr>
              <w:t>regions</w:t>
            </w:r>
            <w:r w:rsidR="00EA7921">
              <w:rPr>
                <w:rFonts w:ascii="Arial" w:eastAsia="Helvetica Neue" w:hAnsi="Arial" w:cs="Arial"/>
                <w:sz w:val="20"/>
                <w:szCs w:val="20"/>
              </w:rPr>
              <w:t>.</w:t>
            </w:r>
            <w:r>
              <w:rPr>
                <w:rFonts w:ascii="Arial" w:eastAsia="Helvetica Neue" w:hAnsi="Arial" w:cs="Arial"/>
                <w:sz w:val="20"/>
                <w:szCs w:val="20"/>
              </w:rPr>
              <w:t xml:space="preserve">  </w:t>
            </w:r>
          </w:p>
        </w:tc>
      </w:tr>
      <w:tr w:rsidR="008E7FD9" w:rsidRPr="004A024A" w14:paraId="284B96B8" w14:textId="77777777" w:rsidTr="000B6CA2">
        <w:trPr>
          <w:trHeight w:val="387"/>
        </w:trPr>
        <w:tc>
          <w:tcPr>
            <w:tcW w:w="2232" w:type="dxa"/>
          </w:tcPr>
          <w:p w14:paraId="284B96B6" w14:textId="77777777" w:rsidR="008E7FD9" w:rsidRDefault="008E7FD9" w:rsidP="008E7FD9">
            <w:pPr>
              <w:spacing w:before="120"/>
              <w:rPr>
                <w:rFonts w:ascii="Arial" w:eastAsia="Helvetica Neue" w:hAnsi="Arial" w:cs="Arial"/>
                <w:bCs/>
                <w:i/>
                <w:iCs/>
                <w:sz w:val="20"/>
                <w:szCs w:val="20"/>
              </w:rPr>
            </w:pPr>
            <w:r>
              <w:rPr>
                <w:rFonts w:ascii="Arial" w:eastAsia="Helvetica Neue" w:hAnsi="Arial" w:cs="Arial"/>
                <w:bCs/>
                <w:i/>
                <w:iCs/>
                <w:sz w:val="20"/>
                <w:szCs w:val="20"/>
              </w:rPr>
              <w:t>Regional &amp; local management &amp; distribution executives</w:t>
            </w:r>
          </w:p>
        </w:tc>
        <w:tc>
          <w:tcPr>
            <w:tcW w:w="8388" w:type="dxa"/>
            <w:gridSpan w:val="2"/>
          </w:tcPr>
          <w:p w14:paraId="284B96B7" w14:textId="77777777" w:rsidR="008E7FD9" w:rsidRPr="00B26461" w:rsidRDefault="00B26461" w:rsidP="00EA7921">
            <w:pPr>
              <w:jc w:val="both"/>
              <w:rPr>
                <w:rFonts w:ascii="Arial" w:eastAsia="Helvetica Neue" w:hAnsi="Arial" w:cs="Arial"/>
                <w:sz w:val="20"/>
                <w:szCs w:val="20"/>
              </w:rPr>
            </w:pPr>
            <w:r w:rsidRPr="00B26461">
              <w:rPr>
                <w:rFonts w:ascii="Arial" w:eastAsia="Helvetica Neue" w:hAnsi="Arial" w:cs="Arial"/>
                <w:bCs/>
                <w:iCs/>
                <w:sz w:val="20"/>
                <w:szCs w:val="20"/>
              </w:rPr>
              <w:t>Regional &amp; local management &amp; distribution executives</w:t>
            </w:r>
            <w:r>
              <w:rPr>
                <w:rFonts w:ascii="Arial" w:eastAsia="Helvetica Neue" w:hAnsi="Arial" w:cs="Arial"/>
                <w:bCs/>
                <w:iCs/>
                <w:sz w:val="20"/>
                <w:szCs w:val="20"/>
              </w:rPr>
              <w:t xml:space="preserve"> are responsible </w:t>
            </w:r>
            <w:r w:rsidR="00CC67A0">
              <w:rPr>
                <w:rFonts w:ascii="Arial" w:eastAsia="Helvetica Neue" w:hAnsi="Arial" w:cs="Arial"/>
                <w:bCs/>
                <w:iCs/>
                <w:sz w:val="20"/>
                <w:szCs w:val="20"/>
              </w:rPr>
              <w:t xml:space="preserve">for </w:t>
            </w:r>
            <w:r w:rsidR="00CC67A0">
              <w:rPr>
                <w:rFonts w:ascii="Arial" w:eastAsia="Helvetica Neue" w:hAnsi="Arial" w:cs="Arial"/>
                <w:sz w:val="20"/>
                <w:szCs w:val="20"/>
              </w:rPr>
              <w:t xml:space="preserve">assisting with the approval process when non-standard commission agreements impact multiple </w:t>
            </w:r>
            <w:r w:rsidR="00EA7921">
              <w:rPr>
                <w:rFonts w:ascii="Arial" w:eastAsia="Helvetica Neue" w:hAnsi="Arial" w:cs="Arial"/>
                <w:sz w:val="20"/>
                <w:szCs w:val="20"/>
              </w:rPr>
              <w:t>countries</w:t>
            </w:r>
            <w:r w:rsidR="00CC67A0">
              <w:rPr>
                <w:rFonts w:ascii="Arial" w:eastAsia="Helvetica Neue" w:hAnsi="Arial" w:cs="Arial"/>
                <w:sz w:val="20"/>
                <w:szCs w:val="20"/>
              </w:rPr>
              <w:t xml:space="preserve">.  </w:t>
            </w:r>
          </w:p>
        </w:tc>
      </w:tr>
      <w:tr w:rsidR="003D3FA9" w:rsidRPr="004A024A" w14:paraId="284B96BE" w14:textId="77777777" w:rsidTr="000B6CA2">
        <w:trPr>
          <w:trHeight w:val="387"/>
        </w:trPr>
        <w:tc>
          <w:tcPr>
            <w:tcW w:w="2232" w:type="dxa"/>
          </w:tcPr>
          <w:p w14:paraId="284B96B9" w14:textId="77777777" w:rsidR="003D3FA9" w:rsidRDefault="003D3FA9" w:rsidP="00BD60EB">
            <w:pPr>
              <w:spacing w:before="120"/>
              <w:rPr>
                <w:rFonts w:ascii="Arial" w:eastAsia="Helvetica Neue" w:hAnsi="Arial" w:cs="Arial"/>
                <w:bCs/>
                <w:i/>
                <w:iCs/>
                <w:sz w:val="20"/>
                <w:szCs w:val="20"/>
              </w:rPr>
            </w:pPr>
            <w:r>
              <w:rPr>
                <w:rFonts w:ascii="Arial" w:eastAsia="Helvetica Neue" w:hAnsi="Arial" w:cs="Arial"/>
                <w:bCs/>
                <w:i/>
                <w:iCs/>
                <w:sz w:val="20"/>
                <w:szCs w:val="20"/>
              </w:rPr>
              <w:t>Regional and l</w:t>
            </w:r>
            <w:r w:rsidRPr="00C802AB">
              <w:rPr>
                <w:rFonts w:ascii="Arial" w:eastAsia="Helvetica Neue" w:hAnsi="Arial" w:cs="Arial"/>
                <w:bCs/>
                <w:i/>
                <w:iCs/>
                <w:sz w:val="20"/>
                <w:szCs w:val="20"/>
              </w:rPr>
              <w:t>ocal</w:t>
            </w:r>
            <w:r>
              <w:rPr>
                <w:rFonts w:ascii="Arial" w:eastAsia="Helvetica Neue" w:hAnsi="Arial" w:cs="Arial"/>
                <w:bCs/>
                <w:i/>
                <w:iCs/>
                <w:sz w:val="20"/>
                <w:szCs w:val="20"/>
              </w:rPr>
              <w:t xml:space="preserve"> product</w:t>
            </w:r>
            <w:r w:rsidRPr="00C802AB">
              <w:rPr>
                <w:rFonts w:ascii="Arial" w:eastAsia="Helvetica Neue" w:hAnsi="Arial" w:cs="Arial"/>
                <w:bCs/>
                <w:i/>
                <w:iCs/>
                <w:sz w:val="20"/>
                <w:szCs w:val="20"/>
              </w:rPr>
              <w:t xml:space="preserve"> </w:t>
            </w:r>
            <w:r>
              <w:rPr>
                <w:rFonts w:ascii="Arial" w:eastAsia="Helvetica Neue" w:hAnsi="Arial" w:cs="Arial"/>
                <w:bCs/>
                <w:i/>
                <w:iCs/>
                <w:sz w:val="20"/>
                <w:szCs w:val="20"/>
              </w:rPr>
              <w:t>line managers</w:t>
            </w:r>
          </w:p>
          <w:p w14:paraId="284B96BA" w14:textId="77777777" w:rsidR="003D3FA9" w:rsidRDefault="003D3FA9" w:rsidP="00BD60EB">
            <w:pPr>
              <w:spacing w:before="120"/>
              <w:rPr>
                <w:rFonts w:ascii="Arial" w:eastAsia="Helvetica Neue" w:hAnsi="Arial" w:cs="Arial"/>
                <w:bCs/>
                <w:i/>
                <w:iCs/>
                <w:sz w:val="20"/>
                <w:szCs w:val="20"/>
              </w:rPr>
            </w:pPr>
          </w:p>
        </w:tc>
        <w:tc>
          <w:tcPr>
            <w:tcW w:w="8388" w:type="dxa"/>
            <w:gridSpan w:val="2"/>
          </w:tcPr>
          <w:p w14:paraId="284B96BB" w14:textId="77777777" w:rsidR="003D3FA9" w:rsidRDefault="003D3FA9" w:rsidP="00BD60EB">
            <w:pPr>
              <w:jc w:val="both"/>
              <w:rPr>
                <w:rFonts w:ascii="Arial" w:eastAsia="Helvetica Neue" w:hAnsi="Arial" w:cs="Arial"/>
                <w:sz w:val="20"/>
                <w:szCs w:val="20"/>
              </w:rPr>
            </w:pPr>
          </w:p>
          <w:p w14:paraId="284B96BC" w14:textId="77777777" w:rsidR="003D3FA9" w:rsidRDefault="003D3FA9" w:rsidP="009C4802">
            <w:pPr>
              <w:jc w:val="both"/>
              <w:rPr>
                <w:rFonts w:ascii="Arial" w:eastAsia="Helvetica Neue" w:hAnsi="Arial" w:cs="Arial"/>
                <w:sz w:val="20"/>
                <w:szCs w:val="20"/>
              </w:rPr>
            </w:pPr>
            <w:r w:rsidRPr="00C802AB">
              <w:rPr>
                <w:rFonts w:ascii="Arial" w:eastAsia="Helvetica Neue" w:hAnsi="Arial" w:cs="Arial"/>
                <w:sz w:val="20"/>
                <w:szCs w:val="20"/>
              </w:rPr>
              <w:t xml:space="preserve">Regional and </w:t>
            </w:r>
            <w:r>
              <w:rPr>
                <w:rFonts w:ascii="Arial" w:eastAsia="Helvetica Neue" w:hAnsi="Arial" w:cs="Arial"/>
                <w:sz w:val="20"/>
                <w:szCs w:val="20"/>
              </w:rPr>
              <w:t>l</w:t>
            </w:r>
            <w:r w:rsidRPr="00C802AB">
              <w:rPr>
                <w:rFonts w:ascii="Arial" w:eastAsia="Helvetica Neue" w:hAnsi="Arial" w:cs="Arial"/>
                <w:sz w:val="20"/>
                <w:szCs w:val="20"/>
              </w:rPr>
              <w:t xml:space="preserve">ocal </w:t>
            </w:r>
            <w:r>
              <w:rPr>
                <w:rFonts w:ascii="Arial" w:eastAsia="Helvetica Neue" w:hAnsi="Arial" w:cs="Arial"/>
                <w:sz w:val="20"/>
                <w:szCs w:val="20"/>
              </w:rPr>
              <w:t>product managers are responsible for establishing and maintaining regional/local product underwriting standards, guidelines and procedures, and are accountable for ensuring that they, along with all applicable global and product underwriting standards, guidelines and procedures, are consistently and uniformly implemented in their geographic areas</w:t>
            </w:r>
            <w:r w:rsidRPr="00C802AB">
              <w:rPr>
                <w:rFonts w:ascii="Arial" w:eastAsia="Helvetica Neue" w:hAnsi="Arial" w:cs="Arial"/>
                <w:sz w:val="20"/>
                <w:szCs w:val="20"/>
              </w:rPr>
              <w:t xml:space="preserve">. </w:t>
            </w:r>
          </w:p>
          <w:p w14:paraId="284B96BD" w14:textId="77777777" w:rsidR="003D3FA9" w:rsidRDefault="003D3FA9" w:rsidP="00BD60EB">
            <w:pPr>
              <w:jc w:val="both"/>
              <w:rPr>
                <w:rFonts w:ascii="Arial" w:eastAsia="Helvetica Neue" w:hAnsi="Arial" w:cs="Arial"/>
                <w:sz w:val="20"/>
                <w:szCs w:val="20"/>
              </w:rPr>
            </w:pPr>
          </w:p>
        </w:tc>
      </w:tr>
      <w:tr w:rsidR="003D3FA9" w:rsidRPr="004A024A" w14:paraId="284B96C4" w14:textId="77777777" w:rsidTr="000B6CA2">
        <w:trPr>
          <w:trHeight w:val="387"/>
        </w:trPr>
        <w:tc>
          <w:tcPr>
            <w:tcW w:w="2232" w:type="dxa"/>
          </w:tcPr>
          <w:p w14:paraId="284B96BF" w14:textId="77777777" w:rsidR="003D3FA9" w:rsidRPr="0078285B" w:rsidRDefault="003D3FA9" w:rsidP="00BD60EB">
            <w:pPr>
              <w:tabs>
                <w:tab w:val="num" w:pos="1440"/>
              </w:tabs>
              <w:spacing w:line="360" w:lineRule="auto"/>
              <w:jc w:val="both"/>
              <w:rPr>
                <w:rFonts w:ascii="Arial" w:hAnsi="Arial" w:cs="Arial"/>
                <w:i/>
                <w:sz w:val="18"/>
                <w:szCs w:val="18"/>
              </w:rPr>
            </w:pPr>
          </w:p>
          <w:p w14:paraId="284B96C0" w14:textId="77777777" w:rsidR="003D3FA9" w:rsidRPr="0078285B" w:rsidRDefault="003D3FA9" w:rsidP="00BD60EB">
            <w:pPr>
              <w:tabs>
                <w:tab w:val="num" w:pos="1440"/>
              </w:tabs>
              <w:spacing w:line="360" w:lineRule="auto"/>
              <w:jc w:val="both"/>
              <w:rPr>
                <w:rFonts w:ascii="Arial" w:hAnsi="Arial" w:cs="Arial"/>
                <w:i/>
                <w:sz w:val="20"/>
                <w:szCs w:val="20"/>
              </w:rPr>
            </w:pPr>
            <w:r w:rsidRPr="0078285B">
              <w:rPr>
                <w:rFonts w:ascii="Arial" w:hAnsi="Arial" w:cs="Arial"/>
                <w:i/>
                <w:sz w:val="20"/>
                <w:szCs w:val="20"/>
              </w:rPr>
              <w:t xml:space="preserve">All Employees </w:t>
            </w:r>
          </w:p>
          <w:p w14:paraId="284B96C1" w14:textId="77777777" w:rsidR="003D3FA9" w:rsidRPr="0078285B" w:rsidRDefault="003D3FA9" w:rsidP="00BD60EB">
            <w:pPr>
              <w:spacing w:before="120"/>
              <w:rPr>
                <w:rFonts w:ascii="Arial" w:eastAsia="Helvetica Neue" w:hAnsi="Arial" w:cs="Arial"/>
                <w:bCs/>
                <w:i/>
                <w:iCs/>
                <w:sz w:val="20"/>
                <w:szCs w:val="20"/>
              </w:rPr>
            </w:pPr>
          </w:p>
        </w:tc>
        <w:tc>
          <w:tcPr>
            <w:tcW w:w="8388" w:type="dxa"/>
            <w:gridSpan w:val="2"/>
          </w:tcPr>
          <w:p w14:paraId="284B96C2" w14:textId="77777777" w:rsidR="003D3FA9" w:rsidRDefault="003D3FA9" w:rsidP="00BD60EB">
            <w:pPr>
              <w:jc w:val="both"/>
              <w:rPr>
                <w:rFonts w:ascii="Arial" w:eastAsia="Helvetica Neue" w:hAnsi="Arial" w:cs="Arial"/>
                <w:sz w:val="20"/>
                <w:szCs w:val="20"/>
              </w:rPr>
            </w:pPr>
          </w:p>
          <w:p w14:paraId="284B96C3" w14:textId="77777777" w:rsidR="003D3FA9" w:rsidRDefault="003D3FA9" w:rsidP="00BD60EB">
            <w:pPr>
              <w:jc w:val="both"/>
              <w:rPr>
                <w:rFonts w:ascii="Arial" w:eastAsia="Helvetica Neue" w:hAnsi="Arial" w:cs="Arial"/>
                <w:sz w:val="20"/>
                <w:szCs w:val="20"/>
              </w:rPr>
            </w:pPr>
            <w:r w:rsidRPr="0078285B">
              <w:rPr>
                <w:rFonts w:ascii="Arial" w:hAnsi="Arial" w:cs="Arial"/>
                <w:sz w:val="20"/>
                <w:szCs w:val="20"/>
              </w:rPr>
              <w:t xml:space="preserve">All employees </w:t>
            </w:r>
            <w:r>
              <w:rPr>
                <w:rFonts w:ascii="Arial" w:hAnsi="Arial" w:cs="Arial"/>
                <w:sz w:val="20"/>
                <w:szCs w:val="20"/>
              </w:rPr>
              <w:t>performing functions subject to this Standard must adhere to its principles, as well as all other applicable standards, g</w:t>
            </w:r>
            <w:r w:rsidRPr="0078285B">
              <w:rPr>
                <w:rFonts w:ascii="Arial" w:hAnsi="Arial" w:cs="Arial"/>
                <w:sz w:val="20"/>
                <w:szCs w:val="20"/>
              </w:rPr>
              <w:t>uidelines</w:t>
            </w:r>
            <w:r>
              <w:rPr>
                <w:rFonts w:ascii="Arial" w:hAnsi="Arial" w:cs="Arial"/>
                <w:sz w:val="20"/>
                <w:szCs w:val="20"/>
              </w:rPr>
              <w:t xml:space="preserve"> and procedures.</w:t>
            </w:r>
          </w:p>
        </w:tc>
      </w:tr>
      <w:tr w:rsidR="003D3FA9" w:rsidRPr="004A024A" w14:paraId="284B96C7" w14:textId="77777777" w:rsidTr="000B6CA2">
        <w:tc>
          <w:tcPr>
            <w:tcW w:w="2232" w:type="dxa"/>
          </w:tcPr>
          <w:p w14:paraId="284B96C5" w14:textId="77777777" w:rsidR="003D3FA9" w:rsidRPr="006C4F52" w:rsidRDefault="003D3FA9" w:rsidP="00BD60EB">
            <w:pPr>
              <w:spacing w:before="60" w:after="60"/>
              <w:rPr>
                <w:rFonts w:ascii="Arial" w:hAnsi="Arial" w:cs="Arial"/>
                <w:b/>
                <w:sz w:val="20"/>
                <w:szCs w:val="20"/>
              </w:rPr>
            </w:pPr>
          </w:p>
        </w:tc>
        <w:tc>
          <w:tcPr>
            <w:tcW w:w="8388" w:type="dxa"/>
            <w:gridSpan w:val="2"/>
          </w:tcPr>
          <w:p w14:paraId="284B96C6" w14:textId="77777777" w:rsidR="003D3FA9" w:rsidRPr="006C6720" w:rsidRDefault="003D3FA9" w:rsidP="00BD60EB">
            <w:pPr>
              <w:autoSpaceDE w:val="0"/>
              <w:autoSpaceDN w:val="0"/>
              <w:adjustRightInd w:val="0"/>
              <w:jc w:val="both"/>
              <w:rPr>
                <w:rFonts w:ascii="Arial" w:hAnsi="Arial" w:cs="Arial"/>
                <w:sz w:val="20"/>
                <w:szCs w:val="20"/>
              </w:rPr>
            </w:pPr>
          </w:p>
        </w:tc>
      </w:tr>
      <w:tr w:rsidR="003D3FA9" w:rsidRPr="004A024A" w14:paraId="284B96CC" w14:textId="77777777" w:rsidTr="000B6CA2">
        <w:trPr>
          <w:trHeight w:val="900"/>
        </w:trPr>
        <w:tc>
          <w:tcPr>
            <w:tcW w:w="2232" w:type="dxa"/>
          </w:tcPr>
          <w:p w14:paraId="284B96C8" w14:textId="77777777" w:rsidR="003D3FA9" w:rsidRPr="006C4F52" w:rsidRDefault="003D3FA9" w:rsidP="00BD60EB">
            <w:pPr>
              <w:spacing w:before="60" w:after="60"/>
              <w:rPr>
                <w:rFonts w:ascii="Arial" w:hAnsi="Arial" w:cs="Arial"/>
                <w:b/>
                <w:sz w:val="20"/>
                <w:szCs w:val="20"/>
              </w:rPr>
            </w:pPr>
            <w:r w:rsidRPr="006C4F52">
              <w:rPr>
                <w:rFonts w:ascii="Arial" w:hAnsi="Arial" w:cs="Arial"/>
                <w:b/>
                <w:sz w:val="20"/>
                <w:szCs w:val="20"/>
              </w:rPr>
              <w:t>Country Specific Requirements</w:t>
            </w:r>
          </w:p>
        </w:tc>
        <w:tc>
          <w:tcPr>
            <w:tcW w:w="8388" w:type="dxa"/>
            <w:gridSpan w:val="2"/>
          </w:tcPr>
          <w:p w14:paraId="284B96C9" w14:textId="77777777" w:rsidR="003D3FA9" w:rsidRDefault="003D3FA9" w:rsidP="00BD60EB">
            <w:pPr>
              <w:autoSpaceDE w:val="0"/>
              <w:autoSpaceDN w:val="0"/>
              <w:adjustRightInd w:val="0"/>
              <w:rPr>
                <w:rFonts w:ascii="Arial" w:eastAsia="Helvetica Neue" w:hAnsi="Arial" w:cs="Arial"/>
                <w:color w:val="FF0000"/>
                <w:sz w:val="16"/>
                <w:szCs w:val="16"/>
              </w:rPr>
            </w:pPr>
          </w:p>
          <w:p w14:paraId="284B96CA" w14:textId="77777777" w:rsidR="003D3FA9" w:rsidRPr="009E4350" w:rsidRDefault="003D3FA9" w:rsidP="00BD60EB">
            <w:pPr>
              <w:jc w:val="both"/>
              <w:rPr>
                <w:rFonts w:ascii="Arial" w:hAnsi="Arial" w:cs="Arial"/>
                <w:sz w:val="20"/>
                <w:szCs w:val="20"/>
              </w:rPr>
            </w:pPr>
            <w:r>
              <w:rPr>
                <w:rFonts w:ascii="Arial" w:eastAsia="Helvetica Neue" w:hAnsi="Arial" w:cs="Arial"/>
                <w:color w:val="000000"/>
                <w:sz w:val="20"/>
                <w:szCs w:val="20"/>
              </w:rPr>
              <w:t>Standards and Guidelines will</w:t>
            </w:r>
            <w:r w:rsidRPr="00B124A2">
              <w:rPr>
                <w:rFonts w:ascii="Arial" w:eastAsia="Helvetica Neue" w:hAnsi="Arial" w:cs="Arial"/>
                <w:color w:val="000000"/>
                <w:sz w:val="20"/>
                <w:szCs w:val="20"/>
              </w:rPr>
              <w:t xml:space="preserve"> be written and agreed wher</w:t>
            </w:r>
            <w:r>
              <w:rPr>
                <w:rFonts w:ascii="Arial" w:eastAsia="Helvetica Neue" w:hAnsi="Arial" w:cs="Arial"/>
                <w:color w:val="000000"/>
                <w:sz w:val="20"/>
                <w:szCs w:val="20"/>
              </w:rPr>
              <w:t>e there is the need for</w:t>
            </w:r>
            <w:r w:rsidRPr="00B124A2">
              <w:rPr>
                <w:rFonts w:ascii="Arial" w:eastAsia="Helvetica Neue" w:hAnsi="Arial" w:cs="Arial"/>
                <w:color w:val="000000"/>
                <w:sz w:val="20"/>
                <w:szCs w:val="20"/>
              </w:rPr>
              <w:t xml:space="preserve"> </w:t>
            </w:r>
            <w:r>
              <w:rPr>
                <w:rFonts w:ascii="Arial" w:eastAsia="Helvetica Neue" w:hAnsi="Arial" w:cs="Arial"/>
                <w:color w:val="000000"/>
                <w:sz w:val="20"/>
                <w:szCs w:val="20"/>
              </w:rPr>
              <w:t xml:space="preserve">distinct local clarification or to </w:t>
            </w:r>
            <w:r w:rsidRPr="00B124A2">
              <w:rPr>
                <w:rFonts w:ascii="Arial" w:eastAsia="Helvetica Neue" w:hAnsi="Arial" w:cs="Arial"/>
                <w:color w:val="000000"/>
                <w:sz w:val="20"/>
                <w:szCs w:val="20"/>
              </w:rPr>
              <w:t>comply with local rules and regulations</w:t>
            </w:r>
            <w:r>
              <w:rPr>
                <w:rFonts w:ascii="Arial" w:eastAsia="Helvetica Neue" w:hAnsi="Arial" w:cs="Arial"/>
                <w:color w:val="000000"/>
                <w:sz w:val="20"/>
                <w:szCs w:val="20"/>
              </w:rPr>
              <w:t xml:space="preserve">. </w:t>
            </w:r>
            <w:r>
              <w:rPr>
                <w:rFonts w:ascii="Arial" w:hAnsi="Arial" w:cs="Arial"/>
                <w:sz w:val="20"/>
                <w:szCs w:val="20"/>
              </w:rPr>
              <w:t>Any conflict between Global and locally required standards must be identified, documented, escalated and addressed in accordance with applicable AIG corporate policies.</w:t>
            </w:r>
          </w:p>
          <w:p w14:paraId="284B96CB" w14:textId="77777777" w:rsidR="003D3FA9" w:rsidRPr="009578B0" w:rsidRDefault="003D3FA9" w:rsidP="00BD60EB">
            <w:pPr>
              <w:autoSpaceDE w:val="0"/>
              <w:autoSpaceDN w:val="0"/>
              <w:adjustRightInd w:val="0"/>
              <w:rPr>
                <w:rFonts w:ascii="Arial" w:eastAsia="Helvetica Neue" w:hAnsi="Arial" w:cs="Arial"/>
                <w:color w:val="FF0000"/>
                <w:sz w:val="16"/>
                <w:szCs w:val="16"/>
              </w:rPr>
            </w:pPr>
          </w:p>
        </w:tc>
      </w:tr>
      <w:tr w:rsidR="003D3FA9" w:rsidRPr="004A024A" w14:paraId="284B96D1" w14:textId="77777777" w:rsidTr="000B6CA2">
        <w:trPr>
          <w:trHeight w:val="810"/>
        </w:trPr>
        <w:tc>
          <w:tcPr>
            <w:tcW w:w="2232" w:type="dxa"/>
          </w:tcPr>
          <w:p w14:paraId="284B96CD" w14:textId="77777777" w:rsidR="003D3FA9" w:rsidRPr="004A024A" w:rsidRDefault="003D3FA9" w:rsidP="00BD60EB">
            <w:pPr>
              <w:spacing w:before="60" w:after="60"/>
              <w:rPr>
                <w:rFonts w:ascii="Arial" w:hAnsi="Arial" w:cs="Arial"/>
                <w:b/>
                <w:sz w:val="20"/>
                <w:szCs w:val="20"/>
              </w:rPr>
            </w:pPr>
            <w:r>
              <w:rPr>
                <w:rFonts w:ascii="Arial" w:hAnsi="Arial" w:cs="Arial"/>
                <w:b/>
                <w:sz w:val="20"/>
                <w:szCs w:val="20"/>
              </w:rPr>
              <w:t xml:space="preserve">Reference to </w:t>
            </w:r>
            <w:r w:rsidRPr="004A024A">
              <w:rPr>
                <w:rFonts w:ascii="Arial" w:hAnsi="Arial" w:cs="Arial"/>
                <w:b/>
                <w:sz w:val="20"/>
                <w:szCs w:val="20"/>
              </w:rPr>
              <w:t>Corpora</w:t>
            </w:r>
            <w:r>
              <w:rPr>
                <w:rFonts w:ascii="Arial" w:hAnsi="Arial" w:cs="Arial"/>
                <w:b/>
                <w:sz w:val="20"/>
                <w:szCs w:val="20"/>
              </w:rPr>
              <w:t>te Policies</w:t>
            </w:r>
          </w:p>
        </w:tc>
        <w:tc>
          <w:tcPr>
            <w:tcW w:w="8388" w:type="dxa"/>
            <w:gridSpan w:val="2"/>
          </w:tcPr>
          <w:p w14:paraId="284B96CE" w14:textId="77777777" w:rsidR="003D3FA9" w:rsidRDefault="003D3FA9" w:rsidP="00BD60EB">
            <w:pPr>
              <w:jc w:val="both"/>
              <w:rPr>
                <w:rFonts w:ascii="Arial" w:eastAsia="Helvetica Neue" w:hAnsi="Arial" w:cs="Arial"/>
                <w:color w:val="000000"/>
                <w:sz w:val="20"/>
                <w:szCs w:val="20"/>
              </w:rPr>
            </w:pPr>
          </w:p>
          <w:p w14:paraId="284B96CF" w14:textId="77777777" w:rsidR="003D3FA9" w:rsidRDefault="003D3FA9" w:rsidP="00BD60EB">
            <w:pPr>
              <w:jc w:val="both"/>
              <w:rPr>
                <w:rFonts w:ascii="Arial" w:eastAsia="Helvetica Neue" w:hAnsi="Arial" w:cs="Arial"/>
                <w:color w:val="000000"/>
                <w:sz w:val="20"/>
                <w:szCs w:val="20"/>
              </w:rPr>
            </w:pPr>
            <w:r>
              <w:rPr>
                <w:rFonts w:ascii="Arial" w:eastAsia="Helvetica Neue" w:hAnsi="Arial" w:cs="Arial"/>
                <w:color w:val="000000"/>
                <w:sz w:val="20"/>
                <w:szCs w:val="20"/>
              </w:rPr>
              <w:t>This Global Commercial Underwriting Standard document is subject to adherence to all relevant AIG Corporate Policies.</w:t>
            </w:r>
          </w:p>
          <w:p w14:paraId="284B96D0" w14:textId="77777777" w:rsidR="003D3FA9" w:rsidRPr="0024238D" w:rsidRDefault="003D3FA9" w:rsidP="00BD60EB">
            <w:pPr>
              <w:jc w:val="both"/>
              <w:rPr>
                <w:rFonts w:ascii="Arial" w:eastAsia="Helvetica Neue" w:hAnsi="Arial" w:cs="Arial"/>
                <w:color w:val="000000"/>
                <w:sz w:val="20"/>
                <w:szCs w:val="20"/>
              </w:rPr>
            </w:pPr>
          </w:p>
        </w:tc>
      </w:tr>
      <w:tr w:rsidR="003D3FA9" w:rsidRPr="004A024A" w14:paraId="284B96D4" w14:textId="77777777" w:rsidTr="000B6CA2">
        <w:trPr>
          <w:trHeight w:val="603"/>
        </w:trPr>
        <w:tc>
          <w:tcPr>
            <w:tcW w:w="2232" w:type="dxa"/>
          </w:tcPr>
          <w:p w14:paraId="284B96D2" w14:textId="77777777" w:rsidR="003D3FA9" w:rsidRPr="004A024A" w:rsidRDefault="003D3FA9" w:rsidP="003B4A02">
            <w:pPr>
              <w:spacing w:before="60" w:after="60"/>
              <w:rPr>
                <w:rFonts w:ascii="Arial" w:hAnsi="Arial" w:cs="Arial"/>
                <w:b/>
                <w:sz w:val="20"/>
                <w:szCs w:val="20"/>
              </w:rPr>
            </w:pPr>
            <w:r w:rsidRPr="004A024A">
              <w:rPr>
                <w:rFonts w:ascii="Arial" w:hAnsi="Arial" w:cs="Arial"/>
                <w:b/>
                <w:sz w:val="20"/>
                <w:szCs w:val="20"/>
              </w:rPr>
              <w:t>Updates</w:t>
            </w:r>
          </w:p>
        </w:tc>
        <w:tc>
          <w:tcPr>
            <w:tcW w:w="8388" w:type="dxa"/>
            <w:gridSpan w:val="2"/>
          </w:tcPr>
          <w:p w14:paraId="71556203" w14:textId="77777777" w:rsidR="003D3FA9" w:rsidRDefault="001C24B2">
            <w:pPr>
              <w:rPr>
                <w:rFonts w:ascii="Arial" w:hAnsi="Arial" w:cs="Arial"/>
                <w:i/>
                <w:iCs/>
                <w:color w:val="FF0000"/>
                <w:sz w:val="16"/>
                <w:szCs w:val="16"/>
              </w:rPr>
            </w:pPr>
            <w:r>
              <w:rPr>
                <w:rFonts w:ascii="Arial" w:hAnsi="Arial" w:cs="Arial"/>
                <w:i/>
                <w:iCs/>
                <w:color w:val="FF0000"/>
                <w:sz w:val="16"/>
                <w:szCs w:val="16"/>
              </w:rPr>
              <w:t>Oct 7, 2014   Updated reference to AIG PC Gifts and Entertainment Standard under “Other Acquisition Expenses”</w:t>
            </w:r>
          </w:p>
          <w:p w14:paraId="284B96D3" w14:textId="528976BD" w:rsidR="000B6CA2" w:rsidRPr="00427A89" w:rsidRDefault="000B6CA2">
            <w:pPr>
              <w:rPr>
                <w:rFonts w:ascii="Arial" w:hAnsi="Arial" w:cs="Arial"/>
                <w:i/>
                <w:iCs/>
                <w:color w:val="FF0000"/>
                <w:sz w:val="16"/>
                <w:szCs w:val="16"/>
              </w:rPr>
            </w:pPr>
            <w:r>
              <w:rPr>
                <w:rFonts w:ascii="Arial" w:hAnsi="Arial" w:cs="Arial"/>
                <w:i/>
                <w:iCs/>
                <w:color w:val="FF0000"/>
                <w:sz w:val="16"/>
                <w:szCs w:val="16"/>
              </w:rPr>
              <w:t xml:space="preserve">September 29, 2015: Template Updated. </w:t>
            </w:r>
          </w:p>
        </w:tc>
      </w:tr>
    </w:tbl>
    <w:p w14:paraId="284B96D5" w14:textId="77777777" w:rsidR="00871599" w:rsidRPr="00953A18" w:rsidRDefault="00871599" w:rsidP="000B6CA2"/>
    <w:sectPr w:rsidR="00871599" w:rsidRPr="00953A18" w:rsidSect="003E144F">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4B96DE" w14:textId="77777777" w:rsidR="00D360EA" w:rsidRDefault="00D360EA">
      <w:r>
        <w:separator/>
      </w:r>
    </w:p>
  </w:endnote>
  <w:endnote w:type="continuationSeparator" w:id="0">
    <w:p w14:paraId="284B96DF" w14:textId="77777777" w:rsidR="00D360EA" w:rsidRDefault="00D36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B96E0" w14:textId="77777777" w:rsidR="00033251" w:rsidRDefault="00033251" w:rsidP="00052C27">
    <w:pPr>
      <w:pStyle w:val="BodyTextIndent3"/>
      <w:pBdr>
        <w:left w:val="single" w:sz="8" w:space="18" w:color="auto"/>
      </w:pBdr>
      <w:ind w:left="0" w:right="-1260"/>
      <w:rPr>
        <w:rStyle w:val="PageNumber"/>
        <w:rFonts w:ascii="Arial" w:eastAsia="MS Mincho" w:hAnsi="Arial" w:cs="Arial"/>
        <w:lang w:eastAsia="ja-JP"/>
      </w:rPr>
    </w:pPr>
    <w:r w:rsidRPr="000E4826">
      <w:rPr>
        <w:rStyle w:val="PageNumber"/>
        <w:rFonts w:ascii="Arial" w:eastAsia="MS Mincho" w:hAnsi="Arial" w:cs="Arial"/>
        <w:lang w:eastAsia="ja-JP"/>
      </w:rPr>
      <w:t xml:space="preserve">Page </w:t>
    </w:r>
    <w:r w:rsidR="00EA68EF"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PAGE </w:instrText>
    </w:r>
    <w:r w:rsidR="00EA68EF" w:rsidRPr="000E4826">
      <w:rPr>
        <w:rStyle w:val="PageNumber"/>
        <w:rFonts w:ascii="Arial" w:eastAsia="MS Mincho" w:hAnsi="Arial" w:cs="Arial"/>
        <w:lang w:eastAsia="ja-JP"/>
      </w:rPr>
      <w:fldChar w:fldCharType="separate"/>
    </w:r>
    <w:r w:rsidR="00B71298">
      <w:rPr>
        <w:rStyle w:val="PageNumber"/>
        <w:rFonts w:ascii="Arial" w:eastAsia="MS Mincho" w:hAnsi="Arial" w:cs="Arial"/>
        <w:noProof/>
        <w:lang w:eastAsia="ja-JP"/>
      </w:rPr>
      <w:t>1</w:t>
    </w:r>
    <w:r w:rsidR="00EA68EF" w:rsidRPr="000E4826">
      <w:rPr>
        <w:rStyle w:val="PageNumber"/>
        <w:rFonts w:ascii="Arial" w:eastAsia="MS Mincho" w:hAnsi="Arial" w:cs="Arial"/>
        <w:lang w:eastAsia="ja-JP"/>
      </w:rPr>
      <w:fldChar w:fldCharType="end"/>
    </w:r>
    <w:r w:rsidRPr="000E4826">
      <w:rPr>
        <w:rStyle w:val="PageNumber"/>
        <w:rFonts w:ascii="Arial" w:eastAsia="MS Mincho" w:hAnsi="Arial" w:cs="Arial"/>
        <w:lang w:eastAsia="ja-JP"/>
      </w:rPr>
      <w:t xml:space="preserve"> of </w:t>
    </w:r>
    <w:r w:rsidR="00EA68EF"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NUMPAGES </w:instrText>
    </w:r>
    <w:r w:rsidR="00EA68EF" w:rsidRPr="000E4826">
      <w:rPr>
        <w:rStyle w:val="PageNumber"/>
        <w:rFonts w:ascii="Arial" w:eastAsia="MS Mincho" w:hAnsi="Arial" w:cs="Arial"/>
        <w:lang w:eastAsia="ja-JP"/>
      </w:rPr>
      <w:fldChar w:fldCharType="separate"/>
    </w:r>
    <w:r w:rsidR="00B71298">
      <w:rPr>
        <w:rStyle w:val="PageNumber"/>
        <w:rFonts w:ascii="Arial" w:eastAsia="MS Mincho" w:hAnsi="Arial" w:cs="Arial"/>
        <w:noProof/>
        <w:lang w:eastAsia="ja-JP"/>
      </w:rPr>
      <w:t>4</w:t>
    </w:r>
    <w:r w:rsidR="00EA68EF" w:rsidRPr="000E4826">
      <w:rPr>
        <w:rStyle w:val="PageNumber"/>
        <w:rFonts w:ascii="Arial" w:eastAsia="MS Mincho" w:hAnsi="Arial" w:cs="Arial"/>
        <w:lang w:eastAsia="ja-JP"/>
      </w:rPr>
      <w:fldChar w:fldCharType="end"/>
    </w:r>
  </w:p>
  <w:p w14:paraId="284B96E1" w14:textId="77777777" w:rsidR="00033251" w:rsidRPr="00871599" w:rsidRDefault="00033251"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Pr>
        <w:rFonts w:ascii="Arial Narrow" w:hAnsi="Arial Narrow"/>
      </w:rPr>
      <w:t>AIG</w:t>
    </w:r>
    <w:r w:rsidRPr="00871599">
      <w:rPr>
        <w:rFonts w:ascii="Arial Narrow" w:hAnsi="Arial Narrow"/>
      </w:rPr>
      <w:t xml:space="preserve"> and is intended for internal use only by </w:t>
    </w:r>
    <w:r>
      <w:rPr>
        <w:rFonts w:ascii="Arial Narrow" w:hAnsi="Arial Narrow"/>
      </w:rPr>
      <w:t>AIG</w:t>
    </w:r>
    <w:r w:rsidRPr="00871599">
      <w:rPr>
        <w:rFonts w:ascii="Arial Narrow" w:hAnsi="Arial Narrow"/>
      </w:rPr>
      <w:t xml:space="preserve"> 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Pr>
        <w:rFonts w:ascii="Arial Narrow" w:hAnsi="Arial Narrow"/>
      </w:rPr>
      <w:t>AIG</w:t>
    </w:r>
    <w:r w:rsidRPr="00871599">
      <w:rPr>
        <w:rFonts w:ascii="Arial Narrow" w:hAnsi="Arial Narrow"/>
      </w:rPr>
      <w:t xml:space="preserve"> is strictly prohibited.</w:t>
    </w:r>
    <w:r w:rsidRPr="00871599">
      <w:rPr>
        <w:rFonts w:ascii="Arial Narrow" w:hAnsi="Arial Narrow"/>
      </w:rPr>
      <w:br/>
      <w:t>Copyright © 201</w:t>
    </w:r>
    <w:r>
      <w:rPr>
        <w:rFonts w:ascii="Arial Narrow" w:hAnsi="Arial Narrow"/>
      </w:rPr>
      <w:t>3 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B96DC" w14:textId="77777777" w:rsidR="00D360EA" w:rsidRDefault="00D360EA">
      <w:r>
        <w:separator/>
      </w:r>
    </w:p>
  </w:footnote>
  <w:footnote w:type="continuationSeparator" w:id="0">
    <w:p w14:paraId="284B96DD" w14:textId="77777777" w:rsidR="00D360EA" w:rsidRDefault="00D360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4770"/>
      <w:gridCol w:w="5850"/>
    </w:tblGrid>
    <w:tr w:rsidR="000B6CA2" w14:paraId="48F391AE" w14:textId="77777777" w:rsidTr="00335743">
      <w:trPr>
        <w:trHeight w:val="288"/>
      </w:trPr>
      <w:tc>
        <w:tcPr>
          <w:tcW w:w="4770" w:type="dxa"/>
        </w:tcPr>
        <w:p w14:paraId="65F43EC0" w14:textId="775BF94E" w:rsidR="000B6CA2" w:rsidRPr="008B153A" w:rsidRDefault="000B6CA2" w:rsidP="00335743">
          <w:pPr>
            <w:pStyle w:val="Header"/>
            <w:rPr>
              <w:rFonts w:ascii="Cambria" w:hAnsi="Cambria"/>
              <w:sz w:val="36"/>
              <w:szCs w:val="36"/>
            </w:rPr>
          </w:pPr>
          <w:r>
            <w:rPr>
              <w:noProof/>
            </w:rPr>
            <w:drawing>
              <wp:inline distT="0" distB="0" distL="0" distR="0" wp14:anchorId="77A73DA1" wp14:editId="0813B6E4">
                <wp:extent cx="1352550" cy="733425"/>
                <wp:effectExtent l="0" t="0" r="0" b="0"/>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5850" w:type="dxa"/>
          <w:vAlign w:val="bottom"/>
        </w:tcPr>
        <w:p w14:paraId="66182FED" w14:textId="35F3BD6C" w:rsidR="000B6CA2" w:rsidRPr="00335743" w:rsidRDefault="000B6CA2" w:rsidP="00335743">
          <w:pPr>
            <w:pStyle w:val="Header"/>
            <w:ind w:hanging="115"/>
            <w:jc w:val="right"/>
            <w:rPr>
              <w:rFonts w:ascii="AIG Futura" w:hAnsi="AIG Futura"/>
              <w:b/>
              <w:bCs/>
              <w:smallCaps/>
              <w:color w:val="000000" w:themeColor="text1"/>
              <w:sz w:val="44"/>
              <w:szCs w:val="44"/>
            </w:rPr>
          </w:pPr>
          <w:r w:rsidRPr="00335743">
            <w:rPr>
              <w:rFonts w:ascii="AIG Futura" w:hAnsi="AIG Futura"/>
              <w:b/>
              <w:bCs/>
              <w:smallCaps/>
              <w:color w:val="000000" w:themeColor="text1"/>
              <w:sz w:val="44"/>
              <w:szCs w:val="44"/>
            </w:rPr>
            <w:t>Producer Compensation</w:t>
          </w:r>
        </w:p>
      </w:tc>
    </w:tr>
  </w:tbl>
  <w:p w14:paraId="2EEDD8F8" w14:textId="5942EDBC" w:rsidR="000B6CA2" w:rsidRPr="000B6CA2" w:rsidRDefault="000B6CA2">
    <w:pPr>
      <w:pStyle w:val="Header"/>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C17BE"/>
    <w:multiLevelType w:val="hybridMultilevel"/>
    <w:tmpl w:val="FF7CD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F56F48"/>
    <w:multiLevelType w:val="hybridMultilevel"/>
    <w:tmpl w:val="D114A676"/>
    <w:lvl w:ilvl="0" w:tplc="9E7C82E0">
      <w:start w:val="1"/>
      <w:numFmt w:val="decimal"/>
      <w:lvlText w:val="%1."/>
      <w:lvlJc w:val="left"/>
      <w:pPr>
        <w:tabs>
          <w:tab w:val="num" w:pos="720"/>
        </w:tabs>
        <w:ind w:left="720" w:hanging="360"/>
      </w:pPr>
    </w:lvl>
    <w:lvl w:ilvl="1" w:tplc="618219B6" w:tentative="1">
      <w:start w:val="1"/>
      <w:numFmt w:val="decimal"/>
      <w:lvlText w:val="%2."/>
      <w:lvlJc w:val="left"/>
      <w:pPr>
        <w:tabs>
          <w:tab w:val="num" w:pos="1440"/>
        </w:tabs>
        <w:ind w:left="1440" w:hanging="360"/>
      </w:pPr>
    </w:lvl>
    <w:lvl w:ilvl="2" w:tplc="E3DE7BF4" w:tentative="1">
      <w:start w:val="1"/>
      <w:numFmt w:val="decimal"/>
      <w:lvlText w:val="%3."/>
      <w:lvlJc w:val="left"/>
      <w:pPr>
        <w:tabs>
          <w:tab w:val="num" w:pos="2160"/>
        </w:tabs>
        <w:ind w:left="2160" w:hanging="360"/>
      </w:pPr>
    </w:lvl>
    <w:lvl w:ilvl="3" w:tplc="DB562C56" w:tentative="1">
      <w:start w:val="1"/>
      <w:numFmt w:val="decimal"/>
      <w:lvlText w:val="%4."/>
      <w:lvlJc w:val="left"/>
      <w:pPr>
        <w:tabs>
          <w:tab w:val="num" w:pos="2880"/>
        </w:tabs>
        <w:ind w:left="2880" w:hanging="360"/>
      </w:pPr>
    </w:lvl>
    <w:lvl w:ilvl="4" w:tplc="3F94617A" w:tentative="1">
      <w:start w:val="1"/>
      <w:numFmt w:val="decimal"/>
      <w:lvlText w:val="%5."/>
      <w:lvlJc w:val="left"/>
      <w:pPr>
        <w:tabs>
          <w:tab w:val="num" w:pos="3600"/>
        </w:tabs>
        <w:ind w:left="3600" w:hanging="360"/>
      </w:pPr>
    </w:lvl>
    <w:lvl w:ilvl="5" w:tplc="F7868408" w:tentative="1">
      <w:start w:val="1"/>
      <w:numFmt w:val="decimal"/>
      <w:lvlText w:val="%6."/>
      <w:lvlJc w:val="left"/>
      <w:pPr>
        <w:tabs>
          <w:tab w:val="num" w:pos="4320"/>
        </w:tabs>
        <w:ind w:left="4320" w:hanging="360"/>
      </w:pPr>
    </w:lvl>
    <w:lvl w:ilvl="6" w:tplc="A52E47A6" w:tentative="1">
      <w:start w:val="1"/>
      <w:numFmt w:val="decimal"/>
      <w:lvlText w:val="%7."/>
      <w:lvlJc w:val="left"/>
      <w:pPr>
        <w:tabs>
          <w:tab w:val="num" w:pos="5040"/>
        </w:tabs>
        <w:ind w:left="5040" w:hanging="360"/>
      </w:pPr>
    </w:lvl>
    <w:lvl w:ilvl="7" w:tplc="09742544" w:tentative="1">
      <w:start w:val="1"/>
      <w:numFmt w:val="decimal"/>
      <w:lvlText w:val="%8."/>
      <w:lvlJc w:val="left"/>
      <w:pPr>
        <w:tabs>
          <w:tab w:val="num" w:pos="5760"/>
        </w:tabs>
        <w:ind w:left="5760" w:hanging="360"/>
      </w:pPr>
    </w:lvl>
    <w:lvl w:ilvl="8" w:tplc="EE18BA9E" w:tentative="1">
      <w:start w:val="1"/>
      <w:numFmt w:val="decimal"/>
      <w:lvlText w:val="%9."/>
      <w:lvlJc w:val="left"/>
      <w:pPr>
        <w:tabs>
          <w:tab w:val="num" w:pos="6480"/>
        </w:tabs>
        <w:ind w:left="6480" w:hanging="360"/>
      </w:pPr>
    </w:lvl>
  </w:abstractNum>
  <w:abstractNum w:abstractNumId="3">
    <w:nsid w:val="10070033"/>
    <w:multiLevelType w:val="hybridMultilevel"/>
    <w:tmpl w:val="3AB822C8"/>
    <w:lvl w:ilvl="0" w:tplc="AB46409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97DAD"/>
    <w:multiLevelType w:val="hybridMultilevel"/>
    <w:tmpl w:val="6A8CD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E036ED"/>
    <w:multiLevelType w:val="hybridMultilevel"/>
    <w:tmpl w:val="C6289D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A7E66A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84429A4"/>
    <w:multiLevelType w:val="hybridMultilevel"/>
    <w:tmpl w:val="82CE9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81309A8"/>
    <w:multiLevelType w:val="hybridMultilevel"/>
    <w:tmpl w:val="3DA8B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BDD08F8"/>
    <w:multiLevelType w:val="hybridMultilevel"/>
    <w:tmpl w:val="55423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C655F70"/>
    <w:multiLevelType w:val="hybridMultilevel"/>
    <w:tmpl w:val="552013C2"/>
    <w:lvl w:ilvl="0" w:tplc="919A259A">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B61144"/>
    <w:multiLevelType w:val="hybridMultilevel"/>
    <w:tmpl w:val="CA40976E"/>
    <w:lvl w:ilvl="0" w:tplc="919A259A">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7DDB7BAC"/>
    <w:multiLevelType w:val="hybridMultilevel"/>
    <w:tmpl w:val="76724D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3"/>
  </w:num>
  <w:num w:numId="3">
    <w:abstractNumId w:val="6"/>
  </w:num>
  <w:num w:numId="4">
    <w:abstractNumId w:val="12"/>
  </w:num>
  <w:num w:numId="5">
    <w:abstractNumId w:val="9"/>
  </w:num>
  <w:num w:numId="6">
    <w:abstractNumId w:val="8"/>
  </w:num>
  <w:num w:numId="7">
    <w:abstractNumId w:val="0"/>
  </w:num>
  <w:num w:numId="8">
    <w:abstractNumId w:val="22"/>
  </w:num>
  <w:num w:numId="9">
    <w:abstractNumId w:val="18"/>
  </w:num>
  <w:num w:numId="10">
    <w:abstractNumId w:val="17"/>
  </w:num>
  <w:num w:numId="11">
    <w:abstractNumId w:val="2"/>
  </w:num>
  <w:num w:numId="12">
    <w:abstractNumId w:val="21"/>
  </w:num>
  <w:num w:numId="13">
    <w:abstractNumId w:val="15"/>
  </w:num>
  <w:num w:numId="14">
    <w:abstractNumId w:val="4"/>
  </w:num>
  <w:num w:numId="15">
    <w:abstractNumId w:val="14"/>
  </w:num>
  <w:num w:numId="16">
    <w:abstractNumId w:val="10"/>
  </w:num>
  <w:num w:numId="17">
    <w:abstractNumId w:val="16"/>
  </w:num>
  <w:num w:numId="18">
    <w:abstractNumId w:val="20"/>
  </w:num>
  <w:num w:numId="19">
    <w:abstractNumId w:val="5"/>
  </w:num>
  <w:num w:numId="20">
    <w:abstractNumId w:val="3"/>
  </w:num>
  <w:num w:numId="21">
    <w:abstractNumId w:val="7"/>
  </w:num>
  <w:num w:numId="22">
    <w:abstractNumId w:val="11"/>
  </w:num>
  <w:num w:numId="23">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F8E"/>
    <w:rsid w:val="0000311B"/>
    <w:rsid w:val="0000504F"/>
    <w:rsid w:val="00005070"/>
    <w:rsid w:val="0000507F"/>
    <w:rsid w:val="00005502"/>
    <w:rsid w:val="00005602"/>
    <w:rsid w:val="00005CC0"/>
    <w:rsid w:val="0000600C"/>
    <w:rsid w:val="000060D5"/>
    <w:rsid w:val="00006D39"/>
    <w:rsid w:val="00007505"/>
    <w:rsid w:val="0000773D"/>
    <w:rsid w:val="00010380"/>
    <w:rsid w:val="00010CAB"/>
    <w:rsid w:val="00010F10"/>
    <w:rsid w:val="00011075"/>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20CAF"/>
    <w:rsid w:val="00020D73"/>
    <w:rsid w:val="000215BE"/>
    <w:rsid w:val="0002174B"/>
    <w:rsid w:val="00022157"/>
    <w:rsid w:val="000226AE"/>
    <w:rsid w:val="000228D6"/>
    <w:rsid w:val="0002390E"/>
    <w:rsid w:val="00023921"/>
    <w:rsid w:val="000247C9"/>
    <w:rsid w:val="00026353"/>
    <w:rsid w:val="00027084"/>
    <w:rsid w:val="00027251"/>
    <w:rsid w:val="000311E5"/>
    <w:rsid w:val="00031A6E"/>
    <w:rsid w:val="00031E06"/>
    <w:rsid w:val="00031E2E"/>
    <w:rsid w:val="00031E85"/>
    <w:rsid w:val="0003229B"/>
    <w:rsid w:val="000322E9"/>
    <w:rsid w:val="000325BF"/>
    <w:rsid w:val="00033251"/>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AE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0498"/>
    <w:rsid w:val="00080635"/>
    <w:rsid w:val="00081807"/>
    <w:rsid w:val="0008186F"/>
    <w:rsid w:val="00081AAA"/>
    <w:rsid w:val="00081B0C"/>
    <w:rsid w:val="00081F76"/>
    <w:rsid w:val="000824F9"/>
    <w:rsid w:val="00082682"/>
    <w:rsid w:val="000829C4"/>
    <w:rsid w:val="000834CB"/>
    <w:rsid w:val="000838EF"/>
    <w:rsid w:val="0008481C"/>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3C96"/>
    <w:rsid w:val="0009489D"/>
    <w:rsid w:val="00094A32"/>
    <w:rsid w:val="00094DE9"/>
    <w:rsid w:val="000951FF"/>
    <w:rsid w:val="0009550A"/>
    <w:rsid w:val="00095593"/>
    <w:rsid w:val="00095A3B"/>
    <w:rsid w:val="00096277"/>
    <w:rsid w:val="0009649E"/>
    <w:rsid w:val="00096646"/>
    <w:rsid w:val="000A00DD"/>
    <w:rsid w:val="000A03C0"/>
    <w:rsid w:val="000A0591"/>
    <w:rsid w:val="000A05F6"/>
    <w:rsid w:val="000A071E"/>
    <w:rsid w:val="000A152F"/>
    <w:rsid w:val="000A1F47"/>
    <w:rsid w:val="000A2AAC"/>
    <w:rsid w:val="000A2BD0"/>
    <w:rsid w:val="000A307B"/>
    <w:rsid w:val="000A505F"/>
    <w:rsid w:val="000A6282"/>
    <w:rsid w:val="000A6CB4"/>
    <w:rsid w:val="000A799E"/>
    <w:rsid w:val="000A7BD9"/>
    <w:rsid w:val="000B0A21"/>
    <w:rsid w:val="000B0BA0"/>
    <w:rsid w:val="000B154C"/>
    <w:rsid w:val="000B1974"/>
    <w:rsid w:val="000B19CF"/>
    <w:rsid w:val="000B19FB"/>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6CA2"/>
    <w:rsid w:val="000B7091"/>
    <w:rsid w:val="000B70EF"/>
    <w:rsid w:val="000B7C59"/>
    <w:rsid w:val="000C070D"/>
    <w:rsid w:val="000C0FD4"/>
    <w:rsid w:val="000C116B"/>
    <w:rsid w:val="000C1244"/>
    <w:rsid w:val="000C2E9F"/>
    <w:rsid w:val="000C34C2"/>
    <w:rsid w:val="000C3BE4"/>
    <w:rsid w:val="000C447C"/>
    <w:rsid w:val="000C5D56"/>
    <w:rsid w:val="000C6CD6"/>
    <w:rsid w:val="000C6E40"/>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C2C"/>
    <w:rsid w:val="000D5C4E"/>
    <w:rsid w:val="000D5E29"/>
    <w:rsid w:val="000D6899"/>
    <w:rsid w:val="000D752D"/>
    <w:rsid w:val="000D7D21"/>
    <w:rsid w:val="000E0341"/>
    <w:rsid w:val="000E0618"/>
    <w:rsid w:val="000E19D2"/>
    <w:rsid w:val="000E2036"/>
    <w:rsid w:val="000E26FD"/>
    <w:rsid w:val="000E3BA3"/>
    <w:rsid w:val="000E4826"/>
    <w:rsid w:val="000E49A1"/>
    <w:rsid w:val="000E5861"/>
    <w:rsid w:val="000E5A2A"/>
    <w:rsid w:val="000E6407"/>
    <w:rsid w:val="000E7329"/>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0A5"/>
    <w:rsid w:val="001075C8"/>
    <w:rsid w:val="0011053D"/>
    <w:rsid w:val="001105E3"/>
    <w:rsid w:val="00111677"/>
    <w:rsid w:val="001119B4"/>
    <w:rsid w:val="00112126"/>
    <w:rsid w:val="00113C52"/>
    <w:rsid w:val="00114D69"/>
    <w:rsid w:val="001150A3"/>
    <w:rsid w:val="00115228"/>
    <w:rsid w:val="001168D1"/>
    <w:rsid w:val="00116995"/>
    <w:rsid w:val="001169B8"/>
    <w:rsid w:val="0011730B"/>
    <w:rsid w:val="00117765"/>
    <w:rsid w:val="001178C9"/>
    <w:rsid w:val="00117DC7"/>
    <w:rsid w:val="0012024C"/>
    <w:rsid w:val="001204B9"/>
    <w:rsid w:val="00120A37"/>
    <w:rsid w:val="00120FFD"/>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74B"/>
    <w:rsid w:val="00127C60"/>
    <w:rsid w:val="00127FCC"/>
    <w:rsid w:val="001303BB"/>
    <w:rsid w:val="00130EBF"/>
    <w:rsid w:val="00131280"/>
    <w:rsid w:val="0013159C"/>
    <w:rsid w:val="00131B3D"/>
    <w:rsid w:val="00131DF8"/>
    <w:rsid w:val="00132302"/>
    <w:rsid w:val="00132598"/>
    <w:rsid w:val="00132642"/>
    <w:rsid w:val="00132B6C"/>
    <w:rsid w:val="00132EAA"/>
    <w:rsid w:val="001334B9"/>
    <w:rsid w:val="001340DF"/>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2A6"/>
    <w:rsid w:val="00143339"/>
    <w:rsid w:val="001439C5"/>
    <w:rsid w:val="001439E0"/>
    <w:rsid w:val="00143E9F"/>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181"/>
    <w:rsid w:val="001544A9"/>
    <w:rsid w:val="0015523A"/>
    <w:rsid w:val="00155527"/>
    <w:rsid w:val="00155925"/>
    <w:rsid w:val="00155E6D"/>
    <w:rsid w:val="001568B2"/>
    <w:rsid w:val="00156BE3"/>
    <w:rsid w:val="00156D1C"/>
    <w:rsid w:val="001578C5"/>
    <w:rsid w:val="00157948"/>
    <w:rsid w:val="00157B10"/>
    <w:rsid w:val="00157CB2"/>
    <w:rsid w:val="0016082D"/>
    <w:rsid w:val="00160BB1"/>
    <w:rsid w:val="00161309"/>
    <w:rsid w:val="001619B6"/>
    <w:rsid w:val="00161AB9"/>
    <w:rsid w:val="00161ABD"/>
    <w:rsid w:val="00161B02"/>
    <w:rsid w:val="00161E74"/>
    <w:rsid w:val="001626AA"/>
    <w:rsid w:val="0016279A"/>
    <w:rsid w:val="00162E7E"/>
    <w:rsid w:val="00163283"/>
    <w:rsid w:val="001641CC"/>
    <w:rsid w:val="00164962"/>
    <w:rsid w:val="00164C30"/>
    <w:rsid w:val="00165B43"/>
    <w:rsid w:val="00165BD7"/>
    <w:rsid w:val="001664F9"/>
    <w:rsid w:val="00166771"/>
    <w:rsid w:val="00166AF0"/>
    <w:rsid w:val="00167149"/>
    <w:rsid w:val="001672AD"/>
    <w:rsid w:val="0016743C"/>
    <w:rsid w:val="00170039"/>
    <w:rsid w:val="00170246"/>
    <w:rsid w:val="001710F1"/>
    <w:rsid w:val="00171239"/>
    <w:rsid w:val="00171D79"/>
    <w:rsid w:val="0017243C"/>
    <w:rsid w:val="00172745"/>
    <w:rsid w:val="0017305E"/>
    <w:rsid w:val="00173BA4"/>
    <w:rsid w:val="00173F7B"/>
    <w:rsid w:val="00173F86"/>
    <w:rsid w:val="00173FEE"/>
    <w:rsid w:val="0017435D"/>
    <w:rsid w:val="0017436C"/>
    <w:rsid w:val="001743D9"/>
    <w:rsid w:val="0017454D"/>
    <w:rsid w:val="00174F9B"/>
    <w:rsid w:val="0017504D"/>
    <w:rsid w:val="00175C55"/>
    <w:rsid w:val="00175E5D"/>
    <w:rsid w:val="00176238"/>
    <w:rsid w:val="00176459"/>
    <w:rsid w:val="00176614"/>
    <w:rsid w:val="00176BBA"/>
    <w:rsid w:val="001772EA"/>
    <w:rsid w:val="0017791F"/>
    <w:rsid w:val="00180689"/>
    <w:rsid w:val="00180CBB"/>
    <w:rsid w:val="00180EF6"/>
    <w:rsid w:val="00181222"/>
    <w:rsid w:val="00181381"/>
    <w:rsid w:val="001813E2"/>
    <w:rsid w:val="00181751"/>
    <w:rsid w:val="00182CBF"/>
    <w:rsid w:val="00182D55"/>
    <w:rsid w:val="0018345A"/>
    <w:rsid w:val="001836F9"/>
    <w:rsid w:val="00183768"/>
    <w:rsid w:val="00183A07"/>
    <w:rsid w:val="00183B32"/>
    <w:rsid w:val="00183DA1"/>
    <w:rsid w:val="0018454D"/>
    <w:rsid w:val="0018473A"/>
    <w:rsid w:val="00184A0E"/>
    <w:rsid w:val="00184CFE"/>
    <w:rsid w:val="00185209"/>
    <w:rsid w:val="001852B7"/>
    <w:rsid w:val="00185A65"/>
    <w:rsid w:val="00186189"/>
    <w:rsid w:val="001867CB"/>
    <w:rsid w:val="0018689C"/>
    <w:rsid w:val="00186BDF"/>
    <w:rsid w:val="00187374"/>
    <w:rsid w:val="00190045"/>
    <w:rsid w:val="00190370"/>
    <w:rsid w:val="0019054F"/>
    <w:rsid w:val="00190DDC"/>
    <w:rsid w:val="00190E46"/>
    <w:rsid w:val="00190EF7"/>
    <w:rsid w:val="00191BAC"/>
    <w:rsid w:val="001925C4"/>
    <w:rsid w:val="0019310C"/>
    <w:rsid w:val="00193516"/>
    <w:rsid w:val="00193FF1"/>
    <w:rsid w:val="00194836"/>
    <w:rsid w:val="00194B08"/>
    <w:rsid w:val="00194C80"/>
    <w:rsid w:val="00194E5A"/>
    <w:rsid w:val="00194E92"/>
    <w:rsid w:val="001958DB"/>
    <w:rsid w:val="00195A07"/>
    <w:rsid w:val="001966FA"/>
    <w:rsid w:val="001971A5"/>
    <w:rsid w:val="001971D5"/>
    <w:rsid w:val="001978A3"/>
    <w:rsid w:val="00197A56"/>
    <w:rsid w:val="00197DAB"/>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6A3"/>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B2C"/>
    <w:rsid w:val="001B7592"/>
    <w:rsid w:val="001C0278"/>
    <w:rsid w:val="001C1344"/>
    <w:rsid w:val="001C24B2"/>
    <w:rsid w:val="001C28F0"/>
    <w:rsid w:val="001C35AF"/>
    <w:rsid w:val="001C3638"/>
    <w:rsid w:val="001C3AAC"/>
    <w:rsid w:val="001C3C13"/>
    <w:rsid w:val="001C4A29"/>
    <w:rsid w:val="001C4B8D"/>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60A"/>
    <w:rsid w:val="001E7A09"/>
    <w:rsid w:val="001E7D8B"/>
    <w:rsid w:val="001E7F4A"/>
    <w:rsid w:val="001E7F95"/>
    <w:rsid w:val="001F017C"/>
    <w:rsid w:val="001F054D"/>
    <w:rsid w:val="001F0D4C"/>
    <w:rsid w:val="001F0DEE"/>
    <w:rsid w:val="001F0E04"/>
    <w:rsid w:val="001F106F"/>
    <w:rsid w:val="001F15C2"/>
    <w:rsid w:val="001F2084"/>
    <w:rsid w:val="001F4332"/>
    <w:rsid w:val="001F4ED9"/>
    <w:rsid w:val="001F5457"/>
    <w:rsid w:val="001F608C"/>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743"/>
    <w:rsid w:val="002068C3"/>
    <w:rsid w:val="002074FF"/>
    <w:rsid w:val="00210288"/>
    <w:rsid w:val="0021173B"/>
    <w:rsid w:val="00212508"/>
    <w:rsid w:val="00212FEE"/>
    <w:rsid w:val="00213253"/>
    <w:rsid w:val="002138AE"/>
    <w:rsid w:val="00214595"/>
    <w:rsid w:val="00214681"/>
    <w:rsid w:val="00214715"/>
    <w:rsid w:val="00214BB9"/>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848"/>
    <w:rsid w:val="00223A65"/>
    <w:rsid w:val="00224E2E"/>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3E14"/>
    <w:rsid w:val="00243EB7"/>
    <w:rsid w:val="002452F0"/>
    <w:rsid w:val="00245511"/>
    <w:rsid w:val="0024696C"/>
    <w:rsid w:val="002471C9"/>
    <w:rsid w:val="0025006B"/>
    <w:rsid w:val="0025007B"/>
    <w:rsid w:val="00250383"/>
    <w:rsid w:val="00250D18"/>
    <w:rsid w:val="00250E60"/>
    <w:rsid w:val="00251B16"/>
    <w:rsid w:val="00251C8B"/>
    <w:rsid w:val="00252D71"/>
    <w:rsid w:val="002530AB"/>
    <w:rsid w:val="00253A7C"/>
    <w:rsid w:val="00253AAC"/>
    <w:rsid w:val="00253F5E"/>
    <w:rsid w:val="0025447B"/>
    <w:rsid w:val="00254729"/>
    <w:rsid w:val="00255682"/>
    <w:rsid w:val="00255869"/>
    <w:rsid w:val="00255B52"/>
    <w:rsid w:val="00255D9E"/>
    <w:rsid w:val="002575C9"/>
    <w:rsid w:val="00257A4E"/>
    <w:rsid w:val="002601DB"/>
    <w:rsid w:val="00261206"/>
    <w:rsid w:val="00261779"/>
    <w:rsid w:val="00261D32"/>
    <w:rsid w:val="0026331B"/>
    <w:rsid w:val="00263B88"/>
    <w:rsid w:val="00263EB0"/>
    <w:rsid w:val="002649B9"/>
    <w:rsid w:val="00265733"/>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0E"/>
    <w:rsid w:val="00275458"/>
    <w:rsid w:val="00275CD6"/>
    <w:rsid w:val="002760D8"/>
    <w:rsid w:val="00276124"/>
    <w:rsid w:val="00276BC5"/>
    <w:rsid w:val="00277220"/>
    <w:rsid w:val="0027735D"/>
    <w:rsid w:val="0027789D"/>
    <w:rsid w:val="002802E5"/>
    <w:rsid w:val="002819AE"/>
    <w:rsid w:val="00281BDC"/>
    <w:rsid w:val="00281C06"/>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19A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64F"/>
    <w:rsid w:val="002B47A2"/>
    <w:rsid w:val="002B47C2"/>
    <w:rsid w:val="002B54EA"/>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C03"/>
    <w:rsid w:val="002C5EC8"/>
    <w:rsid w:val="002C687C"/>
    <w:rsid w:val="002C708F"/>
    <w:rsid w:val="002C75A6"/>
    <w:rsid w:val="002C77B7"/>
    <w:rsid w:val="002C7B59"/>
    <w:rsid w:val="002C7DF5"/>
    <w:rsid w:val="002D04DD"/>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798"/>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3877"/>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0DBB"/>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10A2C"/>
    <w:rsid w:val="00310ACC"/>
    <w:rsid w:val="00310CEF"/>
    <w:rsid w:val="003116B2"/>
    <w:rsid w:val="00311A93"/>
    <w:rsid w:val="003123BD"/>
    <w:rsid w:val="00312C99"/>
    <w:rsid w:val="00312FB6"/>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17F82"/>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A22"/>
    <w:rsid w:val="00326F39"/>
    <w:rsid w:val="00327227"/>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4362"/>
    <w:rsid w:val="0033507E"/>
    <w:rsid w:val="00335097"/>
    <w:rsid w:val="00335743"/>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3F41"/>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60811"/>
    <w:rsid w:val="0036105C"/>
    <w:rsid w:val="00361E9A"/>
    <w:rsid w:val="0036393C"/>
    <w:rsid w:val="00366435"/>
    <w:rsid w:val="00366769"/>
    <w:rsid w:val="00366F30"/>
    <w:rsid w:val="003673E8"/>
    <w:rsid w:val="003675C3"/>
    <w:rsid w:val="00367E7B"/>
    <w:rsid w:val="003700EA"/>
    <w:rsid w:val="003705DE"/>
    <w:rsid w:val="0037090A"/>
    <w:rsid w:val="0037099F"/>
    <w:rsid w:val="00370A55"/>
    <w:rsid w:val="003713AF"/>
    <w:rsid w:val="00371D38"/>
    <w:rsid w:val="003724EC"/>
    <w:rsid w:val="003731DC"/>
    <w:rsid w:val="0037452B"/>
    <w:rsid w:val="00374DE8"/>
    <w:rsid w:val="003755B3"/>
    <w:rsid w:val="00375F36"/>
    <w:rsid w:val="00376E5F"/>
    <w:rsid w:val="00376EDD"/>
    <w:rsid w:val="00377344"/>
    <w:rsid w:val="00377417"/>
    <w:rsid w:val="00377522"/>
    <w:rsid w:val="00377D00"/>
    <w:rsid w:val="00380B9F"/>
    <w:rsid w:val="003816CC"/>
    <w:rsid w:val="003818CA"/>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51C"/>
    <w:rsid w:val="003A47DD"/>
    <w:rsid w:val="003A4E70"/>
    <w:rsid w:val="003A5410"/>
    <w:rsid w:val="003A580E"/>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CB8"/>
    <w:rsid w:val="003C5DF6"/>
    <w:rsid w:val="003C615C"/>
    <w:rsid w:val="003C617A"/>
    <w:rsid w:val="003C6686"/>
    <w:rsid w:val="003C68C6"/>
    <w:rsid w:val="003C6D34"/>
    <w:rsid w:val="003C7E32"/>
    <w:rsid w:val="003D032A"/>
    <w:rsid w:val="003D10A8"/>
    <w:rsid w:val="003D1AA6"/>
    <w:rsid w:val="003D27CC"/>
    <w:rsid w:val="003D2B2C"/>
    <w:rsid w:val="003D330D"/>
    <w:rsid w:val="003D39D7"/>
    <w:rsid w:val="003D3FA9"/>
    <w:rsid w:val="003D4424"/>
    <w:rsid w:val="003D4BC5"/>
    <w:rsid w:val="003D4D2C"/>
    <w:rsid w:val="003D5719"/>
    <w:rsid w:val="003D5966"/>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357D"/>
    <w:rsid w:val="003E39E1"/>
    <w:rsid w:val="003E4F35"/>
    <w:rsid w:val="003E5465"/>
    <w:rsid w:val="003E5B38"/>
    <w:rsid w:val="003E5B3A"/>
    <w:rsid w:val="003E6126"/>
    <w:rsid w:val="003E6653"/>
    <w:rsid w:val="003E6839"/>
    <w:rsid w:val="003E6C63"/>
    <w:rsid w:val="003E6E23"/>
    <w:rsid w:val="003E7464"/>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ED7"/>
    <w:rsid w:val="0040254A"/>
    <w:rsid w:val="00402623"/>
    <w:rsid w:val="00403537"/>
    <w:rsid w:val="0040376B"/>
    <w:rsid w:val="00404B6B"/>
    <w:rsid w:val="00404EEB"/>
    <w:rsid w:val="00406A13"/>
    <w:rsid w:val="00406E1B"/>
    <w:rsid w:val="00407177"/>
    <w:rsid w:val="00410905"/>
    <w:rsid w:val="0041137A"/>
    <w:rsid w:val="004126C7"/>
    <w:rsid w:val="00413002"/>
    <w:rsid w:val="00413193"/>
    <w:rsid w:val="00413A4B"/>
    <w:rsid w:val="004140C1"/>
    <w:rsid w:val="004144B0"/>
    <w:rsid w:val="00414B6D"/>
    <w:rsid w:val="00414FD6"/>
    <w:rsid w:val="004153A0"/>
    <w:rsid w:val="0041572C"/>
    <w:rsid w:val="00415ED5"/>
    <w:rsid w:val="00416106"/>
    <w:rsid w:val="00416596"/>
    <w:rsid w:val="00417503"/>
    <w:rsid w:val="004204F2"/>
    <w:rsid w:val="00420A47"/>
    <w:rsid w:val="00420D63"/>
    <w:rsid w:val="00420FB8"/>
    <w:rsid w:val="004211E1"/>
    <w:rsid w:val="0042197E"/>
    <w:rsid w:val="00421B24"/>
    <w:rsid w:val="0042258E"/>
    <w:rsid w:val="00422E88"/>
    <w:rsid w:val="00423AFD"/>
    <w:rsid w:val="00424817"/>
    <w:rsid w:val="00424CF3"/>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CA"/>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4288"/>
    <w:rsid w:val="004444E1"/>
    <w:rsid w:val="004452EC"/>
    <w:rsid w:val="0044551B"/>
    <w:rsid w:val="00445BD4"/>
    <w:rsid w:val="00445C7E"/>
    <w:rsid w:val="0044651B"/>
    <w:rsid w:val="004467FE"/>
    <w:rsid w:val="00446E95"/>
    <w:rsid w:val="00446FA3"/>
    <w:rsid w:val="00447D23"/>
    <w:rsid w:val="0045029C"/>
    <w:rsid w:val="00450BB4"/>
    <w:rsid w:val="00451D0D"/>
    <w:rsid w:val="00452346"/>
    <w:rsid w:val="004527CC"/>
    <w:rsid w:val="004531FC"/>
    <w:rsid w:val="00453393"/>
    <w:rsid w:val="00453844"/>
    <w:rsid w:val="00455220"/>
    <w:rsid w:val="004555B4"/>
    <w:rsid w:val="0045580C"/>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29EE"/>
    <w:rsid w:val="00462C0A"/>
    <w:rsid w:val="0046312D"/>
    <w:rsid w:val="00463677"/>
    <w:rsid w:val="00463FA1"/>
    <w:rsid w:val="0046560B"/>
    <w:rsid w:val="00466BDF"/>
    <w:rsid w:val="00467210"/>
    <w:rsid w:val="00467DD1"/>
    <w:rsid w:val="0047057A"/>
    <w:rsid w:val="0047175C"/>
    <w:rsid w:val="0047211E"/>
    <w:rsid w:val="0047287F"/>
    <w:rsid w:val="004729C5"/>
    <w:rsid w:val="004730B5"/>
    <w:rsid w:val="004732C5"/>
    <w:rsid w:val="00473663"/>
    <w:rsid w:val="00473E60"/>
    <w:rsid w:val="00474A10"/>
    <w:rsid w:val="00474FAF"/>
    <w:rsid w:val="0047517E"/>
    <w:rsid w:val="004753B0"/>
    <w:rsid w:val="004754AD"/>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40A"/>
    <w:rsid w:val="0048380D"/>
    <w:rsid w:val="00483D42"/>
    <w:rsid w:val="00483E1C"/>
    <w:rsid w:val="00484432"/>
    <w:rsid w:val="0048577A"/>
    <w:rsid w:val="00485E37"/>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4CAA"/>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2E0F"/>
    <w:rsid w:val="004B38CC"/>
    <w:rsid w:val="004B399F"/>
    <w:rsid w:val="004B39D3"/>
    <w:rsid w:val="004B3A5C"/>
    <w:rsid w:val="004B3F63"/>
    <w:rsid w:val="004B4BDC"/>
    <w:rsid w:val="004B58A6"/>
    <w:rsid w:val="004B59EF"/>
    <w:rsid w:val="004B5A98"/>
    <w:rsid w:val="004B5AAC"/>
    <w:rsid w:val="004B5BA7"/>
    <w:rsid w:val="004B5F41"/>
    <w:rsid w:val="004B7C5B"/>
    <w:rsid w:val="004C1CE0"/>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5CB"/>
    <w:rsid w:val="004D66C8"/>
    <w:rsid w:val="004D68DF"/>
    <w:rsid w:val="004D6B0D"/>
    <w:rsid w:val="004D6FB4"/>
    <w:rsid w:val="004D7607"/>
    <w:rsid w:val="004D7796"/>
    <w:rsid w:val="004D7F39"/>
    <w:rsid w:val="004E05FB"/>
    <w:rsid w:val="004E0A4D"/>
    <w:rsid w:val="004E173F"/>
    <w:rsid w:val="004E1E24"/>
    <w:rsid w:val="004E1EC0"/>
    <w:rsid w:val="004E1EE4"/>
    <w:rsid w:val="004E22B8"/>
    <w:rsid w:val="004E2F73"/>
    <w:rsid w:val="004E2FB2"/>
    <w:rsid w:val="004E327D"/>
    <w:rsid w:val="004E3767"/>
    <w:rsid w:val="004E3D7E"/>
    <w:rsid w:val="004E4554"/>
    <w:rsid w:val="004E4965"/>
    <w:rsid w:val="004E4ACC"/>
    <w:rsid w:val="004E4AD4"/>
    <w:rsid w:val="004E4D5B"/>
    <w:rsid w:val="004E5DC0"/>
    <w:rsid w:val="004E5FAB"/>
    <w:rsid w:val="004E60AC"/>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3234"/>
    <w:rsid w:val="004F41C6"/>
    <w:rsid w:val="004F5623"/>
    <w:rsid w:val="004F63AB"/>
    <w:rsid w:val="004F66F3"/>
    <w:rsid w:val="004F737C"/>
    <w:rsid w:val="004F7882"/>
    <w:rsid w:val="004F79BF"/>
    <w:rsid w:val="004F79E1"/>
    <w:rsid w:val="004F7A38"/>
    <w:rsid w:val="00500E9C"/>
    <w:rsid w:val="0050102E"/>
    <w:rsid w:val="0050185B"/>
    <w:rsid w:val="00503356"/>
    <w:rsid w:val="0050367A"/>
    <w:rsid w:val="0050368A"/>
    <w:rsid w:val="005043A6"/>
    <w:rsid w:val="00504E33"/>
    <w:rsid w:val="005059DD"/>
    <w:rsid w:val="00505B78"/>
    <w:rsid w:val="00505D30"/>
    <w:rsid w:val="00505DE4"/>
    <w:rsid w:val="005069A3"/>
    <w:rsid w:val="0050711F"/>
    <w:rsid w:val="00507990"/>
    <w:rsid w:val="005079D4"/>
    <w:rsid w:val="00507A78"/>
    <w:rsid w:val="00507E74"/>
    <w:rsid w:val="00511180"/>
    <w:rsid w:val="005112A3"/>
    <w:rsid w:val="00511F1A"/>
    <w:rsid w:val="0051213C"/>
    <w:rsid w:val="0051269E"/>
    <w:rsid w:val="0051312F"/>
    <w:rsid w:val="005132AA"/>
    <w:rsid w:val="005134AA"/>
    <w:rsid w:val="0051376E"/>
    <w:rsid w:val="005137FC"/>
    <w:rsid w:val="00513999"/>
    <w:rsid w:val="005140BD"/>
    <w:rsid w:val="005146A4"/>
    <w:rsid w:val="005156C2"/>
    <w:rsid w:val="00516107"/>
    <w:rsid w:val="0051661C"/>
    <w:rsid w:val="0051771F"/>
    <w:rsid w:val="005178CD"/>
    <w:rsid w:val="00517ADD"/>
    <w:rsid w:val="00517D49"/>
    <w:rsid w:val="00520127"/>
    <w:rsid w:val="00520A0A"/>
    <w:rsid w:val="00520A40"/>
    <w:rsid w:val="00520DD9"/>
    <w:rsid w:val="00521647"/>
    <w:rsid w:val="0052169B"/>
    <w:rsid w:val="00521FAF"/>
    <w:rsid w:val="005223C2"/>
    <w:rsid w:val="005224B0"/>
    <w:rsid w:val="00522B89"/>
    <w:rsid w:val="00522EBB"/>
    <w:rsid w:val="005230C9"/>
    <w:rsid w:val="00524361"/>
    <w:rsid w:val="005245F5"/>
    <w:rsid w:val="005248C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6183"/>
    <w:rsid w:val="0053717E"/>
    <w:rsid w:val="005376B1"/>
    <w:rsid w:val="005377F8"/>
    <w:rsid w:val="00537CBA"/>
    <w:rsid w:val="005403ED"/>
    <w:rsid w:val="00540A7A"/>
    <w:rsid w:val="00540EC4"/>
    <w:rsid w:val="00540FA6"/>
    <w:rsid w:val="005414E8"/>
    <w:rsid w:val="0054158D"/>
    <w:rsid w:val="00541FB0"/>
    <w:rsid w:val="00542024"/>
    <w:rsid w:val="00542749"/>
    <w:rsid w:val="005433C6"/>
    <w:rsid w:val="00543FDF"/>
    <w:rsid w:val="005449C2"/>
    <w:rsid w:val="00545614"/>
    <w:rsid w:val="00545AF4"/>
    <w:rsid w:val="00546EEE"/>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56EE3"/>
    <w:rsid w:val="005606BD"/>
    <w:rsid w:val="00560A61"/>
    <w:rsid w:val="00560B4D"/>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D45"/>
    <w:rsid w:val="005672A9"/>
    <w:rsid w:val="005676FF"/>
    <w:rsid w:val="00570342"/>
    <w:rsid w:val="005710C9"/>
    <w:rsid w:val="00571133"/>
    <w:rsid w:val="005715BA"/>
    <w:rsid w:val="005723BD"/>
    <w:rsid w:val="005726A5"/>
    <w:rsid w:val="00574184"/>
    <w:rsid w:val="005741BF"/>
    <w:rsid w:val="005747E0"/>
    <w:rsid w:val="0057525A"/>
    <w:rsid w:val="00575BAC"/>
    <w:rsid w:val="00576241"/>
    <w:rsid w:val="0057743E"/>
    <w:rsid w:val="00580218"/>
    <w:rsid w:val="00580564"/>
    <w:rsid w:val="00580891"/>
    <w:rsid w:val="00581976"/>
    <w:rsid w:val="00581C2D"/>
    <w:rsid w:val="00582058"/>
    <w:rsid w:val="00582EBB"/>
    <w:rsid w:val="0058360E"/>
    <w:rsid w:val="00583D68"/>
    <w:rsid w:val="00584CF5"/>
    <w:rsid w:val="00584F3F"/>
    <w:rsid w:val="005852A6"/>
    <w:rsid w:val="00585D61"/>
    <w:rsid w:val="00586B2D"/>
    <w:rsid w:val="005904B9"/>
    <w:rsid w:val="00590539"/>
    <w:rsid w:val="005905AD"/>
    <w:rsid w:val="00590814"/>
    <w:rsid w:val="00590F9A"/>
    <w:rsid w:val="005912FA"/>
    <w:rsid w:val="00591EF9"/>
    <w:rsid w:val="00592051"/>
    <w:rsid w:val="00592CAD"/>
    <w:rsid w:val="00592E37"/>
    <w:rsid w:val="00592E69"/>
    <w:rsid w:val="0059308A"/>
    <w:rsid w:val="00593262"/>
    <w:rsid w:val="00593FE7"/>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6761"/>
    <w:rsid w:val="005A70F1"/>
    <w:rsid w:val="005A73F5"/>
    <w:rsid w:val="005A7C76"/>
    <w:rsid w:val="005A7E30"/>
    <w:rsid w:val="005B085C"/>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69CD"/>
    <w:rsid w:val="005B6A48"/>
    <w:rsid w:val="005B6E4C"/>
    <w:rsid w:val="005B70EA"/>
    <w:rsid w:val="005B7553"/>
    <w:rsid w:val="005B7568"/>
    <w:rsid w:val="005B78FB"/>
    <w:rsid w:val="005B7D17"/>
    <w:rsid w:val="005B7E47"/>
    <w:rsid w:val="005C03DB"/>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30C"/>
    <w:rsid w:val="005D402D"/>
    <w:rsid w:val="005D4C38"/>
    <w:rsid w:val="005D5650"/>
    <w:rsid w:val="005D6210"/>
    <w:rsid w:val="005D62A6"/>
    <w:rsid w:val="005D6417"/>
    <w:rsid w:val="005D68D7"/>
    <w:rsid w:val="005D6CA0"/>
    <w:rsid w:val="005D7690"/>
    <w:rsid w:val="005D7A4B"/>
    <w:rsid w:val="005E018A"/>
    <w:rsid w:val="005E0A12"/>
    <w:rsid w:val="005E0C1F"/>
    <w:rsid w:val="005E1031"/>
    <w:rsid w:val="005E1422"/>
    <w:rsid w:val="005E21A1"/>
    <w:rsid w:val="005E319D"/>
    <w:rsid w:val="005E3263"/>
    <w:rsid w:val="005E3653"/>
    <w:rsid w:val="005E3D63"/>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F5F"/>
    <w:rsid w:val="00603B05"/>
    <w:rsid w:val="006040C3"/>
    <w:rsid w:val="0060413D"/>
    <w:rsid w:val="006044CD"/>
    <w:rsid w:val="00604A59"/>
    <w:rsid w:val="00606C90"/>
    <w:rsid w:val="006074C7"/>
    <w:rsid w:val="00607728"/>
    <w:rsid w:val="00607743"/>
    <w:rsid w:val="006078B3"/>
    <w:rsid w:val="0061033F"/>
    <w:rsid w:val="006103A5"/>
    <w:rsid w:val="00610941"/>
    <w:rsid w:val="00610B36"/>
    <w:rsid w:val="006110CA"/>
    <w:rsid w:val="00611B86"/>
    <w:rsid w:val="00611F19"/>
    <w:rsid w:val="00613C61"/>
    <w:rsid w:val="00614159"/>
    <w:rsid w:val="006146DE"/>
    <w:rsid w:val="00614781"/>
    <w:rsid w:val="00616468"/>
    <w:rsid w:val="00616BFC"/>
    <w:rsid w:val="00617650"/>
    <w:rsid w:val="00617D99"/>
    <w:rsid w:val="006203EF"/>
    <w:rsid w:val="006217A9"/>
    <w:rsid w:val="00621923"/>
    <w:rsid w:val="00621D43"/>
    <w:rsid w:val="00621E05"/>
    <w:rsid w:val="00622332"/>
    <w:rsid w:val="00622BFE"/>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B03"/>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20C"/>
    <w:rsid w:val="006507BD"/>
    <w:rsid w:val="00650836"/>
    <w:rsid w:val="00650AF1"/>
    <w:rsid w:val="00651DD4"/>
    <w:rsid w:val="0065286B"/>
    <w:rsid w:val="0065332A"/>
    <w:rsid w:val="00653E3F"/>
    <w:rsid w:val="00653E71"/>
    <w:rsid w:val="00655183"/>
    <w:rsid w:val="0065535A"/>
    <w:rsid w:val="006556A3"/>
    <w:rsid w:val="00655CB4"/>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610"/>
    <w:rsid w:val="00690A0A"/>
    <w:rsid w:val="006910CA"/>
    <w:rsid w:val="0069131C"/>
    <w:rsid w:val="00691595"/>
    <w:rsid w:val="0069162D"/>
    <w:rsid w:val="006928FC"/>
    <w:rsid w:val="00692C2B"/>
    <w:rsid w:val="0069317E"/>
    <w:rsid w:val="006931E9"/>
    <w:rsid w:val="006932B7"/>
    <w:rsid w:val="00693A7D"/>
    <w:rsid w:val="00693D07"/>
    <w:rsid w:val="00694EDA"/>
    <w:rsid w:val="00695841"/>
    <w:rsid w:val="00695F9C"/>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52C"/>
    <w:rsid w:val="006B06ED"/>
    <w:rsid w:val="006B0973"/>
    <w:rsid w:val="006B0D14"/>
    <w:rsid w:val="006B2D7D"/>
    <w:rsid w:val="006B3284"/>
    <w:rsid w:val="006B3328"/>
    <w:rsid w:val="006B3944"/>
    <w:rsid w:val="006B39FB"/>
    <w:rsid w:val="006B3BF5"/>
    <w:rsid w:val="006B47CA"/>
    <w:rsid w:val="006B487B"/>
    <w:rsid w:val="006B4E5A"/>
    <w:rsid w:val="006B523A"/>
    <w:rsid w:val="006B5555"/>
    <w:rsid w:val="006B6917"/>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C739A"/>
    <w:rsid w:val="006C783A"/>
    <w:rsid w:val="006D07EF"/>
    <w:rsid w:val="006D0ACA"/>
    <w:rsid w:val="006D0D5C"/>
    <w:rsid w:val="006D0E30"/>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872"/>
    <w:rsid w:val="006E19F5"/>
    <w:rsid w:val="006E1BFE"/>
    <w:rsid w:val="006E29FC"/>
    <w:rsid w:val="006E36B3"/>
    <w:rsid w:val="006E4489"/>
    <w:rsid w:val="006E45EA"/>
    <w:rsid w:val="006E49C2"/>
    <w:rsid w:val="006E49F5"/>
    <w:rsid w:val="006E5190"/>
    <w:rsid w:val="006E53B2"/>
    <w:rsid w:val="006E53F3"/>
    <w:rsid w:val="006E5870"/>
    <w:rsid w:val="006E702E"/>
    <w:rsid w:val="006E72BA"/>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89"/>
    <w:rsid w:val="007030BD"/>
    <w:rsid w:val="00703702"/>
    <w:rsid w:val="00703A57"/>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E07"/>
    <w:rsid w:val="00713640"/>
    <w:rsid w:val="007143C2"/>
    <w:rsid w:val="007149B9"/>
    <w:rsid w:val="00714AD3"/>
    <w:rsid w:val="00714BA5"/>
    <w:rsid w:val="007156BD"/>
    <w:rsid w:val="00715BF8"/>
    <w:rsid w:val="00715DB7"/>
    <w:rsid w:val="0071633F"/>
    <w:rsid w:val="007163E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4027"/>
    <w:rsid w:val="007244FE"/>
    <w:rsid w:val="00724A74"/>
    <w:rsid w:val="00724ED6"/>
    <w:rsid w:val="00725002"/>
    <w:rsid w:val="00725026"/>
    <w:rsid w:val="00725135"/>
    <w:rsid w:val="0072545F"/>
    <w:rsid w:val="007263CF"/>
    <w:rsid w:val="00726828"/>
    <w:rsid w:val="00726EDB"/>
    <w:rsid w:val="00731028"/>
    <w:rsid w:val="007311D5"/>
    <w:rsid w:val="00731951"/>
    <w:rsid w:val="00731B1C"/>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803"/>
    <w:rsid w:val="00742A20"/>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789"/>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4E69"/>
    <w:rsid w:val="007650AF"/>
    <w:rsid w:val="00765240"/>
    <w:rsid w:val="00765E4A"/>
    <w:rsid w:val="007666ED"/>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C62"/>
    <w:rsid w:val="00791D61"/>
    <w:rsid w:val="007924D2"/>
    <w:rsid w:val="007929DB"/>
    <w:rsid w:val="00793831"/>
    <w:rsid w:val="00793F69"/>
    <w:rsid w:val="007943BC"/>
    <w:rsid w:val="007946C5"/>
    <w:rsid w:val="0079477B"/>
    <w:rsid w:val="00794DE6"/>
    <w:rsid w:val="007954E4"/>
    <w:rsid w:val="00795565"/>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140"/>
    <w:rsid w:val="007B22AF"/>
    <w:rsid w:val="007B2376"/>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1304"/>
    <w:rsid w:val="007D1363"/>
    <w:rsid w:val="007D1875"/>
    <w:rsid w:val="007D1ECE"/>
    <w:rsid w:val="007D1F1E"/>
    <w:rsid w:val="007D2062"/>
    <w:rsid w:val="007D2087"/>
    <w:rsid w:val="007D2C03"/>
    <w:rsid w:val="007D3497"/>
    <w:rsid w:val="007D37DD"/>
    <w:rsid w:val="007D450D"/>
    <w:rsid w:val="007D4E9E"/>
    <w:rsid w:val="007D5043"/>
    <w:rsid w:val="007D525F"/>
    <w:rsid w:val="007D5876"/>
    <w:rsid w:val="007D680C"/>
    <w:rsid w:val="007D6866"/>
    <w:rsid w:val="007D6CBF"/>
    <w:rsid w:val="007D71B5"/>
    <w:rsid w:val="007D794F"/>
    <w:rsid w:val="007D7BDD"/>
    <w:rsid w:val="007E0059"/>
    <w:rsid w:val="007E02EB"/>
    <w:rsid w:val="007E15B9"/>
    <w:rsid w:val="007E1B8F"/>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F8A"/>
    <w:rsid w:val="0080400A"/>
    <w:rsid w:val="00804AB3"/>
    <w:rsid w:val="00805456"/>
    <w:rsid w:val="00805801"/>
    <w:rsid w:val="008068BD"/>
    <w:rsid w:val="00807526"/>
    <w:rsid w:val="00810814"/>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AF"/>
    <w:rsid w:val="00832825"/>
    <w:rsid w:val="00832920"/>
    <w:rsid w:val="00832F33"/>
    <w:rsid w:val="0083317B"/>
    <w:rsid w:val="008337F5"/>
    <w:rsid w:val="0083415B"/>
    <w:rsid w:val="00834494"/>
    <w:rsid w:val="00834D14"/>
    <w:rsid w:val="00835287"/>
    <w:rsid w:val="008358BB"/>
    <w:rsid w:val="008364F2"/>
    <w:rsid w:val="0083654C"/>
    <w:rsid w:val="008369E4"/>
    <w:rsid w:val="008373CB"/>
    <w:rsid w:val="00840B3B"/>
    <w:rsid w:val="00841BC8"/>
    <w:rsid w:val="00841EB1"/>
    <w:rsid w:val="00842A9A"/>
    <w:rsid w:val="008431F6"/>
    <w:rsid w:val="0084377C"/>
    <w:rsid w:val="00843C6F"/>
    <w:rsid w:val="0084476D"/>
    <w:rsid w:val="00844A6D"/>
    <w:rsid w:val="00844A8A"/>
    <w:rsid w:val="00844C25"/>
    <w:rsid w:val="00845022"/>
    <w:rsid w:val="00845791"/>
    <w:rsid w:val="00845919"/>
    <w:rsid w:val="00845B37"/>
    <w:rsid w:val="00845D79"/>
    <w:rsid w:val="0084743E"/>
    <w:rsid w:val="008503CB"/>
    <w:rsid w:val="0085113C"/>
    <w:rsid w:val="00851862"/>
    <w:rsid w:val="00852663"/>
    <w:rsid w:val="00852941"/>
    <w:rsid w:val="00852FCB"/>
    <w:rsid w:val="00856667"/>
    <w:rsid w:val="00856F2B"/>
    <w:rsid w:val="00857147"/>
    <w:rsid w:val="008574E8"/>
    <w:rsid w:val="00857532"/>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DA"/>
    <w:rsid w:val="00867D1C"/>
    <w:rsid w:val="00867DCF"/>
    <w:rsid w:val="00870197"/>
    <w:rsid w:val="00870C1E"/>
    <w:rsid w:val="0087108E"/>
    <w:rsid w:val="00871256"/>
    <w:rsid w:val="0087129F"/>
    <w:rsid w:val="00871599"/>
    <w:rsid w:val="00871BC3"/>
    <w:rsid w:val="00872981"/>
    <w:rsid w:val="00872EBB"/>
    <w:rsid w:val="008730C7"/>
    <w:rsid w:val="0087317B"/>
    <w:rsid w:val="0087330F"/>
    <w:rsid w:val="00874E28"/>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529D"/>
    <w:rsid w:val="00895504"/>
    <w:rsid w:val="008955D7"/>
    <w:rsid w:val="0089581E"/>
    <w:rsid w:val="0089639E"/>
    <w:rsid w:val="00896DA0"/>
    <w:rsid w:val="00896E35"/>
    <w:rsid w:val="00897182"/>
    <w:rsid w:val="00897DFF"/>
    <w:rsid w:val="008A0390"/>
    <w:rsid w:val="008A04C6"/>
    <w:rsid w:val="008A0B53"/>
    <w:rsid w:val="008A0DBE"/>
    <w:rsid w:val="008A0E2B"/>
    <w:rsid w:val="008A1A79"/>
    <w:rsid w:val="008A1A82"/>
    <w:rsid w:val="008A2154"/>
    <w:rsid w:val="008A25C2"/>
    <w:rsid w:val="008A341C"/>
    <w:rsid w:val="008A3FDC"/>
    <w:rsid w:val="008A46AD"/>
    <w:rsid w:val="008A4A50"/>
    <w:rsid w:val="008A4C90"/>
    <w:rsid w:val="008A55FC"/>
    <w:rsid w:val="008A5EDE"/>
    <w:rsid w:val="008A65C6"/>
    <w:rsid w:val="008A670E"/>
    <w:rsid w:val="008A67B9"/>
    <w:rsid w:val="008A74E1"/>
    <w:rsid w:val="008A755F"/>
    <w:rsid w:val="008A7846"/>
    <w:rsid w:val="008A7D29"/>
    <w:rsid w:val="008A7DF4"/>
    <w:rsid w:val="008B00B1"/>
    <w:rsid w:val="008B02AD"/>
    <w:rsid w:val="008B0F81"/>
    <w:rsid w:val="008B122D"/>
    <w:rsid w:val="008B1810"/>
    <w:rsid w:val="008B1A23"/>
    <w:rsid w:val="008B1A4C"/>
    <w:rsid w:val="008B2971"/>
    <w:rsid w:val="008B3281"/>
    <w:rsid w:val="008B3DA8"/>
    <w:rsid w:val="008B41CB"/>
    <w:rsid w:val="008B4C28"/>
    <w:rsid w:val="008B5640"/>
    <w:rsid w:val="008B5659"/>
    <w:rsid w:val="008B56FE"/>
    <w:rsid w:val="008B5B44"/>
    <w:rsid w:val="008B5E91"/>
    <w:rsid w:val="008B61C1"/>
    <w:rsid w:val="008B645E"/>
    <w:rsid w:val="008B71DF"/>
    <w:rsid w:val="008B7A89"/>
    <w:rsid w:val="008C1CBD"/>
    <w:rsid w:val="008C21BF"/>
    <w:rsid w:val="008C25BE"/>
    <w:rsid w:val="008C298E"/>
    <w:rsid w:val="008C3DBC"/>
    <w:rsid w:val="008C3FEA"/>
    <w:rsid w:val="008C4243"/>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E7FD9"/>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C0C"/>
    <w:rsid w:val="008F617F"/>
    <w:rsid w:val="008F6622"/>
    <w:rsid w:val="008F6CC8"/>
    <w:rsid w:val="008F6F7D"/>
    <w:rsid w:val="008F706F"/>
    <w:rsid w:val="008F77D2"/>
    <w:rsid w:val="008F7919"/>
    <w:rsid w:val="008F7B64"/>
    <w:rsid w:val="00900261"/>
    <w:rsid w:val="009002B8"/>
    <w:rsid w:val="00900826"/>
    <w:rsid w:val="00900BD7"/>
    <w:rsid w:val="0090142F"/>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A9C"/>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60D2"/>
    <w:rsid w:val="00926EF1"/>
    <w:rsid w:val="009271C0"/>
    <w:rsid w:val="00927450"/>
    <w:rsid w:val="00927515"/>
    <w:rsid w:val="0092757E"/>
    <w:rsid w:val="00927EC5"/>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6C6F"/>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49C8"/>
    <w:rsid w:val="00954BA0"/>
    <w:rsid w:val="009551A6"/>
    <w:rsid w:val="00955641"/>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C00"/>
    <w:rsid w:val="009864AD"/>
    <w:rsid w:val="00986FB5"/>
    <w:rsid w:val="009873DE"/>
    <w:rsid w:val="00987C76"/>
    <w:rsid w:val="00990125"/>
    <w:rsid w:val="0099060A"/>
    <w:rsid w:val="0099093B"/>
    <w:rsid w:val="00990DF2"/>
    <w:rsid w:val="00991763"/>
    <w:rsid w:val="0099229C"/>
    <w:rsid w:val="0099286A"/>
    <w:rsid w:val="00992891"/>
    <w:rsid w:val="00992CA8"/>
    <w:rsid w:val="00992D61"/>
    <w:rsid w:val="0099365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806"/>
    <w:rsid w:val="009A1AB1"/>
    <w:rsid w:val="009A1E97"/>
    <w:rsid w:val="009A207C"/>
    <w:rsid w:val="009A28A6"/>
    <w:rsid w:val="009A314A"/>
    <w:rsid w:val="009A4648"/>
    <w:rsid w:val="009A4726"/>
    <w:rsid w:val="009A4BEB"/>
    <w:rsid w:val="009A5B38"/>
    <w:rsid w:val="009A624F"/>
    <w:rsid w:val="009A63AD"/>
    <w:rsid w:val="009A6719"/>
    <w:rsid w:val="009A6AC1"/>
    <w:rsid w:val="009A6F22"/>
    <w:rsid w:val="009A70FC"/>
    <w:rsid w:val="009A7210"/>
    <w:rsid w:val="009A7A9F"/>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802"/>
    <w:rsid w:val="009C4C30"/>
    <w:rsid w:val="009C4E4F"/>
    <w:rsid w:val="009C5072"/>
    <w:rsid w:val="009C5A66"/>
    <w:rsid w:val="009C5CAE"/>
    <w:rsid w:val="009C6AA3"/>
    <w:rsid w:val="009C6C59"/>
    <w:rsid w:val="009C7EE9"/>
    <w:rsid w:val="009D06EA"/>
    <w:rsid w:val="009D1AE3"/>
    <w:rsid w:val="009D2231"/>
    <w:rsid w:val="009D23C9"/>
    <w:rsid w:val="009D27D6"/>
    <w:rsid w:val="009D2C9A"/>
    <w:rsid w:val="009D2F84"/>
    <w:rsid w:val="009D3790"/>
    <w:rsid w:val="009D3958"/>
    <w:rsid w:val="009D473D"/>
    <w:rsid w:val="009D4FC6"/>
    <w:rsid w:val="009D5693"/>
    <w:rsid w:val="009D5DE5"/>
    <w:rsid w:val="009D6C08"/>
    <w:rsid w:val="009D6ED5"/>
    <w:rsid w:val="009D7288"/>
    <w:rsid w:val="009D7F70"/>
    <w:rsid w:val="009E0AF2"/>
    <w:rsid w:val="009E186D"/>
    <w:rsid w:val="009E209E"/>
    <w:rsid w:val="009E259C"/>
    <w:rsid w:val="009E27B7"/>
    <w:rsid w:val="009E2AFD"/>
    <w:rsid w:val="009E2BE1"/>
    <w:rsid w:val="009E32F7"/>
    <w:rsid w:val="009E3520"/>
    <w:rsid w:val="009E35AD"/>
    <w:rsid w:val="009E35B8"/>
    <w:rsid w:val="009E374C"/>
    <w:rsid w:val="009E3BB5"/>
    <w:rsid w:val="009E4350"/>
    <w:rsid w:val="009E4652"/>
    <w:rsid w:val="009E5599"/>
    <w:rsid w:val="009E5BD4"/>
    <w:rsid w:val="009E662B"/>
    <w:rsid w:val="009E6681"/>
    <w:rsid w:val="009E679B"/>
    <w:rsid w:val="009E7668"/>
    <w:rsid w:val="009E7E4A"/>
    <w:rsid w:val="009F018B"/>
    <w:rsid w:val="009F0CD6"/>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9BB"/>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1D64"/>
    <w:rsid w:val="00A123A9"/>
    <w:rsid w:val="00A1278A"/>
    <w:rsid w:val="00A12F11"/>
    <w:rsid w:val="00A137CA"/>
    <w:rsid w:val="00A14148"/>
    <w:rsid w:val="00A141AC"/>
    <w:rsid w:val="00A14709"/>
    <w:rsid w:val="00A14B57"/>
    <w:rsid w:val="00A14E1C"/>
    <w:rsid w:val="00A153D5"/>
    <w:rsid w:val="00A15FC8"/>
    <w:rsid w:val="00A1600F"/>
    <w:rsid w:val="00A16123"/>
    <w:rsid w:val="00A16F60"/>
    <w:rsid w:val="00A179E6"/>
    <w:rsid w:val="00A202A2"/>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52"/>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621"/>
    <w:rsid w:val="00A509D1"/>
    <w:rsid w:val="00A50F08"/>
    <w:rsid w:val="00A51638"/>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331"/>
    <w:rsid w:val="00A573F2"/>
    <w:rsid w:val="00A600AD"/>
    <w:rsid w:val="00A60CCF"/>
    <w:rsid w:val="00A62766"/>
    <w:rsid w:val="00A62D33"/>
    <w:rsid w:val="00A62EE1"/>
    <w:rsid w:val="00A63A42"/>
    <w:rsid w:val="00A6452F"/>
    <w:rsid w:val="00A64849"/>
    <w:rsid w:val="00A65D43"/>
    <w:rsid w:val="00A664D7"/>
    <w:rsid w:val="00A668F8"/>
    <w:rsid w:val="00A66F42"/>
    <w:rsid w:val="00A6784F"/>
    <w:rsid w:val="00A70748"/>
    <w:rsid w:val="00A70C71"/>
    <w:rsid w:val="00A716B5"/>
    <w:rsid w:val="00A718B5"/>
    <w:rsid w:val="00A71A4F"/>
    <w:rsid w:val="00A72D0E"/>
    <w:rsid w:val="00A73457"/>
    <w:rsid w:val="00A739F8"/>
    <w:rsid w:val="00A75848"/>
    <w:rsid w:val="00A7584E"/>
    <w:rsid w:val="00A76E0D"/>
    <w:rsid w:val="00A77B5A"/>
    <w:rsid w:val="00A80342"/>
    <w:rsid w:val="00A807D4"/>
    <w:rsid w:val="00A80BCA"/>
    <w:rsid w:val="00A81663"/>
    <w:rsid w:val="00A81C62"/>
    <w:rsid w:val="00A8213A"/>
    <w:rsid w:val="00A825FE"/>
    <w:rsid w:val="00A82BFA"/>
    <w:rsid w:val="00A837AB"/>
    <w:rsid w:val="00A837CC"/>
    <w:rsid w:val="00A84051"/>
    <w:rsid w:val="00A8406D"/>
    <w:rsid w:val="00A842FD"/>
    <w:rsid w:val="00A84859"/>
    <w:rsid w:val="00A848AF"/>
    <w:rsid w:val="00A84A9C"/>
    <w:rsid w:val="00A84E39"/>
    <w:rsid w:val="00A85502"/>
    <w:rsid w:val="00A85894"/>
    <w:rsid w:val="00A858F4"/>
    <w:rsid w:val="00A85A7D"/>
    <w:rsid w:val="00A87688"/>
    <w:rsid w:val="00A87B46"/>
    <w:rsid w:val="00A90021"/>
    <w:rsid w:val="00A90273"/>
    <w:rsid w:val="00A917D9"/>
    <w:rsid w:val="00A91835"/>
    <w:rsid w:val="00A9195A"/>
    <w:rsid w:val="00A92397"/>
    <w:rsid w:val="00A92A4D"/>
    <w:rsid w:val="00A92AB9"/>
    <w:rsid w:val="00A9390F"/>
    <w:rsid w:val="00A93A80"/>
    <w:rsid w:val="00A93D3A"/>
    <w:rsid w:val="00A9449A"/>
    <w:rsid w:val="00A94DA4"/>
    <w:rsid w:val="00A958A0"/>
    <w:rsid w:val="00A95E39"/>
    <w:rsid w:val="00A9731E"/>
    <w:rsid w:val="00AA002E"/>
    <w:rsid w:val="00AA0344"/>
    <w:rsid w:val="00AA0CB9"/>
    <w:rsid w:val="00AA109C"/>
    <w:rsid w:val="00AA1364"/>
    <w:rsid w:val="00AA1399"/>
    <w:rsid w:val="00AA186A"/>
    <w:rsid w:val="00AA1E2B"/>
    <w:rsid w:val="00AA229E"/>
    <w:rsid w:val="00AA2BC3"/>
    <w:rsid w:val="00AA2CB3"/>
    <w:rsid w:val="00AA33D3"/>
    <w:rsid w:val="00AA4086"/>
    <w:rsid w:val="00AA4739"/>
    <w:rsid w:val="00AA56D1"/>
    <w:rsid w:val="00AA7113"/>
    <w:rsid w:val="00AB0475"/>
    <w:rsid w:val="00AB0A1B"/>
    <w:rsid w:val="00AB102C"/>
    <w:rsid w:val="00AB103B"/>
    <w:rsid w:val="00AB140A"/>
    <w:rsid w:val="00AB142E"/>
    <w:rsid w:val="00AB1877"/>
    <w:rsid w:val="00AB1ADB"/>
    <w:rsid w:val="00AB236C"/>
    <w:rsid w:val="00AB2710"/>
    <w:rsid w:val="00AB30BC"/>
    <w:rsid w:val="00AB47F3"/>
    <w:rsid w:val="00AB4961"/>
    <w:rsid w:val="00AB4BCF"/>
    <w:rsid w:val="00AB55AB"/>
    <w:rsid w:val="00AB58F4"/>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D0766"/>
    <w:rsid w:val="00AD08FD"/>
    <w:rsid w:val="00AD26EA"/>
    <w:rsid w:val="00AD30EF"/>
    <w:rsid w:val="00AD3A38"/>
    <w:rsid w:val="00AD567E"/>
    <w:rsid w:val="00AD66FF"/>
    <w:rsid w:val="00AD7743"/>
    <w:rsid w:val="00AE0044"/>
    <w:rsid w:val="00AE0FCF"/>
    <w:rsid w:val="00AE105C"/>
    <w:rsid w:val="00AE1560"/>
    <w:rsid w:val="00AE270A"/>
    <w:rsid w:val="00AE29E1"/>
    <w:rsid w:val="00AE2ACE"/>
    <w:rsid w:val="00AE2AED"/>
    <w:rsid w:val="00AE2B0C"/>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B3E"/>
    <w:rsid w:val="00B14FB4"/>
    <w:rsid w:val="00B16108"/>
    <w:rsid w:val="00B164A2"/>
    <w:rsid w:val="00B16C8E"/>
    <w:rsid w:val="00B16C9F"/>
    <w:rsid w:val="00B17F4F"/>
    <w:rsid w:val="00B20131"/>
    <w:rsid w:val="00B21546"/>
    <w:rsid w:val="00B2159E"/>
    <w:rsid w:val="00B22637"/>
    <w:rsid w:val="00B2311C"/>
    <w:rsid w:val="00B231B3"/>
    <w:rsid w:val="00B23796"/>
    <w:rsid w:val="00B238C8"/>
    <w:rsid w:val="00B23A3E"/>
    <w:rsid w:val="00B23C33"/>
    <w:rsid w:val="00B243ED"/>
    <w:rsid w:val="00B24423"/>
    <w:rsid w:val="00B254B0"/>
    <w:rsid w:val="00B254D6"/>
    <w:rsid w:val="00B259FE"/>
    <w:rsid w:val="00B25C84"/>
    <w:rsid w:val="00B25E99"/>
    <w:rsid w:val="00B26461"/>
    <w:rsid w:val="00B2730F"/>
    <w:rsid w:val="00B30405"/>
    <w:rsid w:val="00B30CBC"/>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3BF6"/>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BD"/>
    <w:rsid w:val="00B44D9E"/>
    <w:rsid w:val="00B44F97"/>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439"/>
    <w:rsid w:val="00B5345B"/>
    <w:rsid w:val="00B5391B"/>
    <w:rsid w:val="00B53B27"/>
    <w:rsid w:val="00B53E0F"/>
    <w:rsid w:val="00B54174"/>
    <w:rsid w:val="00B5468D"/>
    <w:rsid w:val="00B54C10"/>
    <w:rsid w:val="00B54C9F"/>
    <w:rsid w:val="00B55113"/>
    <w:rsid w:val="00B55121"/>
    <w:rsid w:val="00B55245"/>
    <w:rsid w:val="00B56035"/>
    <w:rsid w:val="00B56F16"/>
    <w:rsid w:val="00B56F72"/>
    <w:rsid w:val="00B57557"/>
    <w:rsid w:val="00B57787"/>
    <w:rsid w:val="00B60120"/>
    <w:rsid w:val="00B6020B"/>
    <w:rsid w:val="00B60B97"/>
    <w:rsid w:val="00B60C68"/>
    <w:rsid w:val="00B61155"/>
    <w:rsid w:val="00B6148E"/>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6188"/>
    <w:rsid w:val="00B67007"/>
    <w:rsid w:val="00B671CA"/>
    <w:rsid w:val="00B67259"/>
    <w:rsid w:val="00B677DA"/>
    <w:rsid w:val="00B67B8B"/>
    <w:rsid w:val="00B70935"/>
    <w:rsid w:val="00B70A5C"/>
    <w:rsid w:val="00B71298"/>
    <w:rsid w:val="00B713FB"/>
    <w:rsid w:val="00B7174D"/>
    <w:rsid w:val="00B71DAE"/>
    <w:rsid w:val="00B720F9"/>
    <w:rsid w:val="00B72899"/>
    <w:rsid w:val="00B72E2D"/>
    <w:rsid w:val="00B73F1A"/>
    <w:rsid w:val="00B74444"/>
    <w:rsid w:val="00B74B8C"/>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B0335"/>
    <w:rsid w:val="00BB1726"/>
    <w:rsid w:val="00BB24AF"/>
    <w:rsid w:val="00BB27A7"/>
    <w:rsid w:val="00BB28FC"/>
    <w:rsid w:val="00BB2E7A"/>
    <w:rsid w:val="00BB33E8"/>
    <w:rsid w:val="00BB3A5A"/>
    <w:rsid w:val="00BB5508"/>
    <w:rsid w:val="00BB55EC"/>
    <w:rsid w:val="00BB562D"/>
    <w:rsid w:val="00BB60B4"/>
    <w:rsid w:val="00BB60EB"/>
    <w:rsid w:val="00BC016F"/>
    <w:rsid w:val="00BC0317"/>
    <w:rsid w:val="00BC0332"/>
    <w:rsid w:val="00BC0937"/>
    <w:rsid w:val="00BC16C1"/>
    <w:rsid w:val="00BC1897"/>
    <w:rsid w:val="00BC1E5D"/>
    <w:rsid w:val="00BC1F51"/>
    <w:rsid w:val="00BC226F"/>
    <w:rsid w:val="00BC2A13"/>
    <w:rsid w:val="00BC2FA9"/>
    <w:rsid w:val="00BC3045"/>
    <w:rsid w:val="00BC30FA"/>
    <w:rsid w:val="00BC325E"/>
    <w:rsid w:val="00BC3C10"/>
    <w:rsid w:val="00BC3C63"/>
    <w:rsid w:val="00BC40E0"/>
    <w:rsid w:val="00BC4475"/>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11F6"/>
    <w:rsid w:val="00BD1A78"/>
    <w:rsid w:val="00BD3868"/>
    <w:rsid w:val="00BD3969"/>
    <w:rsid w:val="00BD458D"/>
    <w:rsid w:val="00BD494E"/>
    <w:rsid w:val="00BD49A3"/>
    <w:rsid w:val="00BD5BF9"/>
    <w:rsid w:val="00BD60EB"/>
    <w:rsid w:val="00BD6263"/>
    <w:rsid w:val="00BD6407"/>
    <w:rsid w:val="00BD68AA"/>
    <w:rsid w:val="00BD6D9A"/>
    <w:rsid w:val="00BD75F2"/>
    <w:rsid w:val="00BD79ED"/>
    <w:rsid w:val="00BD7A43"/>
    <w:rsid w:val="00BE090B"/>
    <w:rsid w:val="00BE10BC"/>
    <w:rsid w:val="00BE138B"/>
    <w:rsid w:val="00BE18E9"/>
    <w:rsid w:val="00BE1EF9"/>
    <w:rsid w:val="00BE24CC"/>
    <w:rsid w:val="00BE2B92"/>
    <w:rsid w:val="00BE2F2B"/>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32B"/>
    <w:rsid w:val="00BF5A50"/>
    <w:rsid w:val="00BF676D"/>
    <w:rsid w:val="00BF694B"/>
    <w:rsid w:val="00BF6E5F"/>
    <w:rsid w:val="00BF739C"/>
    <w:rsid w:val="00BF784C"/>
    <w:rsid w:val="00BF7FD8"/>
    <w:rsid w:val="00C00B2C"/>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4518"/>
    <w:rsid w:val="00C14958"/>
    <w:rsid w:val="00C14E52"/>
    <w:rsid w:val="00C15276"/>
    <w:rsid w:val="00C1570A"/>
    <w:rsid w:val="00C16509"/>
    <w:rsid w:val="00C1672E"/>
    <w:rsid w:val="00C16AB9"/>
    <w:rsid w:val="00C1767F"/>
    <w:rsid w:val="00C17AD8"/>
    <w:rsid w:val="00C17E8D"/>
    <w:rsid w:val="00C20919"/>
    <w:rsid w:val="00C20ACC"/>
    <w:rsid w:val="00C210B0"/>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3370"/>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590"/>
    <w:rsid w:val="00C53879"/>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2028"/>
    <w:rsid w:val="00C62731"/>
    <w:rsid w:val="00C634FE"/>
    <w:rsid w:val="00C63AEB"/>
    <w:rsid w:val="00C64270"/>
    <w:rsid w:val="00C6469E"/>
    <w:rsid w:val="00C658B2"/>
    <w:rsid w:val="00C65A75"/>
    <w:rsid w:val="00C66AE8"/>
    <w:rsid w:val="00C67012"/>
    <w:rsid w:val="00C6743F"/>
    <w:rsid w:val="00C6749E"/>
    <w:rsid w:val="00C67DBC"/>
    <w:rsid w:val="00C70107"/>
    <w:rsid w:val="00C70D10"/>
    <w:rsid w:val="00C70D77"/>
    <w:rsid w:val="00C71644"/>
    <w:rsid w:val="00C71649"/>
    <w:rsid w:val="00C71BC6"/>
    <w:rsid w:val="00C71C06"/>
    <w:rsid w:val="00C74213"/>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4B19"/>
    <w:rsid w:val="00C84D77"/>
    <w:rsid w:val="00C850DD"/>
    <w:rsid w:val="00C867A2"/>
    <w:rsid w:val="00C868BF"/>
    <w:rsid w:val="00C87150"/>
    <w:rsid w:val="00C87492"/>
    <w:rsid w:val="00C8762D"/>
    <w:rsid w:val="00C87C0D"/>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52A6"/>
    <w:rsid w:val="00C95B75"/>
    <w:rsid w:val="00C96766"/>
    <w:rsid w:val="00C96F1E"/>
    <w:rsid w:val="00CA08E0"/>
    <w:rsid w:val="00CA0B96"/>
    <w:rsid w:val="00CA0F18"/>
    <w:rsid w:val="00CA160A"/>
    <w:rsid w:val="00CA21E7"/>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2D1"/>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59C4"/>
    <w:rsid w:val="00CB6522"/>
    <w:rsid w:val="00CB7101"/>
    <w:rsid w:val="00CB725F"/>
    <w:rsid w:val="00CB7A73"/>
    <w:rsid w:val="00CC0387"/>
    <w:rsid w:val="00CC03F9"/>
    <w:rsid w:val="00CC0B6B"/>
    <w:rsid w:val="00CC0FE1"/>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7A0"/>
    <w:rsid w:val="00CC69C3"/>
    <w:rsid w:val="00CC6A9A"/>
    <w:rsid w:val="00CC6B14"/>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B6A"/>
    <w:rsid w:val="00CD6FDD"/>
    <w:rsid w:val="00CD7040"/>
    <w:rsid w:val="00CD7A3A"/>
    <w:rsid w:val="00CD7A57"/>
    <w:rsid w:val="00CD7D53"/>
    <w:rsid w:val="00CE01D0"/>
    <w:rsid w:val="00CE0239"/>
    <w:rsid w:val="00CE0993"/>
    <w:rsid w:val="00CE09B2"/>
    <w:rsid w:val="00CE0C4E"/>
    <w:rsid w:val="00CE2479"/>
    <w:rsid w:val="00CE327C"/>
    <w:rsid w:val="00CE3806"/>
    <w:rsid w:val="00CE3B10"/>
    <w:rsid w:val="00CE3C8F"/>
    <w:rsid w:val="00CE459B"/>
    <w:rsid w:val="00CE48CA"/>
    <w:rsid w:val="00CE4934"/>
    <w:rsid w:val="00CE5124"/>
    <w:rsid w:val="00CE5D95"/>
    <w:rsid w:val="00CE5EC6"/>
    <w:rsid w:val="00CE688B"/>
    <w:rsid w:val="00CE6F26"/>
    <w:rsid w:val="00CE73FB"/>
    <w:rsid w:val="00CE758A"/>
    <w:rsid w:val="00CE7649"/>
    <w:rsid w:val="00CE7C85"/>
    <w:rsid w:val="00CF02A7"/>
    <w:rsid w:val="00CF0393"/>
    <w:rsid w:val="00CF0FD0"/>
    <w:rsid w:val="00CF1AA0"/>
    <w:rsid w:val="00CF2379"/>
    <w:rsid w:val="00CF2484"/>
    <w:rsid w:val="00CF40F9"/>
    <w:rsid w:val="00CF4E00"/>
    <w:rsid w:val="00CF501C"/>
    <w:rsid w:val="00CF5575"/>
    <w:rsid w:val="00CF6BC7"/>
    <w:rsid w:val="00CF6EE3"/>
    <w:rsid w:val="00CF7C1D"/>
    <w:rsid w:val="00D0046E"/>
    <w:rsid w:val="00D0075D"/>
    <w:rsid w:val="00D00E6E"/>
    <w:rsid w:val="00D020C2"/>
    <w:rsid w:val="00D027B3"/>
    <w:rsid w:val="00D027CD"/>
    <w:rsid w:val="00D04389"/>
    <w:rsid w:val="00D04508"/>
    <w:rsid w:val="00D04679"/>
    <w:rsid w:val="00D04D12"/>
    <w:rsid w:val="00D04E6B"/>
    <w:rsid w:val="00D05D22"/>
    <w:rsid w:val="00D05E62"/>
    <w:rsid w:val="00D06041"/>
    <w:rsid w:val="00D062A0"/>
    <w:rsid w:val="00D0788E"/>
    <w:rsid w:val="00D07AF4"/>
    <w:rsid w:val="00D07F21"/>
    <w:rsid w:val="00D101AA"/>
    <w:rsid w:val="00D105EF"/>
    <w:rsid w:val="00D10C69"/>
    <w:rsid w:val="00D113D4"/>
    <w:rsid w:val="00D1144A"/>
    <w:rsid w:val="00D11D37"/>
    <w:rsid w:val="00D126BB"/>
    <w:rsid w:val="00D13307"/>
    <w:rsid w:val="00D13B4E"/>
    <w:rsid w:val="00D13FB8"/>
    <w:rsid w:val="00D140D3"/>
    <w:rsid w:val="00D14151"/>
    <w:rsid w:val="00D143E2"/>
    <w:rsid w:val="00D14729"/>
    <w:rsid w:val="00D14BDA"/>
    <w:rsid w:val="00D153A3"/>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3F17"/>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587D"/>
    <w:rsid w:val="00D35B39"/>
    <w:rsid w:val="00D35ED3"/>
    <w:rsid w:val="00D360EA"/>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7C"/>
    <w:rsid w:val="00D44BF7"/>
    <w:rsid w:val="00D44DB6"/>
    <w:rsid w:val="00D450E9"/>
    <w:rsid w:val="00D45646"/>
    <w:rsid w:val="00D456E8"/>
    <w:rsid w:val="00D456EC"/>
    <w:rsid w:val="00D457E6"/>
    <w:rsid w:val="00D467AB"/>
    <w:rsid w:val="00D50182"/>
    <w:rsid w:val="00D5031E"/>
    <w:rsid w:val="00D5051E"/>
    <w:rsid w:val="00D50582"/>
    <w:rsid w:val="00D50960"/>
    <w:rsid w:val="00D50C4D"/>
    <w:rsid w:val="00D51145"/>
    <w:rsid w:val="00D51690"/>
    <w:rsid w:val="00D51D38"/>
    <w:rsid w:val="00D52469"/>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3BD9"/>
    <w:rsid w:val="00D64591"/>
    <w:rsid w:val="00D64954"/>
    <w:rsid w:val="00D64C7F"/>
    <w:rsid w:val="00D6682A"/>
    <w:rsid w:val="00D66999"/>
    <w:rsid w:val="00D67AC3"/>
    <w:rsid w:val="00D70483"/>
    <w:rsid w:val="00D706BC"/>
    <w:rsid w:val="00D7176A"/>
    <w:rsid w:val="00D71C22"/>
    <w:rsid w:val="00D71D4E"/>
    <w:rsid w:val="00D72A62"/>
    <w:rsid w:val="00D72C91"/>
    <w:rsid w:val="00D7301C"/>
    <w:rsid w:val="00D7317A"/>
    <w:rsid w:val="00D738F9"/>
    <w:rsid w:val="00D7618C"/>
    <w:rsid w:val="00D761A2"/>
    <w:rsid w:val="00D76DA0"/>
    <w:rsid w:val="00D774B9"/>
    <w:rsid w:val="00D804D1"/>
    <w:rsid w:val="00D80B25"/>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07"/>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DAD"/>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4E"/>
    <w:rsid w:val="00DA559B"/>
    <w:rsid w:val="00DA6CC0"/>
    <w:rsid w:val="00DA6FCB"/>
    <w:rsid w:val="00DA7511"/>
    <w:rsid w:val="00DA7597"/>
    <w:rsid w:val="00DA7B68"/>
    <w:rsid w:val="00DB055B"/>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63F3"/>
    <w:rsid w:val="00DB6D95"/>
    <w:rsid w:val="00DB7821"/>
    <w:rsid w:val="00DB7DE9"/>
    <w:rsid w:val="00DC1450"/>
    <w:rsid w:val="00DC18A7"/>
    <w:rsid w:val="00DC1F16"/>
    <w:rsid w:val="00DC2A56"/>
    <w:rsid w:val="00DC2B97"/>
    <w:rsid w:val="00DC2C10"/>
    <w:rsid w:val="00DC2C18"/>
    <w:rsid w:val="00DC37FB"/>
    <w:rsid w:val="00DC3AFE"/>
    <w:rsid w:val="00DC3B7C"/>
    <w:rsid w:val="00DC3E7D"/>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D0765"/>
    <w:rsid w:val="00DD14FA"/>
    <w:rsid w:val="00DD1857"/>
    <w:rsid w:val="00DD38C9"/>
    <w:rsid w:val="00DD3BFD"/>
    <w:rsid w:val="00DD4308"/>
    <w:rsid w:val="00DD43A5"/>
    <w:rsid w:val="00DD550E"/>
    <w:rsid w:val="00DD597F"/>
    <w:rsid w:val="00DD5D13"/>
    <w:rsid w:val="00DD5E66"/>
    <w:rsid w:val="00DD6060"/>
    <w:rsid w:val="00DD632C"/>
    <w:rsid w:val="00DD6D9E"/>
    <w:rsid w:val="00DD7343"/>
    <w:rsid w:val="00DD7576"/>
    <w:rsid w:val="00DD7C69"/>
    <w:rsid w:val="00DE01D3"/>
    <w:rsid w:val="00DE0972"/>
    <w:rsid w:val="00DE098D"/>
    <w:rsid w:val="00DE0E43"/>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EE4"/>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CCC"/>
    <w:rsid w:val="00E01D3D"/>
    <w:rsid w:val="00E0253E"/>
    <w:rsid w:val="00E02755"/>
    <w:rsid w:val="00E027EC"/>
    <w:rsid w:val="00E02CF7"/>
    <w:rsid w:val="00E02F8F"/>
    <w:rsid w:val="00E033F2"/>
    <w:rsid w:val="00E03655"/>
    <w:rsid w:val="00E03CB4"/>
    <w:rsid w:val="00E04012"/>
    <w:rsid w:val="00E04022"/>
    <w:rsid w:val="00E041F0"/>
    <w:rsid w:val="00E0455F"/>
    <w:rsid w:val="00E04CE3"/>
    <w:rsid w:val="00E051F3"/>
    <w:rsid w:val="00E0525A"/>
    <w:rsid w:val="00E053B6"/>
    <w:rsid w:val="00E05832"/>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3B1C"/>
    <w:rsid w:val="00E3457B"/>
    <w:rsid w:val="00E347DF"/>
    <w:rsid w:val="00E349E9"/>
    <w:rsid w:val="00E34B38"/>
    <w:rsid w:val="00E35ADC"/>
    <w:rsid w:val="00E35AE6"/>
    <w:rsid w:val="00E35DBF"/>
    <w:rsid w:val="00E35E02"/>
    <w:rsid w:val="00E362A8"/>
    <w:rsid w:val="00E36A3D"/>
    <w:rsid w:val="00E36ABF"/>
    <w:rsid w:val="00E374AE"/>
    <w:rsid w:val="00E3772E"/>
    <w:rsid w:val="00E400E5"/>
    <w:rsid w:val="00E405F0"/>
    <w:rsid w:val="00E41387"/>
    <w:rsid w:val="00E41A4A"/>
    <w:rsid w:val="00E42023"/>
    <w:rsid w:val="00E420F3"/>
    <w:rsid w:val="00E4218B"/>
    <w:rsid w:val="00E42C43"/>
    <w:rsid w:val="00E42EEC"/>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22"/>
    <w:rsid w:val="00E52351"/>
    <w:rsid w:val="00E52CFC"/>
    <w:rsid w:val="00E5376F"/>
    <w:rsid w:val="00E53A03"/>
    <w:rsid w:val="00E54658"/>
    <w:rsid w:val="00E548D3"/>
    <w:rsid w:val="00E549E8"/>
    <w:rsid w:val="00E5616A"/>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4547"/>
    <w:rsid w:val="00E65185"/>
    <w:rsid w:val="00E65209"/>
    <w:rsid w:val="00E65750"/>
    <w:rsid w:val="00E65838"/>
    <w:rsid w:val="00E65969"/>
    <w:rsid w:val="00E65AE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202D"/>
    <w:rsid w:val="00E92218"/>
    <w:rsid w:val="00E925C1"/>
    <w:rsid w:val="00E929A4"/>
    <w:rsid w:val="00E92DB1"/>
    <w:rsid w:val="00E940D1"/>
    <w:rsid w:val="00E94228"/>
    <w:rsid w:val="00E94890"/>
    <w:rsid w:val="00E94D3E"/>
    <w:rsid w:val="00E95985"/>
    <w:rsid w:val="00E961E6"/>
    <w:rsid w:val="00E9632D"/>
    <w:rsid w:val="00E96902"/>
    <w:rsid w:val="00E96ACB"/>
    <w:rsid w:val="00E97436"/>
    <w:rsid w:val="00E97AAB"/>
    <w:rsid w:val="00E97C61"/>
    <w:rsid w:val="00EA08AE"/>
    <w:rsid w:val="00EA0A49"/>
    <w:rsid w:val="00EA26A3"/>
    <w:rsid w:val="00EA2AD0"/>
    <w:rsid w:val="00EA3D20"/>
    <w:rsid w:val="00EA4AB0"/>
    <w:rsid w:val="00EA4B46"/>
    <w:rsid w:val="00EA52ED"/>
    <w:rsid w:val="00EA5838"/>
    <w:rsid w:val="00EA585C"/>
    <w:rsid w:val="00EA5932"/>
    <w:rsid w:val="00EA5E41"/>
    <w:rsid w:val="00EA6288"/>
    <w:rsid w:val="00EA68EF"/>
    <w:rsid w:val="00EA7505"/>
    <w:rsid w:val="00EA7921"/>
    <w:rsid w:val="00EA799A"/>
    <w:rsid w:val="00EA7C6A"/>
    <w:rsid w:val="00EB0004"/>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111A"/>
    <w:rsid w:val="00EC20FD"/>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2821"/>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3DA"/>
    <w:rsid w:val="00EF4695"/>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F99"/>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6D1"/>
    <w:rsid w:val="00F20F42"/>
    <w:rsid w:val="00F211C8"/>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240D"/>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5F1"/>
    <w:rsid w:val="00F61FBC"/>
    <w:rsid w:val="00F62260"/>
    <w:rsid w:val="00F622A6"/>
    <w:rsid w:val="00F62D72"/>
    <w:rsid w:val="00F62F83"/>
    <w:rsid w:val="00F63502"/>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5D"/>
    <w:rsid w:val="00F75ACA"/>
    <w:rsid w:val="00F75FEC"/>
    <w:rsid w:val="00F7699F"/>
    <w:rsid w:val="00F76A15"/>
    <w:rsid w:val="00F76D74"/>
    <w:rsid w:val="00F770B9"/>
    <w:rsid w:val="00F77EBD"/>
    <w:rsid w:val="00F77EE7"/>
    <w:rsid w:val="00F80307"/>
    <w:rsid w:val="00F815E5"/>
    <w:rsid w:val="00F81635"/>
    <w:rsid w:val="00F825FA"/>
    <w:rsid w:val="00F827D4"/>
    <w:rsid w:val="00F83A74"/>
    <w:rsid w:val="00F84231"/>
    <w:rsid w:val="00F84345"/>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D47"/>
    <w:rsid w:val="00F94E94"/>
    <w:rsid w:val="00F94F33"/>
    <w:rsid w:val="00F951D1"/>
    <w:rsid w:val="00F95214"/>
    <w:rsid w:val="00F95453"/>
    <w:rsid w:val="00F96318"/>
    <w:rsid w:val="00FA06B1"/>
    <w:rsid w:val="00FA1639"/>
    <w:rsid w:val="00FA1E5F"/>
    <w:rsid w:val="00FA1F12"/>
    <w:rsid w:val="00FA2952"/>
    <w:rsid w:val="00FA3120"/>
    <w:rsid w:val="00FA3281"/>
    <w:rsid w:val="00FA461B"/>
    <w:rsid w:val="00FA4683"/>
    <w:rsid w:val="00FA4C0D"/>
    <w:rsid w:val="00FA4D1C"/>
    <w:rsid w:val="00FA50FF"/>
    <w:rsid w:val="00FA5711"/>
    <w:rsid w:val="00FA5A15"/>
    <w:rsid w:val="00FA5EEE"/>
    <w:rsid w:val="00FA6BD4"/>
    <w:rsid w:val="00FA6BDC"/>
    <w:rsid w:val="00FA7A47"/>
    <w:rsid w:val="00FB02D6"/>
    <w:rsid w:val="00FB036B"/>
    <w:rsid w:val="00FB03EC"/>
    <w:rsid w:val="00FB096B"/>
    <w:rsid w:val="00FB1689"/>
    <w:rsid w:val="00FB1EF9"/>
    <w:rsid w:val="00FB3AC7"/>
    <w:rsid w:val="00FB478F"/>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55C"/>
    <w:rsid w:val="00FC4CA7"/>
    <w:rsid w:val="00FC4F61"/>
    <w:rsid w:val="00FC4F9F"/>
    <w:rsid w:val="00FC51F3"/>
    <w:rsid w:val="00FC5ABF"/>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727"/>
    <w:rsid w:val="00FD2810"/>
    <w:rsid w:val="00FD2968"/>
    <w:rsid w:val="00FD3403"/>
    <w:rsid w:val="00FD35D6"/>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A85"/>
    <w:rsid w:val="00FE2CCB"/>
    <w:rsid w:val="00FE2D1A"/>
    <w:rsid w:val="00FE2D4E"/>
    <w:rsid w:val="00FE354A"/>
    <w:rsid w:val="00FE37DD"/>
    <w:rsid w:val="00FE3B07"/>
    <w:rsid w:val="00FE44C9"/>
    <w:rsid w:val="00FE4EB4"/>
    <w:rsid w:val="00FE501C"/>
    <w:rsid w:val="00FE530B"/>
    <w:rsid w:val="00FE55A6"/>
    <w:rsid w:val="00FE7DCA"/>
    <w:rsid w:val="00FE7E2D"/>
    <w:rsid w:val="00FF135D"/>
    <w:rsid w:val="00FF13B3"/>
    <w:rsid w:val="00FF146C"/>
    <w:rsid w:val="00FF34A2"/>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84B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2">
    <w:name w:val="heading 2"/>
    <w:basedOn w:val="Normal"/>
    <w:next w:val="Normal"/>
    <w:qFormat/>
    <w:rsid w:val="00327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rsid w:val="007606A8"/>
    <w:rPr>
      <w:sz w:val="16"/>
      <w:szCs w:val="16"/>
    </w:rPr>
  </w:style>
  <w:style w:type="paragraph" w:styleId="CommentText">
    <w:name w:val="annotation text"/>
    <w:basedOn w:val="Normal"/>
    <w:link w:val="CommentTextChar"/>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character" w:customStyle="1" w:styleId="CharChar">
    <w:name w:val="Char Char"/>
    <w:locked/>
    <w:rsid w:val="003D3FA9"/>
    <w:rPr>
      <w:rFonts w:ascii="Arial" w:hAnsi="Arial"/>
      <w:b/>
      <w:color w:val="FFFFFF"/>
      <w:sz w:val="38"/>
      <w:szCs w:val="26"/>
      <w:lang w:val="en-US" w:eastAsia="en-US" w:bidi="ar-SA"/>
    </w:rPr>
  </w:style>
  <w:style w:type="table" w:styleId="Table3Deffects1">
    <w:name w:val="Table 3D effects 1"/>
    <w:basedOn w:val="TableNormal"/>
    <w:rsid w:val="00A202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202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A202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B60C68"/>
    <w:pPr>
      <w:ind w:left="720"/>
      <w:contextualSpacing/>
    </w:pPr>
  </w:style>
  <w:style w:type="character" w:customStyle="1" w:styleId="CommentTextChar">
    <w:name w:val="Comment Text Char"/>
    <w:basedOn w:val="DefaultParagraphFont"/>
    <w:link w:val="CommentText"/>
    <w:rsid w:val="00FC455C"/>
    <w:rPr>
      <w:lang w:eastAsia="ja-JP"/>
    </w:rPr>
  </w:style>
  <w:style w:type="character" w:customStyle="1" w:styleId="HeaderChar">
    <w:name w:val="Header Char"/>
    <w:basedOn w:val="DefaultParagraphFont"/>
    <w:link w:val="Header"/>
    <w:uiPriority w:val="99"/>
    <w:rsid w:val="000B6CA2"/>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2">
    <w:name w:val="heading 2"/>
    <w:basedOn w:val="Normal"/>
    <w:next w:val="Normal"/>
    <w:qFormat/>
    <w:rsid w:val="00327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rsid w:val="007606A8"/>
    <w:rPr>
      <w:sz w:val="16"/>
      <w:szCs w:val="16"/>
    </w:rPr>
  </w:style>
  <w:style w:type="paragraph" w:styleId="CommentText">
    <w:name w:val="annotation text"/>
    <w:basedOn w:val="Normal"/>
    <w:link w:val="CommentTextChar"/>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character" w:customStyle="1" w:styleId="CharChar">
    <w:name w:val="Char Char"/>
    <w:locked/>
    <w:rsid w:val="003D3FA9"/>
    <w:rPr>
      <w:rFonts w:ascii="Arial" w:hAnsi="Arial"/>
      <w:b/>
      <w:color w:val="FFFFFF"/>
      <w:sz w:val="38"/>
      <w:szCs w:val="26"/>
      <w:lang w:val="en-US" w:eastAsia="en-US" w:bidi="ar-SA"/>
    </w:rPr>
  </w:style>
  <w:style w:type="table" w:styleId="Table3Deffects1">
    <w:name w:val="Table 3D effects 1"/>
    <w:basedOn w:val="TableNormal"/>
    <w:rsid w:val="00A202A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202A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A202A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B60C68"/>
    <w:pPr>
      <w:ind w:left="720"/>
      <w:contextualSpacing/>
    </w:pPr>
  </w:style>
  <w:style w:type="character" w:customStyle="1" w:styleId="CommentTextChar">
    <w:name w:val="Comment Text Char"/>
    <w:basedOn w:val="DefaultParagraphFont"/>
    <w:link w:val="CommentText"/>
    <w:rsid w:val="00FC455C"/>
    <w:rPr>
      <w:lang w:eastAsia="ja-JP"/>
    </w:rPr>
  </w:style>
  <w:style w:type="character" w:customStyle="1" w:styleId="HeaderChar">
    <w:name w:val="Header Char"/>
    <w:basedOn w:val="DefaultParagraphFont"/>
    <w:link w:val="Header"/>
    <w:uiPriority w:val="99"/>
    <w:rsid w:val="000B6CA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5141">
      <w:bodyDiv w:val="1"/>
      <w:marLeft w:val="0"/>
      <w:marRight w:val="0"/>
      <w:marTop w:val="0"/>
      <w:marBottom w:val="0"/>
      <w:divBdr>
        <w:top w:val="none" w:sz="0" w:space="0" w:color="auto"/>
        <w:left w:val="none" w:sz="0" w:space="0" w:color="auto"/>
        <w:bottom w:val="none" w:sz="0" w:space="0" w:color="auto"/>
        <w:right w:val="none" w:sz="0" w:space="0" w:color="auto"/>
      </w:divBdr>
      <w:divsChild>
        <w:div w:id="518390758">
          <w:marLeft w:val="0"/>
          <w:marRight w:val="0"/>
          <w:marTop w:val="0"/>
          <w:marBottom w:val="0"/>
          <w:divBdr>
            <w:top w:val="none" w:sz="0" w:space="0" w:color="auto"/>
            <w:left w:val="none" w:sz="0" w:space="0" w:color="auto"/>
            <w:bottom w:val="none" w:sz="0" w:space="0" w:color="auto"/>
            <w:right w:val="none" w:sz="0" w:space="0" w:color="auto"/>
          </w:divBdr>
          <w:divsChild>
            <w:div w:id="175677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51C23-A326-41D0-B9E1-DE4DEBCE0DF5}">
  <ds:schemaRefs>
    <ds:schemaRef ds:uri="http://schemas.microsoft.com/office/2006/metadata/properties"/>
    <ds:schemaRef ds:uri="http://www.w3.org/XML/1998/namespace"/>
    <ds:schemaRef ds:uri="http://schemas.microsoft.com/office/infopath/2007/PartnerControls"/>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A8F4AF3-3C38-4627-8BE3-2842FB167E55}">
  <ds:schemaRefs>
    <ds:schemaRef ds:uri="http://schemas.microsoft.com/sharepoint/v3/contenttype/forms"/>
  </ds:schemaRefs>
</ds:datastoreItem>
</file>

<file path=customXml/itemProps3.xml><?xml version="1.0" encoding="utf-8"?>
<ds:datastoreItem xmlns:ds="http://schemas.openxmlformats.org/officeDocument/2006/customXml" ds:itemID="{759A8541-4091-414C-B1AC-72A678D56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07F25A9-5DFF-407D-B90E-FB44F5B69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1521</Words>
  <Characters>8676</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lpstr>
    </vt:vector>
  </TitlesOfParts>
  <Company>AIG</Company>
  <LinksUpToDate>false</LinksUpToDate>
  <CharactersWithSpaces>10177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2013-05-09T19:03:00Z</cp:lastPrinted>
  <dcterms:created xsi:type="dcterms:W3CDTF">2015-12-02T20:03:00Z</dcterms:created>
  <dcterms:modified xsi:type="dcterms:W3CDTF">2015-12-02T20:03:00Z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0x010100E493FD8593A80341801924389BFE2A65</vt:lpwstr>
  </property>
</Properties>
</file>