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w:t>
      </w:r>
      <w:r w:rsidR="004C5964">
        <w:rPr>
          <w:rFonts w:cs="Arial"/>
          <w:b w:val="0"/>
        </w:rPr>
        <w:t>ment, effective 12:01 a.m.</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p>
    <w:p w:rsidR="00CC1E86" w:rsidRPr="00887CDC" w:rsidRDefault="00CC1E86">
      <w:pPr>
        <w:pStyle w:val="Title"/>
        <w:jc w:val="left"/>
        <w:outlineLvl w:val="0"/>
        <w:rPr>
          <w:rFonts w:ascii="Univers ATT" w:hAnsi="Univers ATT"/>
          <w:b/>
          <w:sz w:val="20"/>
        </w:rPr>
      </w:pPr>
    </w:p>
    <w:p w:rsidR="005A2FFE" w:rsidRDefault="005A2FFE" w:rsidP="000033E9">
      <w:pPr>
        <w:pStyle w:val="Title"/>
        <w:outlineLvl w:val="0"/>
        <w:rPr>
          <w:rFonts w:ascii="Univers ATT" w:hAnsi="Univers ATT"/>
          <w:b/>
          <w:sz w:val="24"/>
        </w:rPr>
      </w:pPr>
    </w:p>
    <w:p w:rsidR="005A2FFE" w:rsidRDefault="005A2FFE" w:rsidP="000033E9">
      <w:pPr>
        <w:pStyle w:val="Title"/>
        <w:outlineLvl w:val="0"/>
        <w:rPr>
          <w:rFonts w:ascii="Univers ATT" w:hAnsi="Univers ATT"/>
          <w:b/>
          <w:sz w:val="24"/>
        </w:rPr>
      </w:pPr>
      <w:r>
        <w:rPr>
          <w:rFonts w:ascii="Univers ATT" w:hAnsi="Univers ATT"/>
          <w:b/>
          <w:sz w:val="24"/>
        </w:rPr>
        <w:t>NEW YORK</w:t>
      </w: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Pr="001B2781">
        <w:rPr>
          <w:rFonts w:ascii="Univers ATT" w:hAnsi="Univers ATT" w:cs="Arial"/>
        </w:rPr>
        <w:t xml:space="preserve">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7139D4">
        <w:rPr>
          <w:rFonts w:ascii="Univers ATT" w:hAnsi="Univers ATT"/>
          <w:lang w:val="en-GB"/>
        </w:rPr>
        <w:t>Personal injury</w:t>
      </w:r>
      <w:r>
        <w:rPr>
          <w:rFonts w:ascii="Univers ATT" w:hAnsi="Univers ATT"/>
          <w:lang w:val="en-GB"/>
        </w:rPr>
        <w:t>”</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xml:space="preserve">, </w:t>
      </w:r>
      <w:r w:rsidR="00B23252">
        <w:rPr>
          <w:rFonts w:ascii="Univers ATT" w:hAnsi="Univers ATT"/>
          <w:lang w:val="en-GB"/>
        </w:rPr>
        <w:t xml:space="preserve">or </w:t>
      </w:r>
      <w:r w:rsidR="00842424">
        <w:rPr>
          <w:rFonts w:ascii="Univers ATT" w:hAnsi="Univers ATT"/>
          <w:lang w:val="en-GB"/>
        </w:rPr>
        <w:t>“personal and advertising injury”;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w:t>
      </w:r>
      <w:r w:rsidR="007139D4">
        <w:rPr>
          <w:rFonts w:ascii="Univers ATT" w:hAnsi="Univers ATT"/>
          <w:lang w:val="en-GB"/>
        </w:rPr>
        <w:t>personal injury</w:t>
      </w:r>
      <w:r>
        <w:rPr>
          <w:rFonts w:ascii="Univers ATT" w:hAnsi="Univers ATT"/>
          <w:lang w:val="en-GB"/>
        </w:rPr>
        <w:t xml:space="preserve">”, “property damage”, </w:t>
      </w:r>
      <w:r w:rsidR="00B23252">
        <w:rPr>
          <w:rFonts w:ascii="Univers ATT" w:hAnsi="Univers ATT"/>
          <w:lang w:val="en-GB"/>
        </w:rPr>
        <w:t xml:space="preserve">or </w:t>
      </w:r>
      <w:r>
        <w:rPr>
          <w:rFonts w:ascii="Univers ATT" w:hAnsi="Univers ATT"/>
          <w:lang w:val="en-GB"/>
        </w:rPr>
        <w:t>“personal and advertising injury”</w:t>
      </w:r>
      <w:r>
        <w:rPr>
          <w:rFonts w:ascii="Univers ATT" w:hAnsi="Univers ATT"/>
        </w:rPr>
        <w:t xml:space="preserve">; </w:t>
      </w:r>
    </w:p>
    <w:p w:rsidR="00842424" w:rsidRDefault="00842424" w:rsidP="00CB081A">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CB081A">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The amount we will </w:t>
      </w:r>
      <w:r w:rsidR="00E057CD">
        <w:rPr>
          <w:rFonts w:ascii="Univers ATT" w:hAnsi="Univers ATT"/>
        </w:rPr>
        <w:t xml:space="preserve">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w:t>
      </w:r>
      <w:r w:rsidR="007139D4">
        <w:rPr>
          <w:rFonts w:ascii="Univers ATT" w:hAnsi="Univers ATT"/>
          <w:lang w:val="en-GB"/>
        </w:rPr>
        <w:t>personal injury</w:t>
      </w:r>
      <w:r>
        <w:rPr>
          <w:rFonts w:ascii="Univers ATT" w:hAnsi="Univers ATT"/>
          <w:lang w:val="en-GB"/>
        </w:rPr>
        <w:t>”</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xml:space="preserve">, </w:t>
      </w:r>
      <w:r w:rsidR="00B23252">
        <w:rPr>
          <w:rFonts w:ascii="Univers ATT" w:hAnsi="Univers ATT"/>
          <w:lang w:val="en-GB"/>
        </w:rPr>
        <w:t xml:space="preserve">or </w:t>
      </w:r>
      <w:r w:rsidR="00842424">
        <w:rPr>
          <w:rFonts w:ascii="Univers ATT" w:hAnsi="Univers ATT"/>
          <w:lang w:val="en-GB"/>
        </w:rPr>
        <w:t>“personal and advertising injury”</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w:t>
      </w:r>
      <w:r w:rsidR="007139D4">
        <w:rPr>
          <w:rFonts w:ascii="Univers ATT" w:hAnsi="Univers ATT"/>
          <w:lang w:val="en-GB"/>
        </w:rPr>
        <w:t>personal injury</w:t>
      </w:r>
      <w:r w:rsidR="00842424">
        <w:rPr>
          <w:rFonts w:ascii="Univers ATT" w:hAnsi="Univers ATT"/>
          <w:lang w:val="en-GB"/>
        </w:rPr>
        <w:t xml:space="preserve">”, “property damage”, </w:t>
      </w:r>
      <w:r w:rsidR="00B23252">
        <w:rPr>
          <w:rFonts w:ascii="Univers ATT" w:hAnsi="Univers ATT"/>
          <w:lang w:val="en-GB"/>
        </w:rPr>
        <w:t xml:space="preserve">or </w:t>
      </w:r>
      <w:r w:rsidR="00842424">
        <w:rPr>
          <w:rFonts w:ascii="Univers ATT" w:hAnsi="Univers ATT"/>
          <w:lang w:val="en-GB"/>
        </w:rPr>
        <w:t>“personal and advertising injury”</w:t>
      </w:r>
      <w:r w:rsidR="00842424">
        <w:rPr>
          <w:rFonts w:ascii="Univers ATT" w:hAnsi="Univers ATT"/>
        </w:rPr>
        <w:t xml:space="preserve">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w:t>
      </w:r>
      <w:r w:rsidR="007139D4">
        <w:rPr>
          <w:rFonts w:ascii="Univers ATT" w:hAnsi="Univers ATT"/>
        </w:rPr>
        <w:t>Personal injury</w:t>
      </w:r>
      <w:r w:rsidRPr="001B2781">
        <w:rPr>
          <w:rFonts w:ascii="Univers ATT" w:hAnsi="Univers ATT"/>
        </w:rPr>
        <w:t>;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w:t>
      </w:r>
      <w:r w:rsidR="007139D4">
        <w:rPr>
          <w:rFonts w:ascii="Univers ATT" w:hAnsi="Univers ATT"/>
        </w:rPr>
        <w:t>personal injury</w:t>
      </w:r>
      <w:r>
        <w:rPr>
          <w:rFonts w:ascii="Univers ATT" w:hAnsi="Univers ATT"/>
        </w:rPr>
        <w:t>”</w:t>
      </w:r>
      <w:r w:rsidR="00842424">
        <w:rPr>
          <w:rFonts w:ascii="Univers ATT" w:hAnsi="Univers ATT"/>
        </w:rPr>
        <w:t>,</w:t>
      </w:r>
      <w:r>
        <w:rPr>
          <w:rFonts w:ascii="Univers ATT" w:hAnsi="Univers ATT"/>
        </w:rPr>
        <w:t xml:space="preserve"> “property damage”,</w:t>
      </w:r>
      <w:r w:rsidR="00842424">
        <w:rPr>
          <w:rFonts w:ascii="Univers ATT" w:hAnsi="Univers ATT"/>
        </w:rPr>
        <w:t xml:space="preserve"> </w:t>
      </w:r>
      <w:r w:rsidR="00B23252">
        <w:rPr>
          <w:rFonts w:ascii="Univers ATT" w:hAnsi="Univers ATT"/>
        </w:rPr>
        <w:t xml:space="preserve">or </w:t>
      </w:r>
      <w:r w:rsidR="00842424">
        <w:rPr>
          <w:rFonts w:ascii="Univers ATT" w:hAnsi="Univers ATT"/>
        </w:rPr>
        <w:t>“personal and advertising injury”</w:t>
      </w:r>
      <w:r w:rsidR="00D802D3">
        <w:rPr>
          <w:rFonts w:ascii="Univers ATT" w:hAnsi="Univers ATT"/>
        </w:rPr>
        <w:t xml:space="preserve"> </w:t>
      </w:r>
      <w:r>
        <w:rPr>
          <w:rFonts w:ascii="Univers ATT" w:hAnsi="Univers ATT"/>
        </w:rPr>
        <w:t>or directly experience</w:t>
      </w:r>
      <w:r w:rsidR="00D802D3">
        <w:rPr>
          <w:rFonts w:ascii="Univers ATT" w:hAnsi="Univers ATT"/>
        </w:rPr>
        <w:t xml:space="preserve"> an imminent threat of </w:t>
      </w:r>
      <w:r w:rsidR="00D802D3">
        <w:rPr>
          <w:rFonts w:ascii="Univers ATT" w:hAnsi="Univers ATT"/>
          <w:lang w:val="en-GB"/>
        </w:rPr>
        <w:t>“</w:t>
      </w:r>
      <w:r w:rsidR="007139D4">
        <w:rPr>
          <w:rFonts w:ascii="Univers ATT" w:hAnsi="Univers ATT"/>
          <w:lang w:val="en-GB"/>
        </w:rPr>
        <w:t>personal injury</w:t>
      </w:r>
      <w:r w:rsidR="00D802D3">
        <w:rPr>
          <w:rFonts w:ascii="Univers ATT" w:hAnsi="Univers ATT"/>
          <w:lang w:val="en-GB"/>
        </w:rPr>
        <w:t xml:space="preserve">”, “property damage”, </w:t>
      </w:r>
      <w:r w:rsidR="00B23252">
        <w:rPr>
          <w:rFonts w:ascii="Univers ATT" w:hAnsi="Univers ATT"/>
          <w:lang w:val="en-GB"/>
        </w:rPr>
        <w:t xml:space="preserve">or </w:t>
      </w:r>
      <w:r w:rsidR="00D802D3">
        <w:rPr>
          <w:rFonts w:ascii="Univers ATT" w:hAnsi="Univers ATT"/>
          <w:lang w:val="en-GB"/>
        </w:rPr>
        <w:t>“personal and advertising injury”</w:t>
      </w:r>
      <w:r w:rsidR="00B23252">
        <w:rPr>
          <w:rFonts w:ascii="Univers ATT" w:hAnsi="Univers ATT"/>
          <w:lang w:val="en-GB"/>
        </w:rPr>
        <w:t>.</w:t>
      </w:r>
      <w:r w:rsidR="00D802D3">
        <w:rPr>
          <w:rFonts w:ascii="Univers ATT" w:hAnsi="Univers ATT"/>
        </w:rPr>
        <w:t xml:space="preserve"> </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lastRenderedPageBreak/>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691A85"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 xml:space="preserve"> </w:t>
      </w:r>
      <w:r w:rsidR="00CC1E86"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that involves “</w:t>
      </w:r>
      <w:r w:rsidR="007139D4">
        <w:rPr>
          <w:rFonts w:ascii="Univers ATT" w:hAnsi="Univers ATT"/>
        </w:rPr>
        <w:t>personal injury</w:t>
      </w:r>
      <w:r>
        <w:rPr>
          <w:rFonts w:ascii="Univers ATT" w:hAnsi="Univers ATT"/>
        </w:rPr>
        <w:t xml:space="preserve">”, “property damage”, </w:t>
      </w:r>
      <w:r w:rsidR="004D2501">
        <w:rPr>
          <w:rFonts w:ascii="Univers ATT" w:hAnsi="Univers ATT"/>
        </w:rPr>
        <w:t xml:space="preserve">or </w:t>
      </w:r>
      <w:r>
        <w:rPr>
          <w:rFonts w:ascii="Univers ATT" w:hAnsi="Univers ATT"/>
        </w:rPr>
        <w:t xml:space="preserve">“personal and advertising injury” or an imminent threat of </w:t>
      </w:r>
      <w:r>
        <w:rPr>
          <w:rFonts w:ascii="Univers ATT" w:hAnsi="Univers ATT"/>
          <w:lang w:val="en-GB"/>
        </w:rPr>
        <w:t>“</w:t>
      </w:r>
      <w:r w:rsidR="007139D4">
        <w:rPr>
          <w:rFonts w:ascii="Univers ATT" w:hAnsi="Univers ATT"/>
          <w:lang w:val="en-GB"/>
        </w:rPr>
        <w:t>personal injury</w:t>
      </w:r>
      <w:r>
        <w:rPr>
          <w:rFonts w:ascii="Univers ATT" w:hAnsi="Univers ATT"/>
          <w:lang w:val="en-GB"/>
        </w:rPr>
        <w:t xml:space="preserve">”, “property damage”, </w:t>
      </w:r>
      <w:r w:rsidR="004D2501">
        <w:rPr>
          <w:rFonts w:ascii="Univers ATT" w:hAnsi="Univers ATT"/>
          <w:lang w:val="en-GB"/>
        </w:rPr>
        <w:t xml:space="preserve">or </w:t>
      </w:r>
      <w:r>
        <w:rPr>
          <w:rFonts w:ascii="Univers ATT" w:hAnsi="Univers ATT"/>
          <w:lang w:val="en-GB"/>
        </w:rPr>
        <w:t>“personal and advertising injury”</w:t>
      </w:r>
      <w:r>
        <w:rPr>
          <w:rFonts w:ascii="Univers ATT" w:hAnsi="Univers ATT"/>
        </w:rPr>
        <w: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i</w:t>
      </w:r>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“Defense costs” means legal fees and expenses incurred by you for legal advice or services sought in anticipation of, or upon actual receipt of, a claim alleging liability and seeking damages for “</w:t>
      </w:r>
      <w:r w:rsidR="007139D4">
        <w:rPr>
          <w:rFonts w:ascii="Univers ATT" w:hAnsi="Univers ATT"/>
        </w:rPr>
        <w:t>personal injury</w:t>
      </w:r>
      <w:r>
        <w:rPr>
          <w:rFonts w:ascii="Univers ATT" w:hAnsi="Univers ATT"/>
        </w:rPr>
        <w:t xml:space="preserve">”, “property damage” </w:t>
      </w:r>
      <w:r w:rsidR="001B6AB9">
        <w:rPr>
          <w:rFonts w:ascii="Univers ATT" w:hAnsi="Univers ATT"/>
        </w:rPr>
        <w:t xml:space="preserve">”, </w:t>
      </w:r>
      <w:r w:rsidR="004D2501">
        <w:rPr>
          <w:rFonts w:ascii="Univers ATT" w:hAnsi="Univers ATT"/>
        </w:rPr>
        <w:t xml:space="preserve">or </w:t>
      </w:r>
      <w:r w:rsidR="001B6AB9">
        <w:rPr>
          <w:rFonts w:ascii="Univers ATT" w:hAnsi="Univers ATT"/>
        </w:rPr>
        <w:t xml:space="preserve">“personal and advertising injury” or an imminent threat of </w:t>
      </w:r>
      <w:r w:rsidR="001B6AB9">
        <w:rPr>
          <w:rFonts w:ascii="Univers ATT" w:hAnsi="Univers ATT"/>
          <w:lang w:val="en-GB"/>
        </w:rPr>
        <w:t>“</w:t>
      </w:r>
      <w:r w:rsidR="007139D4">
        <w:rPr>
          <w:rFonts w:ascii="Univers ATT" w:hAnsi="Univers ATT"/>
          <w:lang w:val="en-GB"/>
        </w:rPr>
        <w:t>personal injury</w:t>
      </w:r>
      <w:r w:rsidR="001B6AB9">
        <w:rPr>
          <w:rFonts w:ascii="Univers ATT" w:hAnsi="Univers ATT"/>
          <w:lang w:val="en-GB"/>
        </w:rPr>
        <w:t xml:space="preserve">”, “property damage”, </w:t>
      </w:r>
      <w:r w:rsidR="004D2501">
        <w:rPr>
          <w:rFonts w:ascii="Univers ATT" w:hAnsi="Univers ATT"/>
          <w:lang w:val="en-GB"/>
        </w:rPr>
        <w:t xml:space="preserve">or </w:t>
      </w:r>
      <w:r w:rsidR="001B6AB9">
        <w:rPr>
          <w:rFonts w:ascii="Univers ATT" w:hAnsi="Univers ATT"/>
          <w:lang w:val="en-GB"/>
        </w:rPr>
        <w:t>“personal and advertising injury”</w:t>
      </w:r>
      <w:r w:rsidR="001B6AB9">
        <w:rPr>
          <w:rFonts w:ascii="Univers ATT" w:hAnsi="Univers ATT"/>
        </w:rPr>
        <w: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w:t>
      </w:r>
      <w:r w:rsidR="007139D4">
        <w:rPr>
          <w:rFonts w:ascii="Univers ATT" w:hAnsi="Univers ATT"/>
        </w:rPr>
        <w:t>personal injury</w:t>
      </w:r>
      <w:r w:rsidR="00B72825">
        <w:rPr>
          <w:rFonts w:ascii="Univers ATT" w:hAnsi="Univers ATT"/>
        </w:rPr>
        <w:t xml:space="preserve">” 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4D2501" w:rsidRDefault="004D2501" w:rsidP="004D2501">
      <w:pPr>
        <w:pStyle w:val="BodyText"/>
        <w:tabs>
          <w:tab w:val="clear" w:pos="341"/>
          <w:tab w:val="clear" w:pos="720"/>
          <w:tab w:val="clear" w:pos="1440"/>
          <w:tab w:val="clear" w:pos="2160"/>
          <w:tab w:val="clear" w:pos="4297"/>
        </w:tabs>
        <w:ind w:left="360"/>
        <w:rPr>
          <w:rFonts w:ascii="Univers ATT" w:hAnsi="Univers ATT"/>
        </w:rPr>
      </w:pPr>
    </w:p>
    <w:p w:rsidR="004D2501" w:rsidRPr="00EA77BB" w:rsidRDefault="004D2501" w:rsidP="004D2501">
      <w:pPr>
        <w:numPr>
          <w:ilvl w:val="0"/>
          <w:numId w:val="3"/>
        </w:numPr>
        <w:tabs>
          <w:tab w:val="left" w:pos="360"/>
        </w:tabs>
        <w:autoSpaceDE w:val="0"/>
        <w:autoSpaceDN w:val="0"/>
        <w:spacing w:line="206" w:lineRule="exact"/>
        <w:ind w:hanging="320"/>
        <w:rPr>
          <w:rFonts w:ascii="Trebuchet MS" w:hAnsi="Trebuchet MS"/>
        </w:rPr>
      </w:pPr>
      <w:r w:rsidRPr="00EA77BB">
        <w:rPr>
          <w:rFonts w:ascii="Univers ATT" w:hAnsi="Univers ATT"/>
        </w:rPr>
        <w:t xml:space="preserve">“Personal injury” means </w:t>
      </w:r>
      <w:r>
        <w:rPr>
          <w:rFonts w:ascii="Univers ATT" w:hAnsi="Univers ATT"/>
        </w:rPr>
        <w:t>the</w:t>
      </w:r>
      <w:r w:rsidRPr="00EA77BB">
        <w:rPr>
          <w:rFonts w:ascii="Univers ATT" w:hAnsi="Univers ATT"/>
        </w:rPr>
        <w:t xml:space="preserve"> death or injury of any person, or injury to the economic interests of any person</w:t>
      </w:r>
      <w:r w:rsidRPr="00EA77BB">
        <w:rPr>
          <w:rFonts w:ascii="Trebuchet MS" w:hAnsi="Trebuchet MS"/>
        </w:rPr>
        <w:t>.</w:t>
      </w:r>
    </w:p>
    <w:p w:rsidR="00863D3E" w:rsidRDefault="00863D3E">
      <w:pPr>
        <w:tabs>
          <w:tab w:val="left" w:pos="360"/>
        </w:tabs>
        <w:autoSpaceDE w:val="0"/>
        <w:autoSpaceDN w:val="0"/>
        <w:ind w:left="360" w:hanging="320"/>
        <w:rPr>
          <w:rFonts w:ascii="Univers ATT" w:hAnsi="Univers ATT"/>
          <w:b/>
        </w:rPr>
      </w:pPr>
    </w:p>
    <w:p w:rsidR="00863D3E" w:rsidRDefault="00CC1E86">
      <w:pPr>
        <w:tabs>
          <w:tab w:val="left" w:pos="360"/>
        </w:tabs>
        <w:autoSpaceDE w:val="0"/>
        <w:autoSpaceDN w:val="0"/>
        <w:ind w:left="360" w:hanging="32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lastRenderedPageBreak/>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If </w:t>
      </w:r>
      <w:r w:rsidR="00BD58AC">
        <w:rPr>
          <w:rFonts w:ascii="Univers ATT" w:hAnsi="Univers ATT"/>
        </w:rPr>
        <w:t xml:space="preserve">payment </w:t>
      </w:r>
      <w:r>
        <w:rPr>
          <w:rFonts w:ascii="Univers ATT" w:hAnsi="Univers ATT"/>
        </w:rPr>
        <w:t xml:space="preserve">is sought directly by you, you must submit a claim for </w:t>
      </w:r>
      <w:r w:rsidR="00BD58AC">
        <w:rPr>
          <w:rFonts w:ascii="Univers ATT" w:hAnsi="Univers ATT"/>
        </w:rPr>
        <w:t xml:space="preserve">payment </w:t>
      </w:r>
      <w:r>
        <w:rPr>
          <w:rFonts w:ascii="Univers ATT" w:hAnsi="Univers ATT"/>
        </w:rPr>
        <w:t xml:space="preserve">of “crisis response costs” and “crisis management loss” </w:t>
      </w:r>
      <w:r w:rsidR="00BD58AC">
        <w:rPr>
          <w:rFonts w:ascii="Univers ATT" w:hAnsi="Univers ATT"/>
        </w:rPr>
        <w:t xml:space="preserve"> as soon as practicable</w:t>
      </w:r>
      <w:r>
        <w:rPr>
          <w:rFonts w:ascii="Univers ATT" w:hAnsi="Univers ATT"/>
        </w:rPr>
        <w:t xml:space="preserve">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C37AC2">
        <w:rPr>
          <w:rFonts w:ascii="Univers ATT" w:hAnsi="Univers ATT"/>
          <w:b/>
        </w:rPr>
        <w:t>2</w:t>
      </w:r>
      <w:r>
        <w:rPr>
          <w:rFonts w:ascii="Univers ATT" w:hAnsi="Univers ATT"/>
          <w:b/>
        </w:rPr>
        <w:t>.</w:t>
      </w:r>
      <w:r>
        <w:rPr>
          <w:rFonts w:ascii="Univers ATT" w:hAnsi="Univers ATT"/>
        </w:rPr>
        <w:t xml:space="preserve"> and </w:t>
      </w:r>
      <w:r w:rsidR="00C37AC2">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9407E3">
        <w:rPr>
          <w:rFonts w:ascii="Univers ATT" w:hAnsi="Univers ATT"/>
        </w:rPr>
        <w:t>0</w:t>
      </w:r>
      <w:r w:rsidR="009407E3" w:rsidRPr="009407E3">
        <w:rPr>
          <w:rFonts w:ascii="Univers ATT" w:hAnsi="Univers ATT"/>
          <w:vertAlign w:val="superscript"/>
        </w:rPr>
        <w:t>th</w:t>
      </w:r>
      <w:r w:rsidR="009407E3">
        <w:rPr>
          <w:rFonts w:ascii="Univers ATT" w:hAnsi="Univers ATT"/>
        </w:rPr>
        <w:t xml:space="preserve"> </w:t>
      </w:r>
      <w:r w:rsidRPr="001E542D">
        <w:rPr>
          <w:rFonts w:ascii="Univers ATT" w:hAnsi="Univers ATT"/>
        </w:rPr>
        <w:t>Floor</w:t>
      </w:r>
    </w:p>
    <w:p w:rsidR="001B2781"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 xml:space="preserve"> </w:t>
      </w:r>
      <w:smartTag w:uri="urn:schemas-microsoft-com:office:smarttags" w:element="City">
        <w:r w:rsidRPr="001E542D">
          <w:rPr>
            <w:rFonts w:ascii="Univers ATT" w:hAnsi="Univers ATT"/>
          </w:rPr>
          <w:t>New York</w:t>
        </w:r>
      </w:smartTag>
      <w:r w:rsidRPr="001E542D">
        <w:rPr>
          <w:rFonts w:ascii="Univers ATT" w:hAnsi="Univers ATT"/>
        </w:rPr>
        <w:t xml:space="preserve">, </w:t>
      </w:r>
      <w:smartTag w:uri="urn:schemas-microsoft-com:office:smarttags" w:element="State">
        <w:r w:rsidRPr="001E542D">
          <w:rPr>
            <w:rFonts w:ascii="Univers ATT" w:hAnsi="Univers ATT"/>
          </w:rPr>
          <w:t>NY</w:t>
        </w:r>
      </w:smartTag>
      <w:r w:rsidRPr="001E542D">
        <w:rPr>
          <w:rFonts w:ascii="Univers ATT" w:hAnsi="Univers ATT"/>
        </w:rPr>
        <w:t xml:space="preserve"> 10038</w:t>
      </w:r>
    </w:p>
    <w:p w:rsidR="00BD58AC" w:rsidRDefault="00BD58AC" w:rsidP="001B2781">
      <w:pPr>
        <w:pStyle w:val="BodyText"/>
        <w:tabs>
          <w:tab w:val="clear" w:pos="341"/>
          <w:tab w:val="clear" w:pos="720"/>
          <w:tab w:val="clear" w:pos="1440"/>
          <w:tab w:val="clear" w:pos="2160"/>
          <w:tab w:val="clear" w:pos="4297"/>
        </w:tabs>
        <w:ind w:left="720"/>
        <w:rPr>
          <w:rFonts w:ascii="Univers ATT" w:hAnsi="Univers ATT"/>
        </w:rPr>
      </w:pPr>
    </w:p>
    <w:p w:rsidR="00BD58AC" w:rsidRPr="003A5156" w:rsidRDefault="00BD58AC" w:rsidP="004D20E7">
      <w:pPr>
        <w:ind w:left="720" w:hanging="360"/>
        <w:jc w:val="both"/>
        <w:rPr>
          <w:rFonts w:ascii="Univers ATT" w:hAnsi="Univers ATT"/>
        </w:rPr>
      </w:pPr>
      <w:r w:rsidRPr="00A00649">
        <w:rPr>
          <w:rFonts w:ascii="Univers ATT" w:hAnsi="Univers ATT"/>
          <w:b/>
        </w:rPr>
        <w:t>5</w:t>
      </w:r>
      <w:r w:rsidRPr="00A00649">
        <w:rPr>
          <w:rFonts w:ascii="Univers ATT" w:hAnsi="Univers ATT"/>
        </w:rPr>
        <w:t>.</w:t>
      </w:r>
      <w:r w:rsidRPr="00A00649">
        <w:rPr>
          <w:rFonts w:ascii="Univers ATT" w:hAnsi="Univers ATT"/>
        </w:rPr>
        <w:tab/>
        <w:t xml:space="preserve">Failure to give notice to us as required under this Coverage Extension shall not invalidate any claim made by the insured, injured person or any other claimant, unless the failure to provide such timely notice has prejudiced us. However, no claim made by the insured, injured person or other claimant will be invalidated if it shall be shown not to have been </w:t>
      </w:r>
      <w:r>
        <w:rPr>
          <w:rFonts w:ascii="Univers ATT" w:hAnsi="Univers ATT"/>
        </w:rPr>
        <w:t>reasonably possible to give such timely notice and that notice was given as soon as was reasonably possible thereafter.</w:t>
      </w:r>
    </w:p>
    <w:p w:rsidR="00BD58AC" w:rsidRPr="003A5156" w:rsidRDefault="00BD58AC" w:rsidP="004D20E7">
      <w:pPr>
        <w:ind w:left="270" w:hanging="270"/>
        <w:jc w:val="both"/>
        <w:rPr>
          <w:rFonts w:ascii="Univers ATT" w:hAnsi="Univers ATT"/>
        </w:rPr>
      </w:pPr>
    </w:p>
    <w:p w:rsidR="00BD58AC" w:rsidRPr="003A5156" w:rsidRDefault="00BD58AC" w:rsidP="004D20E7">
      <w:pPr>
        <w:autoSpaceDE w:val="0"/>
        <w:autoSpaceDN w:val="0"/>
        <w:adjustRightInd w:val="0"/>
        <w:ind w:left="720" w:hanging="360"/>
        <w:jc w:val="both"/>
        <w:rPr>
          <w:rFonts w:ascii="Univers ATT" w:hAnsi="Univers ATT"/>
        </w:rPr>
      </w:pPr>
      <w:r>
        <w:rPr>
          <w:rFonts w:ascii="Univers ATT" w:hAnsi="Univers ATT"/>
          <w:b/>
        </w:rPr>
        <w:t>6</w:t>
      </w:r>
      <w:r>
        <w:rPr>
          <w:rFonts w:ascii="Univers ATT" w:hAnsi="Univers ATT"/>
        </w:rPr>
        <w:t xml:space="preserve">. </w:t>
      </w:r>
      <w:r>
        <w:rPr>
          <w:rFonts w:ascii="Univers ATT" w:hAnsi="Univers ATT"/>
        </w:rPr>
        <w:tab/>
        <w:t xml:space="preserve">Notice given by or on behalf of the insured to any agent of ours in </w:t>
      </w:r>
      <w:smartTag w:uri="urn:schemas-microsoft-com:office:smarttags" w:element="place">
        <w:smartTag w:uri="urn:schemas-microsoft-com:office:smarttags" w:element="PlaceName">
          <w:r>
            <w:rPr>
              <w:rFonts w:ascii="Univers ATT" w:hAnsi="Univers ATT"/>
            </w:rPr>
            <w:t>New York</w:t>
          </w:r>
        </w:smartTag>
        <w:r>
          <w:rPr>
            <w:rFonts w:ascii="Univers ATT" w:hAnsi="Univers ATT"/>
          </w:rPr>
          <w:t xml:space="preserve"> </w:t>
        </w:r>
        <w:smartTag w:uri="urn:schemas-microsoft-com:office:smarttags" w:element="PlaceType">
          <w:r>
            <w:rPr>
              <w:rFonts w:ascii="Univers ATT" w:hAnsi="Univers ATT"/>
            </w:rPr>
            <w:t>State</w:t>
          </w:r>
        </w:smartTag>
      </w:smartTag>
      <w:r>
        <w:rPr>
          <w:rFonts w:ascii="Univers ATT" w:hAnsi="Univers ATT"/>
        </w:rPr>
        <w:t>, with particulars sufficient to identify the insured, shall be considered to be notice to us.</w:t>
      </w:r>
    </w:p>
    <w:p w:rsidR="00BD58AC" w:rsidRPr="003A5156" w:rsidRDefault="00BD58AC" w:rsidP="00BD58AC">
      <w:pPr>
        <w:autoSpaceDE w:val="0"/>
        <w:autoSpaceDN w:val="0"/>
        <w:adjustRightInd w:val="0"/>
        <w:ind w:left="270" w:firstLine="90"/>
        <w:rPr>
          <w:rFonts w:ascii="Univers ATT" w:hAnsi="Univers ATT"/>
        </w:rPr>
      </w:pPr>
    </w:p>
    <w:p w:rsidR="00BD58AC" w:rsidRPr="003A5156" w:rsidRDefault="00BD58AC" w:rsidP="00BD58AC">
      <w:pPr>
        <w:pStyle w:val="outlinetxt3"/>
        <w:tabs>
          <w:tab w:val="clear" w:pos="900"/>
          <w:tab w:val="left" w:pos="720"/>
        </w:tabs>
        <w:ind w:left="720" w:hanging="360"/>
        <w:rPr>
          <w:rFonts w:ascii="Univers ATT" w:hAnsi="Univers ATT"/>
          <w:b w:val="0"/>
        </w:rPr>
      </w:pPr>
      <w:r>
        <w:rPr>
          <w:rFonts w:ascii="Univers ATT" w:hAnsi="Univers ATT"/>
        </w:rPr>
        <w:t>7.</w:t>
      </w:r>
      <w:r>
        <w:rPr>
          <w:rFonts w:ascii="Univers ATT" w:hAnsi="Univers ATT"/>
        </w:rPr>
        <w:tab/>
      </w:r>
      <w:r>
        <w:rPr>
          <w:rFonts w:ascii="Univers ATT" w:hAnsi="Univers ATT"/>
          <w:b w:val="0"/>
        </w:rPr>
        <w:t xml:space="preserve">With respect to “personal injury” claims, if we deny coverage or do not admit liability because an insured or the injured person, someone acting for the injured person or other claimant fails to give us written notice as soon as practicable, then the injured person, someone acting for the injured person or other claimant may bring an action against us, provided the sole question is whether the denial of coverage or nonadmission of liability is based on the failure to provide timely notice. </w:t>
      </w:r>
    </w:p>
    <w:p w:rsidR="00BD58AC" w:rsidRPr="003A5156" w:rsidRDefault="00BD58AC" w:rsidP="004D20E7">
      <w:pPr>
        <w:pStyle w:val="outlinetxt3"/>
        <w:tabs>
          <w:tab w:val="clear" w:pos="900"/>
          <w:tab w:val="left" w:pos="360"/>
        </w:tabs>
        <w:spacing w:before="240"/>
        <w:ind w:left="720" w:firstLine="0"/>
        <w:rPr>
          <w:rFonts w:ascii="Univers ATT" w:hAnsi="Univers ATT"/>
          <w:b w:val="0"/>
        </w:rPr>
      </w:pPr>
      <w:r>
        <w:rPr>
          <w:rFonts w:ascii="Univers ATT" w:hAnsi="Univers ATT"/>
          <w:b w:val="0"/>
        </w:rPr>
        <w:tab/>
        <w:t>However, the injured person, someone acting for the injured person or other claimant may not bring an action if within 60 days after we deny coverage or do not admit liability, we or an insured</w:t>
      </w:r>
      <w:r>
        <w:rPr>
          <w:rFonts w:ascii="Univers ATT" w:hAnsi="Univers ATT"/>
        </w:rPr>
        <w:t xml:space="preserve">: </w:t>
      </w:r>
    </w:p>
    <w:p w:rsidR="00BD58AC" w:rsidRPr="003A5156" w:rsidRDefault="00BD58AC" w:rsidP="00BD58AC">
      <w:pPr>
        <w:pStyle w:val="outlinetxt4"/>
        <w:ind w:hanging="480"/>
        <w:rPr>
          <w:rFonts w:ascii="Univers ATT" w:hAnsi="Univers ATT"/>
          <w:b w:val="0"/>
        </w:rPr>
      </w:pPr>
      <w:r>
        <w:rPr>
          <w:rFonts w:ascii="Univers ATT" w:hAnsi="Univers ATT"/>
        </w:rPr>
        <w:t>a.</w:t>
      </w:r>
      <w:r>
        <w:rPr>
          <w:rFonts w:ascii="Univers ATT" w:hAnsi="Univers ATT"/>
        </w:rPr>
        <w:tab/>
      </w:r>
      <w:r>
        <w:rPr>
          <w:rFonts w:ascii="Univers ATT" w:hAnsi="Univers ATT"/>
        </w:rPr>
        <w:tab/>
      </w:r>
      <w:r>
        <w:rPr>
          <w:rFonts w:ascii="Univers ATT" w:hAnsi="Univers ATT"/>
          <w:b w:val="0"/>
        </w:rPr>
        <w:t xml:space="preserve">Brings an action to declare the rights of the parties under the policy; and </w:t>
      </w:r>
    </w:p>
    <w:p w:rsidR="00BD58AC" w:rsidRPr="003A5156" w:rsidRDefault="00BD58AC" w:rsidP="00BD58AC">
      <w:pPr>
        <w:pStyle w:val="outlinetxt4"/>
        <w:ind w:hanging="480"/>
        <w:rPr>
          <w:rFonts w:ascii="Univers ATT" w:hAnsi="Univers ATT"/>
          <w:b w:val="0"/>
        </w:rPr>
      </w:pPr>
      <w:r>
        <w:rPr>
          <w:rFonts w:ascii="Univers ATT" w:hAnsi="Univers ATT"/>
        </w:rPr>
        <w:t>b.</w:t>
      </w:r>
      <w:r>
        <w:rPr>
          <w:rFonts w:ascii="Univers ATT" w:hAnsi="Univers ATT"/>
        </w:rPr>
        <w:tab/>
      </w:r>
      <w:r>
        <w:rPr>
          <w:rFonts w:ascii="Univers ATT" w:hAnsi="Univers ATT"/>
        </w:rPr>
        <w:tab/>
      </w:r>
      <w:r>
        <w:rPr>
          <w:rFonts w:ascii="Univers ATT" w:hAnsi="Univers ATT"/>
          <w:b w:val="0"/>
        </w:rPr>
        <w:t>Names the injured person, someone acting for the injured person or other claimant as a party to the action.</w:t>
      </w:r>
    </w:p>
    <w:p w:rsidR="00CB098E" w:rsidRDefault="00CB098E" w:rsidP="0038509F">
      <w:pPr>
        <w:pStyle w:val="Title"/>
        <w:tabs>
          <w:tab w:val="left" w:pos="5040"/>
        </w:tabs>
        <w:jc w:val="both"/>
        <w:rPr>
          <w:rFonts w:ascii="Univers ATT" w:hAnsi="Univers ATT"/>
          <w:sz w:val="20"/>
        </w:rPr>
      </w:pPr>
    </w:p>
    <w:p w:rsidR="004D2501" w:rsidRDefault="004D2501">
      <w:pPr>
        <w:rPr>
          <w:rFonts w:ascii="Univers ATT" w:hAnsi="Univers ATT"/>
        </w:rPr>
      </w:pPr>
      <w:r>
        <w:rPr>
          <w:rFonts w:ascii="Univers ATT" w:hAnsi="Univers ATT"/>
        </w:rPr>
        <w:br w:type="page"/>
      </w:r>
    </w:p>
    <w:p w:rsidR="00CC1E86" w:rsidRDefault="00CC1E86">
      <w:pPr>
        <w:pStyle w:val="Title"/>
        <w:tabs>
          <w:tab w:val="left" w:pos="5040"/>
        </w:tabs>
        <w:jc w:val="both"/>
        <w:rPr>
          <w:rFonts w:ascii="Univers ATT" w:hAnsi="Univers ATT"/>
          <w:sz w:val="20"/>
        </w:rPr>
      </w:pPr>
      <w:bookmarkStart w:id="0" w:name="_GoBack"/>
      <w:bookmarkEnd w:id="0"/>
      <w:r>
        <w:rPr>
          <w:rFonts w:ascii="Univers ATT" w:hAnsi="Univers ATT"/>
          <w:sz w:val="20"/>
        </w:rPr>
        <w:lastRenderedPageBreak/>
        <w:t>All other terms and conditions of the policy remain the same.</w:t>
      </w:r>
    </w:p>
    <w:p w:rsidR="005333A7" w:rsidRDefault="005333A7">
      <w:pPr>
        <w:pStyle w:val="Title"/>
        <w:tabs>
          <w:tab w:val="left" w:pos="5040"/>
        </w:tabs>
        <w:jc w:val="both"/>
        <w:rPr>
          <w:rFonts w:ascii="Univers ATT" w:hAnsi="Univers ATT"/>
          <w:sz w:val="20"/>
        </w:rPr>
      </w:pPr>
    </w:p>
    <w:p w:rsidR="004D20E7" w:rsidRDefault="004D20E7">
      <w:pPr>
        <w:pStyle w:val="Title"/>
        <w:tabs>
          <w:tab w:val="left" w:pos="5040"/>
        </w:tabs>
        <w:jc w:val="both"/>
        <w:rPr>
          <w:rFonts w:ascii="Univers ATT" w:hAnsi="Univers ATT"/>
          <w:sz w:val="20"/>
        </w:rPr>
      </w:pPr>
    </w:p>
    <w:p w:rsidR="004D20E7" w:rsidRDefault="004D20E7">
      <w:pPr>
        <w:pStyle w:val="Title"/>
        <w:tabs>
          <w:tab w:val="left" w:pos="5040"/>
        </w:tabs>
        <w:jc w:val="both"/>
        <w:rPr>
          <w:rFonts w:ascii="Univers ATT" w:hAnsi="Univers ATT"/>
          <w:sz w:val="20"/>
        </w:rPr>
      </w:pPr>
    </w:p>
    <w:p w:rsidR="004D20E7" w:rsidRDefault="004D20E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574" w:rsidRDefault="00567574">
      <w:r>
        <w:separator/>
      </w:r>
    </w:p>
    <w:p w:rsidR="00567574" w:rsidRDefault="00567574"/>
  </w:endnote>
  <w:endnote w:type="continuationSeparator" w:id="0">
    <w:p w:rsidR="00567574" w:rsidRDefault="00567574">
      <w:r>
        <w:continuationSeparator/>
      </w:r>
    </w:p>
    <w:p w:rsidR="00567574" w:rsidRDefault="00567574"/>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574" w:rsidRDefault="00863D3E">
    <w:pPr>
      <w:pStyle w:val="Footer"/>
      <w:framePr w:wrap="around" w:vAnchor="text" w:hAnchor="margin" w:xAlign="center" w:y="1"/>
      <w:rPr>
        <w:rStyle w:val="PageNumber"/>
      </w:rPr>
    </w:pPr>
    <w:r>
      <w:rPr>
        <w:rStyle w:val="PageNumber"/>
      </w:rPr>
      <w:fldChar w:fldCharType="begin"/>
    </w:r>
    <w:r w:rsidR="00567574">
      <w:rPr>
        <w:rStyle w:val="PageNumber"/>
      </w:rPr>
      <w:instrText xml:space="preserve">PAGE  </w:instrText>
    </w:r>
    <w:r>
      <w:rPr>
        <w:rStyle w:val="PageNumber"/>
      </w:rPr>
      <w:fldChar w:fldCharType="end"/>
    </w:r>
  </w:p>
  <w:p w:rsidR="00567574" w:rsidRDefault="00567574">
    <w:pPr>
      <w:pStyle w:val="Footer"/>
    </w:pPr>
  </w:p>
  <w:p w:rsidR="00567574" w:rsidRDefault="0056757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567574" w:rsidRPr="00AB0615" w:rsidTr="00842424">
      <w:trPr>
        <w:trHeight w:val="332"/>
      </w:trPr>
      <w:tc>
        <w:tcPr>
          <w:tcW w:w="1857" w:type="dxa"/>
        </w:tcPr>
        <w:p w:rsidR="00567574" w:rsidRPr="00AB0615" w:rsidRDefault="00567574" w:rsidP="00BD58AC">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 xml:space="preserve">117613 </w:t>
          </w:r>
          <w:r w:rsidRPr="00AB0615">
            <w:rPr>
              <w:rFonts w:ascii="Univers ATT" w:hAnsi="Univers ATT"/>
              <w:sz w:val="18"/>
            </w:rPr>
            <w:t xml:space="preserve"> (</w:t>
          </w:r>
          <w:r>
            <w:rPr>
              <w:rFonts w:ascii="Univers ATT" w:hAnsi="Univers ATT"/>
              <w:sz w:val="18"/>
            </w:rPr>
            <w:t>12</w:t>
          </w:r>
          <w:r w:rsidRPr="00AB0615">
            <w:rPr>
              <w:rFonts w:ascii="Univers ATT" w:hAnsi="Univers ATT"/>
              <w:sz w:val="18"/>
            </w:rPr>
            <w:t>/14)</w:t>
          </w:r>
        </w:p>
      </w:tc>
      <w:tc>
        <w:tcPr>
          <w:tcW w:w="5541" w:type="dxa"/>
        </w:tcPr>
        <w:p w:rsidR="00567574" w:rsidRPr="00AB0615" w:rsidRDefault="00567574"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567574" w:rsidRPr="00AB0615" w:rsidRDefault="00567574" w:rsidP="00F909E5">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567574" w:rsidRPr="00AB0615" w:rsidRDefault="00567574"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863D3E"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863D3E" w:rsidRPr="00AB0615">
            <w:rPr>
              <w:rStyle w:val="PageNumber"/>
              <w:rFonts w:ascii="Univers ATT" w:hAnsi="Univers ATT" w:cs="Arial"/>
              <w:sz w:val="18"/>
              <w:szCs w:val="18"/>
            </w:rPr>
            <w:fldChar w:fldCharType="separate"/>
          </w:r>
          <w:r w:rsidR="00C37AC2">
            <w:rPr>
              <w:rStyle w:val="PageNumber"/>
              <w:rFonts w:ascii="Univers ATT" w:hAnsi="Univers ATT" w:cs="Arial"/>
              <w:noProof/>
              <w:sz w:val="18"/>
              <w:szCs w:val="18"/>
            </w:rPr>
            <w:t>5</w:t>
          </w:r>
          <w:r w:rsidR="00863D3E"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863D3E"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863D3E" w:rsidRPr="00AB0615">
            <w:rPr>
              <w:rStyle w:val="PageNumber"/>
              <w:rFonts w:ascii="Univers ATT" w:hAnsi="Univers ATT" w:cs="Arial"/>
              <w:sz w:val="18"/>
              <w:szCs w:val="18"/>
            </w:rPr>
            <w:fldChar w:fldCharType="separate"/>
          </w:r>
          <w:r w:rsidR="00C37AC2">
            <w:rPr>
              <w:rStyle w:val="PageNumber"/>
              <w:rFonts w:ascii="Univers ATT" w:hAnsi="Univers ATT" w:cs="Arial"/>
              <w:noProof/>
              <w:sz w:val="18"/>
              <w:szCs w:val="18"/>
            </w:rPr>
            <w:t>6</w:t>
          </w:r>
          <w:r w:rsidR="00863D3E" w:rsidRPr="00AB0615">
            <w:rPr>
              <w:rStyle w:val="PageNumber"/>
              <w:rFonts w:ascii="Univers ATT" w:hAnsi="Univers ATT" w:cs="Arial"/>
              <w:sz w:val="18"/>
              <w:szCs w:val="18"/>
            </w:rPr>
            <w:fldChar w:fldCharType="end"/>
          </w:r>
        </w:p>
        <w:p w:rsidR="00567574" w:rsidRPr="00AB0615" w:rsidRDefault="00567574"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567574" w:rsidRPr="002A5B9B" w:rsidRDefault="00567574" w:rsidP="002A5B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574" w:rsidRDefault="00567574">
      <w:r>
        <w:separator/>
      </w:r>
    </w:p>
    <w:p w:rsidR="00567574" w:rsidRDefault="00567574"/>
  </w:footnote>
  <w:footnote w:type="continuationSeparator" w:id="0">
    <w:p w:rsidR="00567574" w:rsidRDefault="00567574">
      <w:r>
        <w:continuationSeparator/>
      </w:r>
    </w:p>
    <w:p w:rsidR="00567574" w:rsidRDefault="0056757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embedSystemFonts/>
  <w:activeWritingStyle w:appName="MSWord" w:lang="en-US" w:vendorID="8" w:dllVersion="513" w:checkStyle="1"/>
  <w:stylePaneFormatFilter w:val="3F0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8913">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06714"/>
    <w:rsid w:val="000275FE"/>
    <w:rsid w:val="00045179"/>
    <w:rsid w:val="00051E1D"/>
    <w:rsid w:val="0006521A"/>
    <w:rsid w:val="000B0AED"/>
    <w:rsid w:val="000B694D"/>
    <w:rsid w:val="00101531"/>
    <w:rsid w:val="00110C31"/>
    <w:rsid w:val="001244E1"/>
    <w:rsid w:val="00136EE4"/>
    <w:rsid w:val="00171D78"/>
    <w:rsid w:val="00174AF3"/>
    <w:rsid w:val="001757DC"/>
    <w:rsid w:val="00184726"/>
    <w:rsid w:val="00187E43"/>
    <w:rsid w:val="001947C4"/>
    <w:rsid w:val="001B2781"/>
    <w:rsid w:val="001B58AA"/>
    <w:rsid w:val="001B6AB9"/>
    <w:rsid w:val="002201C5"/>
    <w:rsid w:val="00221811"/>
    <w:rsid w:val="0022672D"/>
    <w:rsid w:val="00232723"/>
    <w:rsid w:val="00244F62"/>
    <w:rsid w:val="0024730D"/>
    <w:rsid w:val="002557B1"/>
    <w:rsid w:val="002557CB"/>
    <w:rsid w:val="0026710D"/>
    <w:rsid w:val="002A0BC8"/>
    <w:rsid w:val="002A5B9B"/>
    <w:rsid w:val="002B2BE7"/>
    <w:rsid w:val="002B5CB7"/>
    <w:rsid w:val="002C4EEE"/>
    <w:rsid w:val="002D21B4"/>
    <w:rsid w:val="002D54E9"/>
    <w:rsid w:val="003106DF"/>
    <w:rsid w:val="00314A79"/>
    <w:rsid w:val="0032475F"/>
    <w:rsid w:val="00332735"/>
    <w:rsid w:val="00353E2C"/>
    <w:rsid w:val="00365F3E"/>
    <w:rsid w:val="0038509F"/>
    <w:rsid w:val="003B2DFF"/>
    <w:rsid w:val="003B75A5"/>
    <w:rsid w:val="003C1FD0"/>
    <w:rsid w:val="003C3538"/>
    <w:rsid w:val="003D70DF"/>
    <w:rsid w:val="00423579"/>
    <w:rsid w:val="00424788"/>
    <w:rsid w:val="0043386F"/>
    <w:rsid w:val="0046361B"/>
    <w:rsid w:val="00466605"/>
    <w:rsid w:val="004A1515"/>
    <w:rsid w:val="004A37C2"/>
    <w:rsid w:val="004B0C3F"/>
    <w:rsid w:val="004B618D"/>
    <w:rsid w:val="004C5964"/>
    <w:rsid w:val="004C7314"/>
    <w:rsid w:val="004D20E7"/>
    <w:rsid w:val="004D2501"/>
    <w:rsid w:val="004D3AAA"/>
    <w:rsid w:val="004D4CC7"/>
    <w:rsid w:val="004E1BBE"/>
    <w:rsid w:val="004F0B12"/>
    <w:rsid w:val="005029CC"/>
    <w:rsid w:val="00516E3C"/>
    <w:rsid w:val="00526EEB"/>
    <w:rsid w:val="005333A7"/>
    <w:rsid w:val="005661C6"/>
    <w:rsid w:val="00567574"/>
    <w:rsid w:val="00573D02"/>
    <w:rsid w:val="00584F8F"/>
    <w:rsid w:val="00591CE5"/>
    <w:rsid w:val="005A2FFE"/>
    <w:rsid w:val="005D4050"/>
    <w:rsid w:val="00632034"/>
    <w:rsid w:val="00632B3B"/>
    <w:rsid w:val="00651171"/>
    <w:rsid w:val="00676AD8"/>
    <w:rsid w:val="00691A85"/>
    <w:rsid w:val="006943FA"/>
    <w:rsid w:val="006B4D65"/>
    <w:rsid w:val="006C4245"/>
    <w:rsid w:val="006E0DB9"/>
    <w:rsid w:val="006E1BD9"/>
    <w:rsid w:val="006E5FE2"/>
    <w:rsid w:val="006F70F6"/>
    <w:rsid w:val="00711470"/>
    <w:rsid w:val="007139D4"/>
    <w:rsid w:val="00713EA6"/>
    <w:rsid w:val="007412BE"/>
    <w:rsid w:val="0076291F"/>
    <w:rsid w:val="0078273A"/>
    <w:rsid w:val="00790CD4"/>
    <w:rsid w:val="00790F7A"/>
    <w:rsid w:val="007947E8"/>
    <w:rsid w:val="007D0256"/>
    <w:rsid w:val="007E319B"/>
    <w:rsid w:val="007F0256"/>
    <w:rsid w:val="008211D6"/>
    <w:rsid w:val="008312C8"/>
    <w:rsid w:val="00842424"/>
    <w:rsid w:val="00845EEC"/>
    <w:rsid w:val="00863D3E"/>
    <w:rsid w:val="00865569"/>
    <w:rsid w:val="00866140"/>
    <w:rsid w:val="00884FA2"/>
    <w:rsid w:val="00887CDC"/>
    <w:rsid w:val="008935F6"/>
    <w:rsid w:val="008B4C21"/>
    <w:rsid w:val="009407E3"/>
    <w:rsid w:val="009B4C08"/>
    <w:rsid w:val="009C0E18"/>
    <w:rsid w:val="009D2AAC"/>
    <w:rsid w:val="009E2343"/>
    <w:rsid w:val="00A35CFD"/>
    <w:rsid w:val="00A6464B"/>
    <w:rsid w:val="00A7645D"/>
    <w:rsid w:val="00A969C3"/>
    <w:rsid w:val="00AA3F3C"/>
    <w:rsid w:val="00AA4A5E"/>
    <w:rsid w:val="00AB3BBB"/>
    <w:rsid w:val="00AC4008"/>
    <w:rsid w:val="00AF0FA2"/>
    <w:rsid w:val="00AF11DB"/>
    <w:rsid w:val="00AF767A"/>
    <w:rsid w:val="00B07C56"/>
    <w:rsid w:val="00B23252"/>
    <w:rsid w:val="00B3772C"/>
    <w:rsid w:val="00B52ECA"/>
    <w:rsid w:val="00B57736"/>
    <w:rsid w:val="00B72825"/>
    <w:rsid w:val="00B73B78"/>
    <w:rsid w:val="00B90CB7"/>
    <w:rsid w:val="00B9455D"/>
    <w:rsid w:val="00BA4CAF"/>
    <w:rsid w:val="00BB154F"/>
    <w:rsid w:val="00BC6268"/>
    <w:rsid w:val="00BD58AC"/>
    <w:rsid w:val="00C157A9"/>
    <w:rsid w:val="00C2265F"/>
    <w:rsid w:val="00C33F77"/>
    <w:rsid w:val="00C37AC2"/>
    <w:rsid w:val="00CB0741"/>
    <w:rsid w:val="00CB081A"/>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C2F21"/>
    <w:rsid w:val="00E05153"/>
    <w:rsid w:val="00E057CD"/>
    <w:rsid w:val="00E407CE"/>
    <w:rsid w:val="00E61D3B"/>
    <w:rsid w:val="00E63F6C"/>
    <w:rsid w:val="00EA323E"/>
    <w:rsid w:val="00EA6DBD"/>
    <w:rsid w:val="00EB3FFE"/>
    <w:rsid w:val="00EB5D8D"/>
    <w:rsid w:val="00EE5403"/>
    <w:rsid w:val="00EF00F6"/>
    <w:rsid w:val="00EF75B7"/>
    <w:rsid w:val="00F03D90"/>
    <w:rsid w:val="00F1109B"/>
    <w:rsid w:val="00F12C14"/>
    <w:rsid w:val="00F47CCF"/>
    <w:rsid w:val="00F47D4E"/>
    <w:rsid w:val="00F66311"/>
    <w:rsid w:val="00F725D0"/>
    <w:rsid w:val="00F81084"/>
    <w:rsid w:val="00F909E5"/>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891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rPr>
      <w:rFonts w:ascii="Helv" w:hAnsi="Helv"/>
    </w:rPr>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3">
    <w:name w:val="outlinetxt3"/>
    <w:basedOn w:val="Normal"/>
    <w:rsid w:val="00BD58AC"/>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outlinetxt4">
    <w:name w:val="outlinetxt4"/>
    <w:basedOn w:val="Normal"/>
    <w:rsid w:val="00BD58AC"/>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rPr>
      <w:rFonts w:ascii="Helv" w:hAnsi="Helv"/>
    </w:rPr>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3">
    <w:name w:val="outlinetxt3"/>
    <w:basedOn w:val="Normal"/>
    <w:rsid w:val="00BD58AC"/>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outlinetxt4">
    <w:name w:val="outlinetxt4"/>
    <w:basedOn w:val="Normal"/>
    <w:rsid w:val="00BD58AC"/>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82071-0B6B-4A33-991E-4225FE61B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2128</Words>
  <Characters>11485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5</cp:revision>
  <cp:lastPrinted>2013-07-25T20:06:00Z</cp:lastPrinted>
  <dcterms:created xsi:type="dcterms:W3CDTF">2014-12-04T20:30:00Z</dcterms:created>
  <dcterms:modified xsi:type="dcterms:W3CDTF">2015-02-05T18:28:00Z</dcterms:modified>
</cp:coreProperties>
</file>