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77F" w:rsidRPr="007E3BA6" w:rsidRDefault="00FF377F" w:rsidP="00FF377F">
      <w:pPr>
        <w:jc w:val="center"/>
        <w:rPr>
          <w:rFonts w:ascii="Arial" w:hAnsi="Arial" w:cs="Arial"/>
          <w:b/>
          <w:bCs/>
          <w:sz w:val="20"/>
          <w:szCs w:val="20"/>
        </w:rPr>
      </w:pPr>
      <w:r w:rsidRPr="007E3BA6">
        <w:rPr>
          <w:rFonts w:ascii="Arial" w:hAnsi="Arial" w:cs="Arial"/>
          <w:b/>
          <w:bCs/>
          <w:sz w:val="20"/>
          <w:szCs w:val="20"/>
        </w:rPr>
        <w:t xml:space="preserve">ENDORSEMENT </w:t>
      </w:r>
    </w:p>
    <w:p w:rsidR="00FF377F" w:rsidRPr="007E3BA6" w:rsidRDefault="00FF377F" w:rsidP="00FF377F">
      <w:pPr>
        <w:jc w:val="center"/>
        <w:rPr>
          <w:rFonts w:ascii="Arial" w:hAnsi="Arial" w:cs="Arial"/>
          <w:b/>
          <w:bCs/>
          <w:sz w:val="20"/>
          <w:szCs w:val="20"/>
        </w:rPr>
      </w:pPr>
    </w:p>
    <w:p w:rsidR="00FF377F" w:rsidRPr="007E3BA6" w:rsidRDefault="00FF377F" w:rsidP="00FF377F">
      <w:pPr>
        <w:jc w:val="center"/>
        <w:rPr>
          <w:rFonts w:ascii="Arial" w:hAnsi="Arial" w:cs="Arial"/>
          <w:b/>
          <w:bCs/>
          <w:sz w:val="20"/>
          <w:szCs w:val="20"/>
        </w:rPr>
      </w:pPr>
      <w:r w:rsidRPr="007E3BA6">
        <w:rPr>
          <w:rFonts w:ascii="Arial" w:hAnsi="Arial" w:cs="Arial"/>
          <w:b/>
          <w:bCs/>
          <w:sz w:val="20"/>
          <w:szCs w:val="20"/>
        </w:rPr>
        <w:t>THIS ENDORSEMENT CHANGES THE POLICY. PLEASE READ IT CAREFULLY.</w:t>
      </w:r>
    </w:p>
    <w:p w:rsidR="00FF377F" w:rsidRPr="007E3BA6" w:rsidRDefault="00FF377F" w:rsidP="00FF377F">
      <w:pPr>
        <w:jc w:val="center"/>
        <w:rPr>
          <w:rFonts w:ascii="Arial" w:hAnsi="Arial" w:cs="Arial"/>
        </w:rPr>
      </w:pPr>
    </w:p>
    <w:p w:rsidR="00FF377F" w:rsidRPr="007E3BA6" w:rsidRDefault="00FF377F" w:rsidP="00FF377F">
      <w:pPr>
        <w:pStyle w:val="Title"/>
        <w:jc w:val="left"/>
        <w:rPr>
          <w:rFonts w:ascii="Arial" w:hAnsi="Arial" w:cs="Arial"/>
          <w:b w:val="0"/>
          <w:sz w:val="20"/>
        </w:rPr>
      </w:pPr>
      <w:r w:rsidRPr="007E3BA6">
        <w:rPr>
          <w:rFonts w:ascii="Arial" w:hAnsi="Arial" w:cs="Arial"/>
          <w:b w:val="0"/>
          <w:sz w:val="20"/>
        </w:rPr>
        <w:t>This endorsement, effective 12:01 A.M.,</w:t>
      </w:r>
    </w:p>
    <w:p w:rsidR="00FF377F" w:rsidRPr="007E3BA6" w:rsidRDefault="00FF377F" w:rsidP="00FF377F">
      <w:pPr>
        <w:pStyle w:val="Title"/>
        <w:jc w:val="left"/>
        <w:rPr>
          <w:rFonts w:ascii="Arial" w:hAnsi="Arial" w:cs="Arial"/>
          <w:b w:val="0"/>
          <w:sz w:val="20"/>
        </w:rPr>
      </w:pPr>
      <w:r w:rsidRPr="007E3BA6">
        <w:rPr>
          <w:rFonts w:ascii="Arial" w:hAnsi="Arial" w:cs="Arial"/>
          <w:b w:val="0"/>
          <w:sz w:val="20"/>
        </w:rPr>
        <w:t>Forms a part of Policy No.:</w:t>
      </w:r>
    </w:p>
    <w:p w:rsidR="00FF377F" w:rsidRPr="006B5DD8" w:rsidRDefault="00FF377F" w:rsidP="00FF377F">
      <w:pPr>
        <w:rPr>
          <w:rFonts w:ascii="Univers ATT" w:hAnsi="Univers ATT"/>
          <w:sz w:val="20"/>
          <w:szCs w:val="20"/>
        </w:rPr>
      </w:pPr>
    </w:p>
    <w:p w:rsidR="00FF377F" w:rsidRPr="00274C27" w:rsidRDefault="00FF377F" w:rsidP="00FF377F">
      <w:pPr>
        <w:pStyle w:val="Subtitle"/>
        <w:rPr>
          <w:rFonts w:cs="Arial"/>
          <w:szCs w:val="28"/>
        </w:rPr>
      </w:pPr>
      <w:r w:rsidRPr="00274C27">
        <w:rPr>
          <w:rFonts w:cs="Arial"/>
          <w:szCs w:val="28"/>
        </w:rPr>
        <w:t>TEXAS</w:t>
      </w:r>
    </w:p>
    <w:p w:rsidR="00FF377F" w:rsidRPr="00274C27" w:rsidRDefault="00FF377F" w:rsidP="00FF377F">
      <w:pPr>
        <w:tabs>
          <w:tab w:val="left" w:pos="360"/>
          <w:tab w:val="left" w:pos="720"/>
          <w:tab w:val="left" w:pos="1080"/>
          <w:tab w:val="left" w:pos="1440"/>
          <w:tab w:val="left" w:pos="1800"/>
          <w:tab w:val="left" w:pos="2160"/>
        </w:tabs>
        <w:jc w:val="center"/>
        <w:rPr>
          <w:rFonts w:ascii="Arial" w:hAnsi="Arial" w:cs="Arial"/>
          <w:b/>
          <w:bCs/>
          <w:sz w:val="28"/>
          <w:szCs w:val="28"/>
        </w:rPr>
      </w:pPr>
      <w:r w:rsidRPr="00274C27">
        <w:rPr>
          <w:rFonts w:ascii="Arial" w:hAnsi="Arial" w:cs="Arial"/>
          <w:b/>
          <w:bCs/>
          <w:sz w:val="28"/>
          <w:szCs w:val="28"/>
        </w:rPr>
        <w:t>SEPTIC SYSTEMS POLLUTION ENDORSEMENT</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This endorsement modifies insurance provided under the following:</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p>
    <w:p w:rsidR="00FF377F" w:rsidRPr="007E3BA6" w:rsidRDefault="00FF377F" w:rsidP="00FF377F">
      <w:pPr>
        <w:tabs>
          <w:tab w:val="left" w:pos="360"/>
          <w:tab w:val="left" w:pos="720"/>
          <w:tab w:val="left" w:pos="1080"/>
          <w:tab w:val="left" w:pos="1440"/>
          <w:tab w:val="left" w:pos="1800"/>
          <w:tab w:val="left" w:pos="2160"/>
        </w:tabs>
        <w:rPr>
          <w:rFonts w:ascii="Arial" w:hAnsi="Arial" w:cs="Arial"/>
          <w:sz w:val="20"/>
          <w:szCs w:val="20"/>
        </w:rPr>
      </w:pPr>
      <w:r w:rsidRPr="007E3BA6">
        <w:rPr>
          <w:rFonts w:ascii="Arial" w:hAnsi="Arial" w:cs="Arial"/>
          <w:sz w:val="20"/>
          <w:szCs w:val="20"/>
        </w:rPr>
        <w:tab/>
        <w:t>COMMERCIAL</w:t>
      </w:r>
      <w:r>
        <w:rPr>
          <w:rFonts w:ascii="Arial" w:hAnsi="Arial" w:cs="Arial"/>
          <w:sz w:val="20"/>
          <w:szCs w:val="20"/>
        </w:rPr>
        <w:t xml:space="preserve"> GENERAL LIABILITY COVERAGE FORM</w:t>
      </w:r>
    </w:p>
    <w:p w:rsidR="00FF377F" w:rsidRPr="00794F31" w:rsidRDefault="00FF377F" w:rsidP="00FF377F">
      <w:pPr>
        <w:tabs>
          <w:tab w:val="left" w:pos="360"/>
          <w:tab w:val="left" w:pos="720"/>
          <w:tab w:val="left" w:pos="1080"/>
          <w:tab w:val="left" w:pos="1440"/>
          <w:tab w:val="left" w:pos="1800"/>
          <w:tab w:val="left" w:pos="2160"/>
        </w:tabs>
        <w:rPr>
          <w:rFonts w:ascii="Arial" w:hAnsi="Arial" w:cs="Arial"/>
          <w:b/>
          <w:sz w:val="20"/>
          <w:szCs w:val="20"/>
        </w:rPr>
      </w:pPr>
    </w:p>
    <w:p w:rsidR="00FF377F" w:rsidRPr="00794F31" w:rsidRDefault="00FF377F" w:rsidP="00FF377F">
      <w:pPr>
        <w:tabs>
          <w:tab w:val="left" w:pos="360"/>
          <w:tab w:val="left" w:pos="720"/>
          <w:tab w:val="left" w:pos="1080"/>
          <w:tab w:val="left" w:pos="1440"/>
          <w:tab w:val="left" w:pos="1800"/>
          <w:tab w:val="left" w:pos="2160"/>
        </w:tabs>
        <w:rPr>
          <w:rFonts w:ascii="Arial" w:hAnsi="Arial" w:cs="Arial"/>
          <w:b/>
          <w:sz w:val="20"/>
          <w:szCs w:val="20"/>
        </w:rPr>
      </w:pPr>
    </w:p>
    <w:p w:rsidR="00FF377F" w:rsidRPr="007261CD" w:rsidRDefault="00FF377F" w:rsidP="00FF377F">
      <w:pPr>
        <w:pStyle w:val="TxBrp5"/>
        <w:tabs>
          <w:tab w:val="left" w:pos="0"/>
        </w:tabs>
        <w:spacing w:line="232" w:lineRule="exact"/>
        <w:ind w:left="0" w:firstLine="0"/>
        <w:rPr>
          <w:rFonts w:ascii="Arial" w:hAnsi="Arial" w:cs="Arial"/>
          <w:sz w:val="20"/>
          <w:szCs w:val="20"/>
        </w:rPr>
      </w:pPr>
      <w:r>
        <w:rPr>
          <w:rFonts w:ascii="Arial" w:hAnsi="Arial" w:cs="Arial"/>
          <w:sz w:val="20"/>
          <w:szCs w:val="20"/>
        </w:rPr>
        <w:t xml:space="preserve">Subparagraph </w:t>
      </w:r>
      <w:r>
        <w:rPr>
          <w:rFonts w:ascii="Arial" w:hAnsi="Arial" w:cs="Arial"/>
          <w:b/>
          <w:sz w:val="20"/>
          <w:szCs w:val="20"/>
        </w:rPr>
        <w:t>f.</w:t>
      </w:r>
      <w:r w:rsidRPr="00055CF6">
        <w:rPr>
          <w:rFonts w:ascii="Arial" w:hAnsi="Arial" w:cs="Arial"/>
          <w:b/>
          <w:sz w:val="20"/>
          <w:szCs w:val="20"/>
        </w:rPr>
        <w:t xml:space="preserve"> </w:t>
      </w:r>
      <w:r>
        <w:rPr>
          <w:rFonts w:ascii="Arial" w:hAnsi="Arial" w:cs="Arial"/>
          <w:b/>
          <w:sz w:val="20"/>
          <w:szCs w:val="20"/>
        </w:rPr>
        <w:t xml:space="preserve">(1) </w:t>
      </w:r>
      <w:r>
        <w:rPr>
          <w:rFonts w:ascii="Arial" w:hAnsi="Arial" w:cs="Arial"/>
          <w:sz w:val="20"/>
          <w:szCs w:val="20"/>
        </w:rPr>
        <w:t xml:space="preserve">of Paragraph </w:t>
      </w:r>
      <w:r>
        <w:rPr>
          <w:rFonts w:ascii="Arial" w:hAnsi="Arial" w:cs="Arial"/>
          <w:b/>
          <w:sz w:val="20"/>
          <w:szCs w:val="20"/>
        </w:rPr>
        <w:t xml:space="preserve">2. Exclusions </w:t>
      </w:r>
      <w:r>
        <w:rPr>
          <w:rFonts w:ascii="Arial" w:hAnsi="Arial" w:cs="Arial"/>
          <w:sz w:val="20"/>
          <w:szCs w:val="20"/>
        </w:rPr>
        <w:t>of</w:t>
      </w:r>
      <w:r>
        <w:rPr>
          <w:rFonts w:ascii="Arial" w:hAnsi="Arial" w:cs="Arial"/>
          <w:b/>
          <w:sz w:val="20"/>
          <w:szCs w:val="20"/>
        </w:rPr>
        <w:t xml:space="preserve"> </w:t>
      </w:r>
      <w:r w:rsidRPr="00F42695">
        <w:rPr>
          <w:rFonts w:ascii="Arial" w:hAnsi="Arial" w:cs="Arial"/>
          <w:b/>
          <w:sz w:val="20"/>
          <w:szCs w:val="20"/>
        </w:rPr>
        <w:t>COVERAGE A — BODILY INJURY AND PROPERTY DAMAGE LIABILITY</w:t>
      </w:r>
      <w:r>
        <w:rPr>
          <w:rFonts w:ascii="Arial" w:hAnsi="Arial" w:cs="Arial"/>
          <w:b/>
          <w:sz w:val="20"/>
          <w:szCs w:val="20"/>
        </w:rPr>
        <w:t xml:space="preserve"> (</w:t>
      </w:r>
      <w:r w:rsidRPr="00A91F4A">
        <w:rPr>
          <w:rFonts w:ascii="Arial" w:hAnsi="Arial" w:cs="Arial"/>
          <w:b/>
          <w:sz w:val="20"/>
          <w:szCs w:val="20"/>
        </w:rPr>
        <w:t>SECTION I — COVERAGES</w:t>
      </w:r>
      <w:r>
        <w:rPr>
          <w:rFonts w:ascii="Arial" w:hAnsi="Arial" w:cs="Arial"/>
          <w:b/>
          <w:sz w:val="20"/>
          <w:szCs w:val="20"/>
        </w:rPr>
        <w:t xml:space="preserve">) </w:t>
      </w:r>
      <w:r>
        <w:rPr>
          <w:rFonts w:ascii="Arial" w:hAnsi="Arial" w:cs="Arial"/>
          <w:sz w:val="20"/>
          <w:szCs w:val="20"/>
        </w:rPr>
        <w:t>is deleted in its entirety and replaced with the following</w:t>
      </w:r>
      <w:r w:rsidRPr="007261CD">
        <w:rPr>
          <w:rFonts w:ascii="Arial" w:hAnsi="Arial" w:cs="Arial"/>
          <w:sz w:val="20"/>
          <w:szCs w:val="20"/>
        </w:rPr>
        <w:t>:</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This insurance does not apply to:</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p>
    <w:p w:rsidR="00FF377F" w:rsidRDefault="00FF377F" w:rsidP="00FF377F">
      <w:pPr>
        <w:tabs>
          <w:tab w:val="left" w:pos="360"/>
          <w:tab w:val="left" w:pos="720"/>
          <w:tab w:val="left" w:pos="1080"/>
          <w:tab w:val="left" w:pos="1440"/>
          <w:tab w:val="left" w:pos="1800"/>
          <w:tab w:val="left" w:pos="2160"/>
        </w:tabs>
        <w:rPr>
          <w:rFonts w:ascii="Arial" w:hAnsi="Arial" w:cs="Arial"/>
          <w:b/>
          <w:sz w:val="20"/>
          <w:szCs w:val="20"/>
        </w:rPr>
      </w:pPr>
      <w:r>
        <w:rPr>
          <w:rFonts w:ascii="Arial" w:hAnsi="Arial" w:cs="Arial"/>
          <w:b/>
          <w:sz w:val="20"/>
          <w:szCs w:val="20"/>
        </w:rPr>
        <w:t>f.</w:t>
      </w:r>
      <w:r>
        <w:rPr>
          <w:rFonts w:ascii="Arial" w:hAnsi="Arial" w:cs="Arial"/>
          <w:b/>
          <w:sz w:val="20"/>
          <w:szCs w:val="20"/>
        </w:rPr>
        <w:tab/>
        <w:t>Pollution</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p>
    <w:p w:rsidR="00FF377F" w:rsidRDefault="00FF377F" w:rsidP="00FF377F">
      <w:pPr>
        <w:pStyle w:val="TxBrp6"/>
        <w:numPr>
          <w:ilvl w:val="0"/>
          <w:numId w:val="3"/>
        </w:numPr>
        <w:tabs>
          <w:tab w:val="left" w:pos="374"/>
        </w:tabs>
        <w:spacing w:line="232" w:lineRule="exact"/>
        <w:ind w:left="720"/>
        <w:jc w:val="both"/>
        <w:rPr>
          <w:rFonts w:ascii="Arial" w:hAnsi="Arial" w:cs="Arial"/>
          <w:sz w:val="20"/>
          <w:szCs w:val="20"/>
        </w:rPr>
      </w:pPr>
      <w:r>
        <w:rPr>
          <w:rFonts w:ascii="Arial" w:hAnsi="Arial" w:cs="Arial"/>
          <w:sz w:val="20"/>
          <w:szCs w:val="20"/>
        </w:rPr>
        <w:tab/>
      </w:r>
      <w:r w:rsidRPr="007261CD">
        <w:rPr>
          <w:rFonts w:ascii="Arial" w:hAnsi="Arial" w:cs="Arial"/>
          <w:sz w:val="20"/>
          <w:szCs w:val="20"/>
        </w:rPr>
        <w:t xml:space="preserve">“Bodily injury” or “property damage” </w:t>
      </w:r>
      <w:r>
        <w:rPr>
          <w:rFonts w:ascii="Arial" w:hAnsi="Arial" w:cs="Arial"/>
          <w:sz w:val="20"/>
          <w:szCs w:val="20"/>
        </w:rPr>
        <w:t xml:space="preserve">arising out of </w:t>
      </w:r>
      <w:r w:rsidRPr="007261CD">
        <w:rPr>
          <w:rFonts w:ascii="Arial" w:hAnsi="Arial" w:cs="Arial"/>
          <w:sz w:val="20"/>
          <w:szCs w:val="20"/>
        </w:rPr>
        <w:t>the actual, alleged or threatened discharge, dispersal, seepage, migration, release or escape of “pollutants” at any time.</w:t>
      </w:r>
      <w:r>
        <w:rPr>
          <w:rFonts w:ascii="Arial" w:hAnsi="Arial" w:cs="Arial"/>
          <w:sz w:val="20"/>
          <w:szCs w:val="20"/>
        </w:rPr>
        <w:t xml:space="preserve">  However, this Subparagraph does not apply to:</w:t>
      </w:r>
    </w:p>
    <w:p w:rsidR="00FF377F" w:rsidRDefault="00FF377F" w:rsidP="00FF377F">
      <w:pPr>
        <w:tabs>
          <w:tab w:val="left" w:pos="360"/>
          <w:tab w:val="left" w:pos="720"/>
          <w:tab w:val="left" w:pos="1080"/>
          <w:tab w:val="left" w:pos="1440"/>
          <w:tab w:val="left" w:pos="1800"/>
          <w:tab w:val="left" w:pos="2160"/>
        </w:tabs>
        <w:ind w:left="720" w:hanging="360"/>
        <w:jc w:val="both"/>
        <w:rPr>
          <w:rFonts w:ascii="Arial" w:hAnsi="Arial" w:cs="Arial"/>
          <w:sz w:val="20"/>
          <w:szCs w:val="20"/>
        </w:rPr>
      </w:pPr>
    </w:p>
    <w:p w:rsidR="00FF377F" w:rsidRDefault="00FF377F" w:rsidP="00FF377F">
      <w:pPr>
        <w:numPr>
          <w:ilvl w:val="0"/>
          <w:numId w:val="1"/>
        </w:numPr>
        <w:tabs>
          <w:tab w:val="left" w:pos="360"/>
          <w:tab w:val="left" w:pos="720"/>
          <w:tab w:val="left" w:pos="1440"/>
          <w:tab w:val="left" w:pos="1800"/>
          <w:tab w:val="left" w:pos="2160"/>
        </w:tabs>
        <w:jc w:val="both"/>
        <w:rPr>
          <w:rFonts w:ascii="Arial" w:hAnsi="Arial" w:cs="Arial"/>
          <w:sz w:val="20"/>
          <w:szCs w:val="20"/>
        </w:rPr>
      </w:pPr>
      <w:r>
        <w:rPr>
          <w:rFonts w:ascii="Arial" w:hAnsi="Arial" w:cs="Arial"/>
          <w:sz w:val="20"/>
          <w:szCs w:val="20"/>
        </w:rPr>
        <w:t xml:space="preserve"> “Bodily injury” if sustained within a building which is or was at any time owned or occupied by, or rented or loaned to, any insured and caused by smoke, fumes, vapor or soot produced by or originating from equipment that is used to heat, cool or dehumidify the building, or equipment that is used to heat water for personal use, by the building’s occupants or their guests. </w:t>
      </w:r>
    </w:p>
    <w:p w:rsidR="00FF377F" w:rsidRDefault="00FF377F" w:rsidP="00FF377F">
      <w:pPr>
        <w:numPr>
          <w:ilvl w:val="0"/>
          <w:numId w:val="1"/>
        </w:numPr>
        <w:tabs>
          <w:tab w:val="left" w:pos="360"/>
          <w:tab w:val="left" w:pos="720"/>
          <w:tab w:val="left" w:pos="1440"/>
          <w:tab w:val="left" w:pos="1800"/>
          <w:tab w:val="left" w:pos="2160"/>
        </w:tabs>
        <w:spacing w:before="200"/>
        <w:jc w:val="both"/>
        <w:rPr>
          <w:rFonts w:ascii="Arial" w:hAnsi="Arial" w:cs="Arial"/>
          <w:sz w:val="20"/>
          <w:szCs w:val="20"/>
        </w:rPr>
      </w:pPr>
      <w:r>
        <w:rPr>
          <w:rFonts w:ascii="Arial" w:hAnsi="Arial" w:cs="Arial"/>
          <w:sz w:val="20"/>
          <w:szCs w:val="20"/>
        </w:rPr>
        <w:t>“Bodily injury” or “property damage” arising out of heat, smoke or fumes from a “hostile fire” unless that “hostile fire” occurred or originated at any premises, site or location:</w:t>
      </w:r>
    </w:p>
    <w:p w:rsidR="00FF377F" w:rsidRDefault="00FF377F" w:rsidP="00FF377F">
      <w:pPr>
        <w:numPr>
          <w:ilvl w:val="0"/>
          <w:numId w:val="2"/>
        </w:numPr>
        <w:tabs>
          <w:tab w:val="clear" w:pos="1800"/>
          <w:tab w:val="left" w:pos="360"/>
          <w:tab w:val="left" w:pos="720"/>
          <w:tab w:val="left" w:pos="1080"/>
        </w:tabs>
        <w:spacing w:before="200"/>
        <w:ind w:left="1440" w:hanging="360"/>
        <w:jc w:val="both"/>
        <w:rPr>
          <w:rFonts w:ascii="Arial" w:hAnsi="Arial" w:cs="Arial"/>
          <w:sz w:val="20"/>
          <w:szCs w:val="20"/>
        </w:rPr>
      </w:pPr>
      <w:r>
        <w:rPr>
          <w:rFonts w:ascii="Arial" w:hAnsi="Arial" w:cs="Arial"/>
          <w:sz w:val="20"/>
          <w:szCs w:val="20"/>
        </w:rPr>
        <w:t>which is or was at any time used by or for any insured or others for the handling, storage, disposal, processing or treatment of waste; or</w:t>
      </w:r>
    </w:p>
    <w:p w:rsidR="00FF377F" w:rsidRDefault="00FF377F" w:rsidP="00FF377F">
      <w:pPr>
        <w:numPr>
          <w:ilvl w:val="0"/>
          <w:numId w:val="2"/>
        </w:numPr>
        <w:tabs>
          <w:tab w:val="clear" w:pos="1800"/>
          <w:tab w:val="left" w:pos="360"/>
          <w:tab w:val="left" w:pos="720"/>
          <w:tab w:val="left" w:pos="1080"/>
          <w:tab w:val="left" w:pos="2160"/>
        </w:tabs>
        <w:spacing w:before="200"/>
        <w:ind w:left="1440" w:hanging="360"/>
        <w:jc w:val="both"/>
        <w:rPr>
          <w:rFonts w:ascii="Arial" w:hAnsi="Arial" w:cs="Arial"/>
          <w:sz w:val="20"/>
          <w:szCs w:val="20"/>
        </w:rPr>
      </w:pPr>
      <w:r>
        <w:rPr>
          <w:rFonts w:ascii="Arial" w:hAnsi="Arial" w:cs="Arial"/>
          <w:sz w:val="20"/>
          <w:szCs w:val="20"/>
        </w:rPr>
        <w:t xml:space="preserve">on which any insured or any contractors or subcontractors working directly or indirectly on any Insured’s behalf are performing operations to test for, monitor, clean up, remove, contain, treat, detoxify, neutralize or in any way respond to, or assess the effects of “pollutants”. </w:t>
      </w:r>
    </w:p>
    <w:p w:rsidR="00FF377F" w:rsidRDefault="00FF377F" w:rsidP="00FF377F">
      <w:pPr>
        <w:tabs>
          <w:tab w:val="left" w:pos="360"/>
          <w:tab w:val="left" w:pos="990"/>
          <w:tab w:val="left" w:pos="1080"/>
          <w:tab w:val="left" w:pos="1440"/>
          <w:tab w:val="left" w:pos="1800"/>
          <w:tab w:val="left" w:pos="2160"/>
        </w:tabs>
        <w:spacing w:before="200"/>
        <w:ind w:left="1080" w:hanging="360"/>
        <w:jc w:val="both"/>
        <w:rPr>
          <w:rFonts w:ascii="Arial" w:hAnsi="Arial" w:cs="Arial"/>
          <w:sz w:val="20"/>
          <w:szCs w:val="20"/>
        </w:rPr>
      </w:pPr>
      <w:r w:rsidRPr="00711DC6">
        <w:rPr>
          <w:rFonts w:ascii="Arial" w:hAnsi="Arial" w:cs="Arial"/>
          <w:b/>
          <w:sz w:val="20"/>
          <w:szCs w:val="20"/>
        </w:rPr>
        <w:t>(c)</w:t>
      </w:r>
      <w:r>
        <w:rPr>
          <w:rFonts w:ascii="Arial" w:hAnsi="Arial" w:cs="Arial"/>
          <w:sz w:val="20"/>
          <w:szCs w:val="20"/>
        </w:rPr>
        <w:tab/>
        <w:t>“Bodily injury” or “property damage” arising out of the “products-completed operations hazard”, but only for the following business activities:  the installation, maintenance, service, repair, cleaning or removal of septic or cesspool systems at the customer’s premises.</w:t>
      </w:r>
    </w:p>
    <w:p w:rsidR="00FF377F" w:rsidRDefault="00FF377F" w:rsidP="00FF377F">
      <w:pPr>
        <w:tabs>
          <w:tab w:val="left" w:pos="360"/>
          <w:tab w:val="left" w:pos="720"/>
          <w:tab w:val="left" w:pos="1440"/>
          <w:tab w:val="left" w:pos="1800"/>
          <w:tab w:val="left" w:pos="2160"/>
        </w:tabs>
        <w:jc w:val="both"/>
        <w:rPr>
          <w:rFonts w:ascii="Arial" w:hAnsi="Arial" w:cs="Arial"/>
          <w:sz w:val="20"/>
          <w:szCs w:val="20"/>
        </w:rPr>
      </w:pP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ab/>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sidRPr="006B5DD8">
        <w:rPr>
          <w:rFonts w:ascii="Univers ATT" w:hAnsi="Univers ATT" w:cs="Arial"/>
          <w:sz w:val="20"/>
          <w:szCs w:val="20"/>
        </w:rPr>
        <w:t>All other terms and conditions of the policy remain the same</w:t>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rsidR="00FF377F" w:rsidRDefault="00FF377F" w:rsidP="00FF377F">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 xml:space="preserve">                                                                                                         _____________________                        </w:t>
      </w:r>
    </w:p>
    <w:p w:rsidR="00FF377F" w:rsidRDefault="00FF377F" w:rsidP="00FF377F">
      <w:pPr>
        <w:tabs>
          <w:tab w:val="left" w:pos="360"/>
          <w:tab w:val="left" w:pos="720"/>
          <w:tab w:val="left" w:pos="1080"/>
          <w:tab w:val="left" w:pos="1440"/>
          <w:tab w:val="left" w:pos="1800"/>
          <w:tab w:val="left" w:pos="2160"/>
        </w:tabs>
        <w:ind w:left="720" w:hanging="720"/>
        <w:rPr>
          <w:rFonts w:ascii="Arial" w:hAnsi="Arial" w:cs="Arial"/>
          <w:sz w:val="20"/>
          <w:szCs w:val="20"/>
        </w:rPr>
      </w:pPr>
      <w:r>
        <w:rPr>
          <w:rFonts w:ascii="Arial" w:hAnsi="Arial" w:cs="Arial"/>
          <w:sz w:val="20"/>
          <w:szCs w:val="20"/>
        </w:rPr>
        <w:tab/>
        <w:t xml:space="preserve">                                                                                                  </w:t>
      </w:r>
      <w:r w:rsidRPr="006B5DD8">
        <w:rPr>
          <w:rFonts w:ascii="Univers ATT" w:hAnsi="Univers ATT" w:cs="Arial"/>
          <w:sz w:val="20"/>
          <w:szCs w:val="20"/>
        </w:rPr>
        <w:t>Authorized Representative</w:t>
      </w:r>
    </w:p>
    <w:p w:rsidR="000926DC" w:rsidRDefault="000926DC"/>
    <w:sectPr w:rsidR="000926DC" w:rsidSect="000926D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77F" w:rsidRDefault="00FF377F" w:rsidP="00FF377F">
      <w:r>
        <w:separator/>
      </w:r>
    </w:p>
  </w:endnote>
  <w:endnote w:type="continuationSeparator" w:id="0">
    <w:p w:rsidR="00FF377F" w:rsidRDefault="00FF377F" w:rsidP="00FF37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FF377F" w:rsidRPr="002A132A" w:rsidTr="00055E62">
      <w:trPr>
        <w:trHeight w:val="332"/>
      </w:trPr>
      <w:tc>
        <w:tcPr>
          <w:tcW w:w="1728" w:type="dxa"/>
        </w:tcPr>
        <w:p w:rsidR="00FF377F" w:rsidRPr="002A132A" w:rsidRDefault="00FF377F" w:rsidP="00055E62">
          <w:pPr>
            <w:pStyle w:val="Footer"/>
            <w:rPr>
              <w:rFonts w:ascii="Univers ATT" w:hAnsi="Univers ATT" w:cs="Arial"/>
              <w:sz w:val="18"/>
              <w:szCs w:val="18"/>
            </w:rPr>
          </w:pPr>
          <w:r>
            <w:rPr>
              <w:rFonts w:ascii="Univers ATT" w:hAnsi="Univers ATT" w:cs="Arial"/>
              <w:sz w:val="18"/>
              <w:szCs w:val="18"/>
            </w:rPr>
            <w:t>11768</w:t>
          </w:r>
          <w:r>
            <w:rPr>
              <w:rFonts w:ascii="Univers ATT" w:hAnsi="Univers ATT" w:cs="Arial"/>
              <w:sz w:val="18"/>
              <w:szCs w:val="18"/>
            </w:rPr>
            <w:t>6</w:t>
          </w:r>
          <w:r>
            <w:rPr>
              <w:rFonts w:ascii="Univers ATT" w:hAnsi="Univers ATT" w:cs="Arial"/>
              <w:sz w:val="18"/>
              <w:szCs w:val="18"/>
            </w:rPr>
            <w:t xml:space="preserve"> </w:t>
          </w:r>
          <w:r w:rsidRPr="002A132A">
            <w:rPr>
              <w:rFonts w:ascii="Univers ATT" w:hAnsi="Univers ATT" w:cs="Arial"/>
              <w:sz w:val="18"/>
              <w:szCs w:val="18"/>
            </w:rPr>
            <w:t>(</w:t>
          </w:r>
          <w:r>
            <w:rPr>
              <w:rFonts w:ascii="Univers ATT" w:hAnsi="Univers ATT" w:cs="Arial"/>
              <w:sz w:val="18"/>
              <w:szCs w:val="18"/>
            </w:rPr>
            <w:t>10/14</w:t>
          </w:r>
          <w:r w:rsidRPr="002A132A">
            <w:rPr>
              <w:rFonts w:ascii="Univers ATT" w:hAnsi="Univers ATT" w:cs="Arial"/>
              <w:sz w:val="18"/>
              <w:szCs w:val="18"/>
            </w:rPr>
            <w:t>)</w:t>
          </w:r>
        </w:p>
      </w:tc>
      <w:tc>
        <w:tcPr>
          <w:tcW w:w="5760" w:type="dxa"/>
        </w:tcPr>
        <w:p w:rsidR="00FF377F" w:rsidRDefault="00FF377F" w:rsidP="00055E62">
          <w:pPr>
            <w:pStyle w:val="isof1"/>
            <w:jc w:val="center"/>
            <w:rPr>
              <w:rFonts w:ascii="Univers ATT" w:hAnsi="Univers ATT"/>
              <w:sz w:val="18"/>
              <w:szCs w:val="18"/>
            </w:rPr>
          </w:pPr>
          <w:r w:rsidRPr="007E6471">
            <w:rPr>
              <w:rFonts w:ascii="Univers ATT" w:hAnsi="Univers ATT"/>
              <w:sz w:val="18"/>
              <w:szCs w:val="18"/>
            </w:rPr>
            <w:t xml:space="preserve">Includes copyrighted material of Insurance Services Office, Inc with permission. </w:t>
          </w:r>
        </w:p>
        <w:p w:rsidR="00FF377F" w:rsidRPr="002A132A" w:rsidRDefault="00FF377F" w:rsidP="00055E62">
          <w:pPr>
            <w:pStyle w:val="isof1"/>
            <w:jc w:val="center"/>
            <w:rPr>
              <w:rFonts w:ascii="Univers ATT" w:hAnsi="Univers ATT" w:cs="Arial"/>
              <w:sz w:val="18"/>
              <w:szCs w:val="18"/>
            </w:rPr>
          </w:pPr>
        </w:p>
      </w:tc>
      <w:tc>
        <w:tcPr>
          <w:tcW w:w="1980" w:type="dxa"/>
        </w:tcPr>
        <w:p w:rsidR="00FF377F" w:rsidRPr="002A132A" w:rsidRDefault="00FF377F" w:rsidP="00055E6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w:t>
          </w:r>
          <w:r>
            <w:rPr>
              <w:rStyle w:val="PageNumber"/>
              <w:rFonts w:ascii="Univers ATT" w:hAnsi="Univers ATT" w:cs="Arial"/>
              <w:sz w:val="18"/>
              <w:szCs w:val="18"/>
            </w:rPr>
            <w:t>1</w:t>
          </w:r>
        </w:p>
        <w:p w:rsidR="00FF377F" w:rsidRPr="002A132A" w:rsidRDefault="00FF377F" w:rsidP="00055E62">
          <w:pPr>
            <w:pStyle w:val="Footer"/>
            <w:rPr>
              <w:rFonts w:ascii="Univers ATT" w:hAnsi="Univers ATT" w:cs="Arial"/>
              <w:sz w:val="18"/>
              <w:szCs w:val="18"/>
            </w:rPr>
          </w:pPr>
        </w:p>
      </w:tc>
    </w:tr>
  </w:tbl>
  <w:p w:rsidR="00FF377F" w:rsidRDefault="00FF37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77F" w:rsidRDefault="00FF377F" w:rsidP="00FF377F">
      <w:r>
        <w:separator/>
      </w:r>
    </w:p>
  </w:footnote>
  <w:footnote w:type="continuationSeparator" w:id="0">
    <w:p w:rsidR="00FF377F" w:rsidRDefault="00FF377F" w:rsidP="00FF37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E45B9"/>
    <w:multiLevelType w:val="hybridMultilevel"/>
    <w:tmpl w:val="8BBAF8FA"/>
    <w:lvl w:ilvl="0" w:tplc="2A2C38D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3D966BB"/>
    <w:multiLevelType w:val="hybridMultilevel"/>
    <w:tmpl w:val="03203E32"/>
    <w:lvl w:ilvl="0" w:tplc="88B03F42">
      <w:start w:val="1"/>
      <w:numFmt w:val="lowerRoman"/>
      <w:lvlText w:val="(%1)"/>
      <w:lvlJc w:val="left"/>
      <w:pPr>
        <w:tabs>
          <w:tab w:val="num" w:pos="1800"/>
        </w:tabs>
        <w:ind w:left="1800" w:hanging="72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6FFE4437"/>
    <w:multiLevelType w:val="hybridMultilevel"/>
    <w:tmpl w:val="7D2A2190"/>
    <w:lvl w:ilvl="0" w:tplc="77CA1888">
      <w:start w:val="1"/>
      <w:numFmt w:val="decimal"/>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rsids>
    <w:rsidRoot w:val="00FF377F"/>
    <w:rsid w:val="000926DC"/>
    <w:rsid w:val="00FF37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7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F377F"/>
    <w:pPr>
      <w:jc w:val="center"/>
    </w:pPr>
    <w:rPr>
      <w:b/>
      <w:sz w:val="28"/>
      <w:szCs w:val="20"/>
    </w:rPr>
  </w:style>
  <w:style w:type="character" w:customStyle="1" w:styleId="TitleChar">
    <w:name w:val="Title Char"/>
    <w:basedOn w:val="DefaultParagraphFont"/>
    <w:link w:val="Title"/>
    <w:rsid w:val="00FF377F"/>
    <w:rPr>
      <w:rFonts w:ascii="Times New Roman" w:eastAsia="Times New Roman" w:hAnsi="Times New Roman" w:cs="Times New Roman"/>
      <w:b/>
      <w:sz w:val="28"/>
      <w:szCs w:val="20"/>
    </w:rPr>
  </w:style>
  <w:style w:type="paragraph" w:styleId="Subtitle">
    <w:name w:val="Subtitle"/>
    <w:basedOn w:val="Normal"/>
    <w:link w:val="SubtitleChar"/>
    <w:qFormat/>
    <w:rsid w:val="00FF377F"/>
    <w:pPr>
      <w:jc w:val="center"/>
    </w:pPr>
    <w:rPr>
      <w:rFonts w:ascii="Arial" w:hAnsi="Arial"/>
      <w:b/>
      <w:sz w:val="28"/>
      <w:szCs w:val="20"/>
    </w:rPr>
  </w:style>
  <w:style w:type="character" w:customStyle="1" w:styleId="SubtitleChar">
    <w:name w:val="Subtitle Char"/>
    <w:basedOn w:val="DefaultParagraphFont"/>
    <w:link w:val="Subtitle"/>
    <w:rsid w:val="00FF377F"/>
    <w:rPr>
      <w:rFonts w:ascii="Arial" w:eastAsia="Times New Roman" w:hAnsi="Arial" w:cs="Times New Roman"/>
      <w:b/>
      <w:sz w:val="28"/>
      <w:szCs w:val="20"/>
    </w:rPr>
  </w:style>
  <w:style w:type="paragraph" w:customStyle="1" w:styleId="TxBrp5">
    <w:name w:val="TxBr_p5"/>
    <w:basedOn w:val="Normal"/>
    <w:rsid w:val="00FF377F"/>
    <w:pPr>
      <w:widowControl w:val="0"/>
      <w:autoSpaceDE w:val="0"/>
      <w:autoSpaceDN w:val="0"/>
      <w:adjustRightInd w:val="0"/>
      <w:spacing w:line="232" w:lineRule="atLeast"/>
      <w:ind w:left="1054" w:hanging="374"/>
    </w:pPr>
  </w:style>
  <w:style w:type="paragraph" w:customStyle="1" w:styleId="TxBrp6">
    <w:name w:val="TxBr_p6"/>
    <w:basedOn w:val="Normal"/>
    <w:rsid w:val="00FF377F"/>
    <w:pPr>
      <w:widowControl w:val="0"/>
      <w:tabs>
        <w:tab w:val="left" w:pos="725"/>
      </w:tabs>
      <w:autoSpaceDE w:val="0"/>
      <w:autoSpaceDN w:val="0"/>
      <w:adjustRightInd w:val="0"/>
      <w:spacing w:line="232" w:lineRule="atLeast"/>
      <w:ind w:left="1094" w:hanging="720"/>
    </w:pPr>
  </w:style>
  <w:style w:type="paragraph" w:styleId="Header">
    <w:name w:val="header"/>
    <w:basedOn w:val="Normal"/>
    <w:link w:val="HeaderChar"/>
    <w:uiPriority w:val="99"/>
    <w:semiHidden/>
    <w:unhideWhenUsed/>
    <w:rsid w:val="00FF377F"/>
    <w:pPr>
      <w:tabs>
        <w:tab w:val="center" w:pos="4680"/>
        <w:tab w:val="right" w:pos="9360"/>
      </w:tabs>
    </w:pPr>
  </w:style>
  <w:style w:type="character" w:customStyle="1" w:styleId="HeaderChar">
    <w:name w:val="Header Char"/>
    <w:basedOn w:val="DefaultParagraphFont"/>
    <w:link w:val="Header"/>
    <w:uiPriority w:val="99"/>
    <w:semiHidden/>
    <w:rsid w:val="00FF377F"/>
    <w:rPr>
      <w:rFonts w:ascii="Times New Roman" w:eastAsia="Times New Roman" w:hAnsi="Times New Roman" w:cs="Times New Roman"/>
      <w:sz w:val="24"/>
      <w:szCs w:val="24"/>
    </w:rPr>
  </w:style>
  <w:style w:type="paragraph" w:styleId="Footer">
    <w:name w:val="footer"/>
    <w:basedOn w:val="Normal"/>
    <w:link w:val="FooterChar"/>
    <w:unhideWhenUsed/>
    <w:rsid w:val="00FF377F"/>
    <w:pPr>
      <w:tabs>
        <w:tab w:val="center" w:pos="4680"/>
        <w:tab w:val="right" w:pos="9360"/>
      </w:tabs>
    </w:pPr>
  </w:style>
  <w:style w:type="character" w:customStyle="1" w:styleId="FooterChar">
    <w:name w:val="Footer Char"/>
    <w:basedOn w:val="DefaultParagraphFont"/>
    <w:link w:val="Footer"/>
    <w:uiPriority w:val="99"/>
    <w:rsid w:val="00FF377F"/>
    <w:rPr>
      <w:rFonts w:ascii="Times New Roman" w:eastAsia="Times New Roman" w:hAnsi="Times New Roman" w:cs="Times New Roman"/>
      <w:sz w:val="24"/>
      <w:szCs w:val="24"/>
    </w:rPr>
  </w:style>
  <w:style w:type="character" w:styleId="PageNumber">
    <w:name w:val="page number"/>
    <w:basedOn w:val="DefaultParagraphFont"/>
    <w:rsid w:val="00FF377F"/>
  </w:style>
  <w:style w:type="paragraph" w:customStyle="1" w:styleId="isof1">
    <w:name w:val="isof1"/>
    <w:basedOn w:val="Normal"/>
    <w:rsid w:val="00FF377F"/>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FF377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353</Words>
  <Characters>2014</Characters>
  <Application>Microsoft Office Word</Application>
  <DocSecurity>0</DocSecurity>
  <Lines>16</Lines>
  <Paragraphs>4</Paragraphs>
  <ScaleCrop>false</ScaleCrop>
  <Company>Chartis Insurance</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emartell</dc:creator>
  <cp:keywords/>
  <dc:description/>
  <cp:lastModifiedBy>emartell</cp:lastModifiedBy>
  <cp:revision>1</cp:revision>
  <dcterms:created xsi:type="dcterms:W3CDTF">2014-10-28T16:15:00Z</dcterms:created>
  <dcterms:modified xsi:type="dcterms:W3CDTF">2014-10-28T16:18:00Z</dcterms:modified>
</cp:coreProperties>
</file>