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F2A8" w14:textId="77777777" w:rsidR="00B07575" w:rsidRDefault="00B07575" w:rsidP="00B07575">
      <w:pPr>
        <w:jc w:val="center"/>
        <w:rPr>
          <w:rFonts w:ascii="Arial" w:hAnsi="Arial" w:cs="Arial"/>
          <w:b/>
          <w:bCs/>
          <w:u w:val="single"/>
        </w:rPr>
      </w:pPr>
      <w:r w:rsidRPr="0062009F">
        <w:rPr>
          <w:rFonts w:ascii="Arial" w:hAnsi="Arial" w:cs="Arial"/>
          <w:b/>
          <w:bCs/>
          <w:u w:val="single"/>
        </w:rPr>
        <w:t xml:space="preserve">Commercial </w:t>
      </w:r>
      <w:r>
        <w:rPr>
          <w:rFonts w:ascii="Arial" w:hAnsi="Arial" w:cs="Arial"/>
          <w:b/>
          <w:bCs/>
          <w:u w:val="single"/>
        </w:rPr>
        <w:t>Lines Manual</w:t>
      </w:r>
    </w:p>
    <w:p w14:paraId="157ED9A5" w14:textId="77777777" w:rsidR="00B07575" w:rsidRDefault="00B07575" w:rsidP="00B07575">
      <w:pPr>
        <w:jc w:val="center"/>
        <w:rPr>
          <w:rFonts w:ascii="Arial" w:hAnsi="Arial" w:cs="Arial"/>
          <w:b/>
          <w:bCs/>
          <w:u w:val="single"/>
        </w:rPr>
      </w:pPr>
      <w:r>
        <w:rPr>
          <w:rFonts w:ascii="Arial" w:hAnsi="Arial" w:cs="Arial"/>
          <w:b/>
          <w:bCs/>
          <w:u w:val="single"/>
        </w:rPr>
        <w:t>Division Six – General Liability</w:t>
      </w:r>
    </w:p>
    <w:p w14:paraId="3E7054C7" w14:textId="77777777" w:rsidR="00B07575" w:rsidRDefault="00B07575" w:rsidP="00B07575">
      <w:pPr>
        <w:jc w:val="center"/>
        <w:rPr>
          <w:rFonts w:ascii="Arial" w:hAnsi="Arial" w:cs="Arial"/>
          <w:b/>
          <w:bCs/>
          <w:u w:val="single"/>
        </w:rPr>
      </w:pPr>
    </w:p>
    <w:p w14:paraId="76712BDC" w14:textId="7E93A6D6" w:rsidR="00B07575" w:rsidRDefault="00B07575" w:rsidP="00B07575">
      <w:pPr>
        <w:jc w:val="center"/>
        <w:rPr>
          <w:rFonts w:ascii="Arial" w:hAnsi="Arial" w:cs="Arial"/>
          <w:b/>
          <w:bCs/>
          <w:u w:val="single"/>
        </w:rPr>
      </w:pPr>
      <w:r>
        <w:rPr>
          <w:rFonts w:ascii="Arial" w:hAnsi="Arial" w:cs="Arial"/>
          <w:b/>
          <w:bCs/>
          <w:u w:val="single"/>
        </w:rPr>
        <w:t xml:space="preserve">Countrywide </w:t>
      </w:r>
      <w:r w:rsidRPr="0062009F">
        <w:rPr>
          <w:rFonts w:ascii="Arial" w:hAnsi="Arial" w:cs="Arial"/>
          <w:b/>
          <w:bCs/>
          <w:u w:val="single"/>
        </w:rPr>
        <w:t>Exception Page</w:t>
      </w:r>
    </w:p>
    <w:p w14:paraId="0174572F" w14:textId="33A4E400" w:rsidR="007D04D4" w:rsidRDefault="007D04D4" w:rsidP="00B07575">
      <w:pPr>
        <w:jc w:val="center"/>
        <w:rPr>
          <w:rFonts w:ascii="Arial" w:hAnsi="Arial" w:cs="Arial"/>
          <w:b/>
          <w:bCs/>
          <w:u w:val="single"/>
        </w:rPr>
      </w:pPr>
      <w:r>
        <w:rPr>
          <w:rFonts w:ascii="Arial" w:hAnsi="Arial" w:cs="Arial"/>
          <w:b/>
          <w:bCs/>
          <w:u w:val="single"/>
        </w:rPr>
        <w:t>TEXAS</w:t>
      </w:r>
    </w:p>
    <w:p w14:paraId="3FD6AF1E" w14:textId="77777777" w:rsidR="00B07575" w:rsidRDefault="00B07575" w:rsidP="00B07575">
      <w:pPr>
        <w:jc w:val="center"/>
        <w:rPr>
          <w:rFonts w:ascii="Arial" w:hAnsi="Arial" w:cs="Arial"/>
          <w:b/>
          <w:bCs/>
          <w:u w:val="single"/>
        </w:rPr>
      </w:pPr>
    </w:p>
    <w:p w14:paraId="11AE88AA" w14:textId="77777777" w:rsidR="00B07575" w:rsidRPr="007D7167" w:rsidRDefault="00B07575" w:rsidP="00B07575">
      <w:pPr>
        <w:jc w:val="center"/>
        <w:rPr>
          <w:rFonts w:ascii="Arial" w:hAnsi="Arial"/>
          <w:sz w:val="20"/>
        </w:rPr>
      </w:pPr>
      <w:r w:rsidRPr="00B07575">
        <w:rPr>
          <w:rFonts w:ascii="Arial" w:hAnsi="Arial"/>
          <w:sz w:val="20"/>
        </w:rPr>
        <w:t>MANUFACT</w:t>
      </w:r>
      <w:r w:rsidRPr="00C61E37">
        <w:rPr>
          <w:rFonts w:ascii="Arial" w:hAnsi="Arial"/>
          <w:sz w:val="20"/>
        </w:rPr>
        <w:t>URED HOUSING</w:t>
      </w:r>
    </w:p>
    <w:p w14:paraId="697AAA2A" w14:textId="0B3515B5" w:rsidR="00B07575" w:rsidRDefault="00B07575" w:rsidP="00B07575">
      <w:pPr>
        <w:jc w:val="center"/>
        <w:rPr>
          <w:rFonts w:ascii="Arial" w:hAnsi="Arial" w:cs="Arial"/>
          <w:b/>
          <w:bCs/>
          <w:u w:val="single"/>
        </w:rPr>
      </w:pPr>
    </w:p>
    <w:p w14:paraId="0E8E8205" w14:textId="77777777" w:rsidR="00B07575" w:rsidRDefault="00B07575" w:rsidP="00B07575">
      <w:pPr>
        <w:jc w:val="center"/>
        <w:rPr>
          <w:rFonts w:ascii="Arial" w:hAnsi="Arial" w:cs="Arial"/>
          <w:b/>
          <w:bCs/>
          <w:u w:val="single"/>
        </w:rPr>
      </w:pPr>
    </w:p>
    <w:p w14:paraId="4155C26A" w14:textId="77777777" w:rsidR="00512676" w:rsidRPr="00512676" w:rsidRDefault="00512676" w:rsidP="00512676">
      <w:pPr>
        <w:pStyle w:val="subcap"/>
        <w:pBdr>
          <w:top w:val="single" w:sz="4" w:space="1" w:color="auto"/>
          <w:bottom w:val="single" w:sz="4" w:space="1" w:color="auto"/>
        </w:pBdr>
        <w:rPr>
          <w:szCs w:val="22"/>
        </w:rPr>
      </w:pPr>
      <w:r w:rsidRPr="00512676">
        <w:rPr>
          <w:szCs w:val="22"/>
        </w:rPr>
        <w:t>ADDITIONAL RULE(S)</w:t>
      </w:r>
    </w:p>
    <w:p w14:paraId="210178D2" w14:textId="77777777" w:rsidR="00FC13B9" w:rsidRDefault="00FC13B9" w:rsidP="005D209C">
      <w:pPr>
        <w:rPr>
          <w:rFonts w:ascii="Arial" w:hAnsi="Arial"/>
          <w:sz w:val="20"/>
        </w:rPr>
      </w:pPr>
    </w:p>
    <w:p w14:paraId="5084E448" w14:textId="77777777" w:rsidR="009A3567" w:rsidRDefault="009A3567" w:rsidP="005D209C">
      <w:pPr>
        <w:rPr>
          <w:rFonts w:ascii="Arial" w:hAnsi="Arial"/>
          <w:sz w:val="20"/>
        </w:rPr>
      </w:pPr>
    </w:p>
    <w:p w14:paraId="15368FC0" w14:textId="54472EED" w:rsidR="00B823DD" w:rsidRPr="00512676" w:rsidRDefault="007969EC" w:rsidP="00B823DD">
      <w:pPr>
        <w:pStyle w:val="subcap"/>
        <w:pBdr>
          <w:top w:val="single" w:sz="4" w:space="1" w:color="auto"/>
          <w:bottom w:val="single" w:sz="4" w:space="1" w:color="auto"/>
        </w:pBdr>
        <w:rPr>
          <w:szCs w:val="22"/>
        </w:rPr>
      </w:pPr>
      <w:r>
        <w:rPr>
          <w:szCs w:val="22"/>
        </w:rPr>
        <w:br/>
      </w:r>
      <w:r w:rsidR="00B823DD">
        <w:rPr>
          <w:szCs w:val="22"/>
        </w:rPr>
        <w:t>description of additional optional endorsements</w:t>
      </w:r>
    </w:p>
    <w:p w14:paraId="69357A4F" w14:textId="77777777" w:rsidR="00B823DD" w:rsidRPr="00507B59" w:rsidRDefault="00B823DD" w:rsidP="005D209C">
      <w:pPr>
        <w:rPr>
          <w:rFonts w:ascii="Arial" w:hAnsi="Arial"/>
          <w:b/>
          <w:sz w:val="20"/>
        </w:rPr>
      </w:pPr>
    </w:p>
    <w:p w14:paraId="59C54D54" w14:textId="72EB223B" w:rsidR="00D52672" w:rsidRPr="00507B59" w:rsidRDefault="00D52672" w:rsidP="00BE2676">
      <w:pPr>
        <w:pStyle w:val="ListParagraph"/>
        <w:numPr>
          <w:ilvl w:val="0"/>
          <w:numId w:val="9"/>
        </w:numPr>
        <w:jc w:val="both"/>
        <w:rPr>
          <w:rFonts w:ascii="Arial" w:hAnsi="Arial"/>
          <w:b/>
          <w:sz w:val="20"/>
        </w:rPr>
      </w:pPr>
      <w:r w:rsidRPr="00507B59">
        <w:rPr>
          <w:rFonts w:ascii="Arial" w:hAnsi="Arial"/>
          <w:b/>
          <w:sz w:val="20"/>
        </w:rPr>
        <w:t>Animal Exclusio</w:t>
      </w:r>
      <w:r w:rsidR="00BE2676" w:rsidRPr="00507B59">
        <w:rPr>
          <w:rFonts w:ascii="Arial" w:hAnsi="Arial"/>
          <w:b/>
          <w:sz w:val="20"/>
        </w:rPr>
        <w:t>n (Non-Service), Form No. 128433</w:t>
      </w:r>
    </w:p>
    <w:p w14:paraId="5C954C95" w14:textId="77777777" w:rsidR="00D52672" w:rsidRPr="001B744C" w:rsidRDefault="00D52672" w:rsidP="007969EC">
      <w:pPr>
        <w:jc w:val="both"/>
        <w:rPr>
          <w:rFonts w:ascii="Arial" w:hAnsi="Arial"/>
          <w:sz w:val="20"/>
        </w:rPr>
      </w:pPr>
    </w:p>
    <w:p w14:paraId="7893B207" w14:textId="2A0FC17E" w:rsidR="006E5D4E" w:rsidRDefault="006E5D4E" w:rsidP="00886862">
      <w:pPr>
        <w:autoSpaceDE w:val="0"/>
        <w:autoSpaceDN w:val="0"/>
        <w:adjustRightInd w:val="0"/>
        <w:ind w:left="720" w:hanging="720"/>
        <w:rPr>
          <w:rFonts w:ascii="Arial" w:hAnsi="Arial"/>
          <w:sz w:val="20"/>
        </w:rPr>
      </w:pPr>
      <w:r>
        <w:rPr>
          <w:rFonts w:ascii="Arial" w:eastAsiaTheme="minorHAnsi" w:hAnsi="Arial" w:cs="Arial"/>
          <w:sz w:val="20"/>
          <w:szCs w:val="20"/>
        </w:rPr>
        <w:t xml:space="preserve">. </w:t>
      </w:r>
      <w:r>
        <w:rPr>
          <w:rFonts w:ascii="Arial" w:eastAsiaTheme="minorHAnsi" w:hAnsi="Arial" w:cs="Arial"/>
          <w:sz w:val="20"/>
          <w:szCs w:val="20"/>
        </w:rPr>
        <w:tab/>
        <w:t>This endorsement is used if the owner of a Manufactured Home Park has allowed a tenant with a service animal that does not meet the park</w:t>
      </w:r>
      <w:r w:rsidR="002428FC">
        <w:rPr>
          <w:rFonts w:ascii="Arial" w:eastAsiaTheme="minorHAnsi" w:hAnsi="Arial" w:cs="Arial"/>
          <w:sz w:val="20"/>
          <w:szCs w:val="20"/>
        </w:rPr>
        <w:t>’</w:t>
      </w:r>
      <w:r>
        <w:rPr>
          <w:rFonts w:ascii="Arial" w:eastAsiaTheme="minorHAnsi" w:hAnsi="Arial" w:cs="Arial"/>
          <w:sz w:val="20"/>
          <w:szCs w:val="20"/>
        </w:rPr>
        <w:t>s stated Pet Rules, and the insured is aware that such animal has no history of aggressive behavior</w:t>
      </w:r>
    </w:p>
    <w:p w14:paraId="0FE9A631" w14:textId="77777777" w:rsidR="0037187E" w:rsidRDefault="0037187E" w:rsidP="0037187E">
      <w:pPr>
        <w:jc w:val="both"/>
        <w:rPr>
          <w:rFonts w:ascii="Arial" w:hAnsi="Arial"/>
          <w:sz w:val="20"/>
        </w:rPr>
      </w:pPr>
    </w:p>
    <w:p w14:paraId="5F5ABD77" w14:textId="0FC6521E" w:rsidR="00C00B75" w:rsidRDefault="0037187E" w:rsidP="0037187E">
      <w:pPr>
        <w:ind w:left="720"/>
        <w:jc w:val="both"/>
        <w:rPr>
          <w:rFonts w:ascii="Arial" w:hAnsi="Arial"/>
          <w:sz w:val="20"/>
        </w:rPr>
      </w:pPr>
      <w:r>
        <w:rPr>
          <w:rFonts w:ascii="Arial" w:hAnsi="Arial"/>
          <w:sz w:val="20"/>
        </w:rPr>
        <w:t>This endorsement is attached at the discretion of the insured.</w:t>
      </w:r>
    </w:p>
    <w:p w14:paraId="43088A35" w14:textId="77777777" w:rsidR="0037187E" w:rsidRDefault="0037187E" w:rsidP="0037187E">
      <w:pPr>
        <w:ind w:left="720"/>
        <w:jc w:val="both"/>
        <w:rPr>
          <w:rFonts w:ascii="Arial" w:hAnsi="Arial"/>
          <w:sz w:val="20"/>
        </w:rPr>
      </w:pPr>
    </w:p>
    <w:p w14:paraId="43A2266E" w14:textId="603B5E29" w:rsidR="000E26E5" w:rsidRDefault="008128AE" w:rsidP="00BE2676">
      <w:pPr>
        <w:ind w:left="720"/>
        <w:jc w:val="both"/>
        <w:rPr>
          <w:rFonts w:ascii="Arial" w:hAnsi="Arial"/>
          <w:sz w:val="20"/>
        </w:rPr>
      </w:pPr>
      <w:r>
        <w:rPr>
          <w:rFonts w:ascii="Arial" w:hAnsi="Arial"/>
          <w:sz w:val="20"/>
        </w:rPr>
        <w:t>No additional premium.</w:t>
      </w:r>
    </w:p>
    <w:p w14:paraId="3EA91BDC" w14:textId="77777777" w:rsidR="008128AE" w:rsidRDefault="008128AE" w:rsidP="007969EC">
      <w:pPr>
        <w:jc w:val="both"/>
        <w:rPr>
          <w:rFonts w:ascii="Arial" w:hAnsi="Arial"/>
          <w:sz w:val="20"/>
        </w:rPr>
      </w:pPr>
    </w:p>
    <w:p w14:paraId="177F245A" w14:textId="52F0FE3F" w:rsidR="00D52672" w:rsidRPr="00507B59" w:rsidRDefault="00D52672" w:rsidP="00BE2676">
      <w:pPr>
        <w:pStyle w:val="ListParagraph"/>
        <w:numPr>
          <w:ilvl w:val="0"/>
          <w:numId w:val="9"/>
        </w:numPr>
        <w:jc w:val="both"/>
        <w:rPr>
          <w:rFonts w:ascii="Arial" w:hAnsi="Arial"/>
          <w:b/>
          <w:sz w:val="20"/>
        </w:rPr>
      </w:pPr>
      <w:r w:rsidRPr="00507B59">
        <w:rPr>
          <w:rFonts w:ascii="Arial" w:hAnsi="Arial"/>
          <w:b/>
          <w:sz w:val="20"/>
        </w:rPr>
        <w:t>T</w:t>
      </w:r>
      <w:r w:rsidR="00BE2676" w:rsidRPr="00507B59">
        <w:rPr>
          <w:rFonts w:ascii="Arial" w:hAnsi="Arial"/>
          <w:b/>
          <w:sz w:val="20"/>
        </w:rPr>
        <w:t>railer Spotting, Form No. 128432</w:t>
      </w:r>
    </w:p>
    <w:p w14:paraId="0256984C" w14:textId="77777777" w:rsidR="00BE2676" w:rsidRPr="00BE2676" w:rsidRDefault="00BE2676" w:rsidP="00BE2676">
      <w:pPr>
        <w:jc w:val="both"/>
        <w:rPr>
          <w:rFonts w:ascii="Arial" w:hAnsi="Arial"/>
          <w:sz w:val="20"/>
        </w:rPr>
      </w:pPr>
    </w:p>
    <w:p w14:paraId="7C20FE3D" w14:textId="5343B70F" w:rsidR="00D52672" w:rsidRDefault="00D52672" w:rsidP="00BE2676">
      <w:pPr>
        <w:ind w:left="720"/>
        <w:jc w:val="both"/>
        <w:rPr>
          <w:rFonts w:ascii="Arial" w:hAnsi="Arial"/>
          <w:sz w:val="20"/>
        </w:rPr>
      </w:pPr>
      <w:r>
        <w:rPr>
          <w:rFonts w:ascii="Arial" w:hAnsi="Arial"/>
          <w:sz w:val="20"/>
        </w:rPr>
        <w:t>E</w:t>
      </w:r>
      <w:r w:rsidR="00656E94">
        <w:rPr>
          <w:rFonts w:ascii="Arial" w:hAnsi="Arial"/>
          <w:sz w:val="20"/>
        </w:rPr>
        <w:t>xtend</w:t>
      </w:r>
      <w:r>
        <w:rPr>
          <w:rFonts w:ascii="Arial" w:hAnsi="Arial"/>
          <w:sz w:val="20"/>
        </w:rPr>
        <w:t>s</w:t>
      </w:r>
      <w:r w:rsidR="00656E94">
        <w:rPr>
          <w:rFonts w:ascii="Arial" w:hAnsi="Arial"/>
          <w:sz w:val="20"/>
        </w:rPr>
        <w:t xml:space="preserve"> </w:t>
      </w:r>
      <w:r w:rsidR="008128AE">
        <w:rPr>
          <w:rFonts w:ascii="Arial" w:hAnsi="Arial"/>
          <w:sz w:val="20"/>
        </w:rPr>
        <w:t xml:space="preserve">coverage for </w:t>
      </w:r>
      <w:r w:rsidR="00656E94">
        <w:rPr>
          <w:rFonts w:ascii="Arial" w:hAnsi="Arial"/>
          <w:sz w:val="20"/>
        </w:rPr>
        <w:t xml:space="preserve">“trailer spotting” which is the movement or placement of a mobile trailer home or RV not owned by the insured on land owned, </w:t>
      </w:r>
      <w:proofErr w:type="gramStart"/>
      <w:r w:rsidR="00656E94">
        <w:rPr>
          <w:rFonts w:ascii="Arial" w:hAnsi="Arial"/>
          <w:sz w:val="20"/>
        </w:rPr>
        <w:t>rented</w:t>
      </w:r>
      <w:proofErr w:type="gramEnd"/>
      <w:r w:rsidR="00656E94">
        <w:rPr>
          <w:rFonts w:ascii="Arial" w:hAnsi="Arial"/>
          <w:sz w:val="20"/>
        </w:rPr>
        <w:t xml:space="preserve"> or occupied by the insured. </w:t>
      </w:r>
      <w:r w:rsidR="001424F6">
        <w:rPr>
          <w:rFonts w:ascii="Arial" w:hAnsi="Arial"/>
          <w:sz w:val="20"/>
        </w:rPr>
        <w:t xml:space="preserve"> </w:t>
      </w:r>
    </w:p>
    <w:p w14:paraId="5C44FF4F" w14:textId="77777777" w:rsidR="00557297" w:rsidRDefault="00557297" w:rsidP="00BE2676">
      <w:pPr>
        <w:ind w:left="720"/>
        <w:jc w:val="both"/>
        <w:rPr>
          <w:rFonts w:ascii="Arial" w:hAnsi="Arial"/>
          <w:sz w:val="20"/>
        </w:rPr>
      </w:pPr>
    </w:p>
    <w:p w14:paraId="67D28EBE" w14:textId="406ACCF1" w:rsidR="001424F6" w:rsidRDefault="001424F6" w:rsidP="00BE2676">
      <w:pPr>
        <w:ind w:left="720"/>
        <w:jc w:val="both"/>
        <w:rPr>
          <w:rFonts w:ascii="Arial" w:hAnsi="Arial"/>
          <w:sz w:val="20"/>
        </w:rPr>
      </w:pPr>
      <w:r>
        <w:rPr>
          <w:rFonts w:ascii="Arial" w:hAnsi="Arial"/>
          <w:sz w:val="20"/>
        </w:rPr>
        <w:t xml:space="preserve">This endorsement is </w:t>
      </w:r>
      <w:r w:rsidR="007D04D4">
        <w:rPr>
          <w:rFonts w:ascii="Arial" w:hAnsi="Arial"/>
          <w:sz w:val="20"/>
        </w:rPr>
        <w:t xml:space="preserve">available for insureds if </w:t>
      </w:r>
      <w:r>
        <w:rPr>
          <w:rFonts w:ascii="Arial" w:hAnsi="Arial"/>
          <w:sz w:val="20"/>
        </w:rPr>
        <w:t>the insured provides “trailer spotting” as part of their service at the</w:t>
      </w:r>
      <w:r w:rsidR="007D04D4">
        <w:rPr>
          <w:rFonts w:ascii="Arial" w:hAnsi="Arial"/>
          <w:sz w:val="20"/>
        </w:rPr>
        <w:t>ir location(s).</w:t>
      </w:r>
    </w:p>
    <w:p w14:paraId="3A55721E" w14:textId="77777777" w:rsidR="00D52672" w:rsidRDefault="00D52672" w:rsidP="007969EC">
      <w:pPr>
        <w:jc w:val="both"/>
        <w:rPr>
          <w:rFonts w:ascii="Arial" w:hAnsi="Arial"/>
          <w:sz w:val="20"/>
        </w:rPr>
      </w:pPr>
    </w:p>
    <w:p w14:paraId="789E8EDA" w14:textId="15CA7248" w:rsidR="008128AE" w:rsidRDefault="008128AE" w:rsidP="00BE2676">
      <w:pPr>
        <w:ind w:left="720"/>
        <w:jc w:val="both"/>
        <w:rPr>
          <w:rFonts w:ascii="Arial" w:hAnsi="Arial"/>
          <w:sz w:val="20"/>
        </w:rPr>
      </w:pPr>
      <w:r>
        <w:rPr>
          <w:rFonts w:ascii="Arial" w:hAnsi="Arial"/>
          <w:sz w:val="20"/>
        </w:rPr>
        <w:t>No additional premium.</w:t>
      </w:r>
    </w:p>
    <w:p w14:paraId="128EF1FA" w14:textId="77777777" w:rsidR="00443479" w:rsidRDefault="00443479" w:rsidP="00BE2676">
      <w:pPr>
        <w:ind w:left="720"/>
        <w:jc w:val="both"/>
        <w:rPr>
          <w:rFonts w:ascii="Arial" w:hAnsi="Arial"/>
          <w:sz w:val="20"/>
        </w:rPr>
      </w:pPr>
    </w:p>
    <w:p w14:paraId="701B1CD6" w14:textId="1735656F" w:rsidR="00443479" w:rsidRDefault="00443479" w:rsidP="00BE2676">
      <w:pPr>
        <w:ind w:left="720"/>
        <w:jc w:val="both"/>
        <w:rPr>
          <w:rFonts w:ascii="Arial" w:hAnsi="Arial"/>
          <w:sz w:val="20"/>
        </w:rPr>
      </w:pPr>
    </w:p>
    <w:p w14:paraId="3E39D423" w14:textId="5E720C82" w:rsidR="00443479" w:rsidRPr="00512676" w:rsidRDefault="00443479" w:rsidP="00443479">
      <w:pPr>
        <w:pStyle w:val="subcap"/>
        <w:pBdr>
          <w:top w:val="single" w:sz="4" w:space="1" w:color="auto"/>
          <w:bottom w:val="single" w:sz="4" w:space="1" w:color="auto"/>
        </w:pBdr>
        <w:rPr>
          <w:szCs w:val="22"/>
        </w:rPr>
      </w:pPr>
      <w:r>
        <w:rPr>
          <w:szCs w:val="22"/>
        </w:rPr>
        <w:t>description of additional MANDATORY endorsements</w:t>
      </w:r>
    </w:p>
    <w:p w14:paraId="76810BE4" w14:textId="77777777" w:rsidR="00443479" w:rsidRDefault="00443479" w:rsidP="00443479">
      <w:pPr>
        <w:jc w:val="both"/>
        <w:rPr>
          <w:rFonts w:ascii="Arial" w:hAnsi="Arial"/>
          <w:sz w:val="20"/>
        </w:rPr>
      </w:pPr>
    </w:p>
    <w:p w14:paraId="76566F9D" w14:textId="6CDDC2C3" w:rsidR="00B07575" w:rsidRPr="00507B59" w:rsidRDefault="00B07575" w:rsidP="00B07575">
      <w:pPr>
        <w:pStyle w:val="ListParagraph"/>
        <w:numPr>
          <w:ilvl w:val="0"/>
          <w:numId w:val="9"/>
        </w:numPr>
        <w:jc w:val="both"/>
        <w:rPr>
          <w:rFonts w:ascii="Arial" w:hAnsi="Arial"/>
          <w:b/>
          <w:sz w:val="20"/>
        </w:rPr>
      </w:pPr>
      <w:r w:rsidRPr="00507B59">
        <w:rPr>
          <w:rFonts w:ascii="Arial" w:hAnsi="Arial"/>
          <w:b/>
          <w:sz w:val="20"/>
        </w:rPr>
        <w:t>Supplementa</w:t>
      </w:r>
      <w:r w:rsidR="00E7593F" w:rsidRPr="00507B59">
        <w:rPr>
          <w:rFonts w:ascii="Arial" w:hAnsi="Arial"/>
          <w:b/>
          <w:sz w:val="20"/>
        </w:rPr>
        <w:t>ry</w:t>
      </w:r>
      <w:r w:rsidRPr="00507B59">
        <w:rPr>
          <w:rFonts w:ascii="Arial" w:hAnsi="Arial"/>
          <w:b/>
          <w:sz w:val="20"/>
        </w:rPr>
        <w:t xml:space="preserve"> Payments Amendment (Not CA)</w:t>
      </w:r>
      <w:r w:rsidR="00507B59">
        <w:rPr>
          <w:rFonts w:ascii="Arial" w:hAnsi="Arial"/>
          <w:b/>
          <w:sz w:val="20"/>
        </w:rPr>
        <w:t>, Form No. 128447</w:t>
      </w:r>
    </w:p>
    <w:p w14:paraId="24FE112B" w14:textId="7B54325B" w:rsidR="00BE2676" w:rsidRDefault="00BE2676" w:rsidP="00BE2676">
      <w:pPr>
        <w:jc w:val="both"/>
        <w:rPr>
          <w:rFonts w:ascii="Arial" w:hAnsi="Arial"/>
          <w:sz w:val="20"/>
        </w:rPr>
      </w:pPr>
    </w:p>
    <w:p w14:paraId="7F7C0801" w14:textId="07A38512" w:rsidR="00B07575" w:rsidRDefault="00B07575" w:rsidP="000412DE">
      <w:pPr>
        <w:widowControl w:val="0"/>
        <w:tabs>
          <w:tab w:val="left" w:pos="720"/>
        </w:tabs>
        <w:autoSpaceDE w:val="0"/>
        <w:autoSpaceDN w:val="0"/>
        <w:spacing w:line="228" w:lineRule="auto"/>
        <w:ind w:left="720" w:right="123"/>
        <w:jc w:val="both"/>
        <w:rPr>
          <w:rFonts w:ascii="Arial" w:eastAsia="Arial" w:hAnsi="Arial" w:cs="Arial"/>
          <w:sz w:val="20"/>
          <w:szCs w:val="22"/>
          <w:lang w:bidi="en-US"/>
        </w:rPr>
      </w:pPr>
      <w:r>
        <w:rPr>
          <w:rFonts w:ascii="Arial" w:eastAsia="Arial" w:hAnsi="Arial" w:cs="Arial"/>
          <w:sz w:val="20"/>
          <w:szCs w:val="22"/>
          <w:lang w:bidi="en-US"/>
        </w:rPr>
        <w:t xml:space="preserve">Includes </w:t>
      </w:r>
      <w:r w:rsidRPr="00BE2676">
        <w:rPr>
          <w:rFonts w:ascii="Arial" w:eastAsia="Arial" w:hAnsi="Arial" w:cs="Arial"/>
          <w:sz w:val="20"/>
          <w:szCs w:val="22"/>
          <w:lang w:bidi="en-US"/>
        </w:rPr>
        <w:t>attorneys' fees or attorneys' expenses taxed against the</w:t>
      </w:r>
      <w:r w:rsidRPr="00BE2676">
        <w:rPr>
          <w:rFonts w:ascii="Arial" w:eastAsia="Arial" w:hAnsi="Arial" w:cs="Arial"/>
          <w:spacing w:val="-3"/>
          <w:sz w:val="20"/>
          <w:szCs w:val="22"/>
          <w:lang w:bidi="en-US"/>
        </w:rPr>
        <w:t xml:space="preserve"> </w:t>
      </w:r>
      <w:r w:rsidRPr="00BE2676">
        <w:rPr>
          <w:rFonts w:ascii="Arial" w:eastAsia="Arial" w:hAnsi="Arial" w:cs="Arial"/>
          <w:sz w:val="20"/>
          <w:szCs w:val="22"/>
          <w:lang w:bidi="en-US"/>
        </w:rPr>
        <w:t>insured</w:t>
      </w:r>
      <w:r w:rsidR="0027033E">
        <w:rPr>
          <w:rFonts w:ascii="Arial" w:eastAsia="Arial" w:hAnsi="Arial" w:cs="Arial"/>
          <w:sz w:val="20"/>
          <w:szCs w:val="22"/>
          <w:lang w:bidi="en-US"/>
        </w:rPr>
        <w:t xml:space="preserve"> for all states except CA.</w:t>
      </w:r>
    </w:p>
    <w:p w14:paraId="2734C315" w14:textId="588B86C4" w:rsidR="00E7593F" w:rsidRDefault="00E7593F" w:rsidP="000412DE">
      <w:pPr>
        <w:widowControl w:val="0"/>
        <w:tabs>
          <w:tab w:val="left" w:pos="720"/>
        </w:tabs>
        <w:autoSpaceDE w:val="0"/>
        <w:autoSpaceDN w:val="0"/>
        <w:ind w:left="720" w:right="123"/>
        <w:jc w:val="both"/>
        <w:rPr>
          <w:rFonts w:ascii="Arial" w:eastAsia="Arial" w:hAnsi="Arial" w:cs="Arial"/>
          <w:sz w:val="20"/>
          <w:szCs w:val="22"/>
          <w:lang w:bidi="en-US"/>
        </w:rPr>
      </w:pPr>
    </w:p>
    <w:p w14:paraId="681CD294" w14:textId="07BF1054" w:rsidR="00BE2676" w:rsidRDefault="00E7593F" w:rsidP="00BE2676">
      <w:pPr>
        <w:ind w:left="720"/>
        <w:jc w:val="both"/>
        <w:rPr>
          <w:rFonts w:ascii="Arial" w:hAnsi="Arial"/>
          <w:sz w:val="20"/>
        </w:rPr>
      </w:pPr>
      <w:r>
        <w:rPr>
          <w:rFonts w:ascii="Arial" w:hAnsi="Arial"/>
          <w:sz w:val="20"/>
        </w:rPr>
        <w:t>No additional premium.</w:t>
      </w:r>
    </w:p>
    <w:p w14:paraId="0803DFB2" w14:textId="6A09847D" w:rsidR="00B07575" w:rsidRDefault="00B07575" w:rsidP="00BE2676">
      <w:pPr>
        <w:ind w:left="720"/>
        <w:jc w:val="both"/>
        <w:rPr>
          <w:rFonts w:ascii="Arial" w:hAnsi="Arial"/>
          <w:sz w:val="20"/>
        </w:rPr>
      </w:pPr>
    </w:p>
    <w:p w14:paraId="37795A38" w14:textId="77777777" w:rsidR="00986219" w:rsidRPr="00986219" w:rsidRDefault="00986219" w:rsidP="00986219">
      <w:pPr>
        <w:keepLines/>
        <w:pBdr>
          <w:top w:val="single" w:sz="4" w:space="1" w:color="auto"/>
          <w:bottom w:val="single" w:sz="4" w:space="1" w:color="auto"/>
        </w:pBdr>
        <w:suppressAutoHyphens/>
        <w:overflowPunct w:val="0"/>
        <w:autoSpaceDE w:val="0"/>
        <w:autoSpaceDN w:val="0"/>
        <w:adjustRightInd w:val="0"/>
        <w:spacing w:line="200" w:lineRule="exact"/>
        <w:rPr>
          <w:rFonts w:ascii="Arial" w:hAnsi="Arial"/>
          <w:b/>
          <w:caps/>
          <w:sz w:val="22"/>
          <w:szCs w:val="22"/>
        </w:rPr>
      </w:pPr>
      <w:r w:rsidRPr="00986219">
        <w:rPr>
          <w:rFonts w:ascii="Arial" w:hAnsi="Arial"/>
          <w:b/>
          <w:caps/>
          <w:sz w:val="22"/>
          <w:szCs w:val="22"/>
        </w:rPr>
        <w:br/>
        <w:t>RISK CHARACTERISTICS MODIFICATION</w:t>
      </w:r>
    </w:p>
    <w:p w14:paraId="4586E205" w14:textId="77777777" w:rsidR="00986219" w:rsidRPr="00986219" w:rsidRDefault="00986219" w:rsidP="00986219">
      <w:pPr>
        <w:rPr>
          <w:rFonts w:ascii="Arial" w:hAnsi="Arial"/>
          <w:sz w:val="20"/>
        </w:rPr>
      </w:pPr>
    </w:p>
    <w:p w14:paraId="6299C530" w14:textId="77777777" w:rsidR="00986219" w:rsidRPr="00986219" w:rsidRDefault="00986219" w:rsidP="00986219">
      <w:pPr>
        <w:keepNext/>
        <w:widowControl w:val="0"/>
        <w:autoSpaceDE w:val="0"/>
        <w:outlineLvl w:val="0"/>
        <w:rPr>
          <w:rFonts w:ascii="Arial" w:hAnsi="Arial" w:cs="Arial"/>
          <w:sz w:val="20"/>
          <w:szCs w:val="20"/>
        </w:rPr>
      </w:pPr>
      <w:r w:rsidRPr="00986219">
        <w:rPr>
          <w:rFonts w:ascii="Arial" w:hAnsi="Arial" w:cs="Arial"/>
          <w:sz w:val="20"/>
          <w:szCs w:val="20"/>
        </w:rPr>
        <w:t>The risk characteristics modification factor shall be applied to the company rates in accordance with the following rating table to recognize such special characteristics of the class of business written in the manufactured home park/</w:t>
      </w:r>
      <w:proofErr w:type="gramStart"/>
      <w:r w:rsidRPr="00986219">
        <w:rPr>
          <w:rFonts w:ascii="Arial" w:hAnsi="Arial" w:cs="Arial"/>
          <w:sz w:val="20"/>
          <w:szCs w:val="20"/>
        </w:rPr>
        <w:t>dealers</w:t>
      </w:r>
      <w:proofErr w:type="gramEnd"/>
      <w:r w:rsidRPr="00986219">
        <w:rPr>
          <w:rFonts w:ascii="Arial" w:hAnsi="Arial" w:cs="Arial"/>
          <w:sz w:val="20"/>
          <w:szCs w:val="20"/>
        </w:rPr>
        <w:t xml:space="preserve"> program not fully reflected in the company rates.  </w:t>
      </w:r>
    </w:p>
    <w:p w14:paraId="402EA771" w14:textId="77777777" w:rsidR="00986219" w:rsidRPr="00986219" w:rsidRDefault="00986219" w:rsidP="00986219">
      <w:pPr>
        <w:rPr>
          <w:rFonts w:ascii="Arial" w:hAnsi="Arial"/>
          <w:sz w:val="20"/>
        </w:rPr>
      </w:pPr>
    </w:p>
    <w:p w14:paraId="58DA6E32" w14:textId="77777777" w:rsidR="00986219" w:rsidRPr="00986219" w:rsidRDefault="00986219" w:rsidP="00986219">
      <w:pPr>
        <w:rPr>
          <w:rFonts w:ascii="Arial" w:hAnsi="Arial" w:cs="Arial"/>
          <w:sz w:val="20"/>
          <w:szCs w:val="20"/>
        </w:rPr>
      </w:pPr>
      <w:r w:rsidRPr="00986219">
        <w:rPr>
          <w:rFonts w:ascii="Arial" w:hAnsi="Arial" w:cs="Arial"/>
          <w:sz w:val="20"/>
          <w:szCs w:val="20"/>
        </w:rPr>
        <w:t>The credits and debits under the following table shall be multiplied together.  Risk Characteristics Modification Factor = Product of the Factors in A. through E. below, rounded to the nearest 2 decimal places.</w:t>
      </w:r>
    </w:p>
    <w:p w14:paraId="4EC24D54" w14:textId="77777777" w:rsidR="00986219" w:rsidRPr="00986219" w:rsidRDefault="00986219" w:rsidP="00986219">
      <w:pPr>
        <w:rPr>
          <w:rFonts w:ascii="Arial" w:hAnsi="Arial"/>
          <w:sz w:val="20"/>
        </w:rPr>
      </w:pPr>
    </w:p>
    <w:tbl>
      <w:tblPr>
        <w:tblStyle w:val="TableGrid1"/>
        <w:tblW w:w="0" w:type="auto"/>
        <w:tblInd w:w="108" w:type="dxa"/>
        <w:tblLook w:val="04A0" w:firstRow="1" w:lastRow="0" w:firstColumn="1" w:lastColumn="0" w:noHBand="0" w:noVBand="1"/>
      </w:tblPr>
      <w:tblGrid>
        <w:gridCol w:w="4320"/>
        <w:gridCol w:w="1530"/>
      </w:tblGrid>
      <w:tr w:rsidR="00986219" w:rsidRPr="00986219" w14:paraId="660DB7CB" w14:textId="77777777" w:rsidTr="001B2494">
        <w:trPr>
          <w:trHeight w:val="144"/>
        </w:trPr>
        <w:tc>
          <w:tcPr>
            <w:tcW w:w="4320" w:type="dxa"/>
          </w:tcPr>
          <w:p w14:paraId="0F1D6F34" w14:textId="77777777" w:rsidR="00986219" w:rsidRPr="00986219" w:rsidRDefault="00986219" w:rsidP="00986219">
            <w:pPr>
              <w:numPr>
                <w:ilvl w:val="0"/>
                <w:numId w:val="11"/>
              </w:numPr>
              <w:ind w:left="360"/>
              <w:contextualSpacing/>
              <w:rPr>
                <w:rFonts w:ascii="Arial" w:hAnsi="Arial"/>
                <w:b/>
                <w:sz w:val="20"/>
                <w:szCs w:val="22"/>
              </w:rPr>
            </w:pPr>
            <w:r w:rsidRPr="00986219">
              <w:rPr>
                <w:rFonts w:ascii="Arial" w:hAnsi="Arial"/>
                <w:b/>
                <w:sz w:val="20"/>
                <w:szCs w:val="22"/>
              </w:rPr>
              <w:lastRenderedPageBreak/>
              <w:t>Size of Park</w:t>
            </w:r>
          </w:p>
        </w:tc>
        <w:tc>
          <w:tcPr>
            <w:tcW w:w="1530" w:type="dxa"/>
          </w:tcPr>
          <w:p w14:paraId="773FCFA4" w14:textId="77777777" w:rsidR="00986219" w:rsidRPr="00986219" w:rsidRDefault="00986219" w:rsidP="00986219">
            <w:pPr>
              <w:jc w:val="center"/>
              <w:rPr>
                <w:rFonts w:ascii="Arial" w:hAnsi="Arial"/>
                <w:b/>
                <w:sz w:val="20"/>
              </w:rPr>
            </w:pPr>
            <w:r w:rsidRPr="00986219">
              <w:rPr>
                <w:rFonts w:ascii="Arial" w:hAnsi="Arial"/>
                <w:b/>
                <w:sz w:val="20"/>
              </w:rPr>
              <w:t>RCM Factor</w:t>
            </w:r>
          </w:p>
        </w:tc>
      </w:tr>
      <w:tr w:rsidR="00986219" w:rsidRPr="00986219" w14:paraId="293E1ED8" w14:textId="77777777" w:rsidTr="001B2494">
        <w:trPr>
          <w:trHeight w:val="144"/>
        </w:trPr>
        <w:tc>
          <w:tcPr>
            <w:tcW w:w="4320" w:type="dxa"/>
          </w:tcPr>
          <w:p w14:paraId="3750D245" w14:textId="77777777" w:rsidR="00986219" w:rsidRPr="00986219" w:rsidRDefault="00986219" w:rsidP="00986219">
            <w:pPr>
              <w:jc w:val="center"/>
              <w:rPr>
                <w:rFonts w:ascii="Arial" w:hAnsi="Arial"/>
                <w:sz w:val="20"/>
              </w:rPr>
            </w:pPr>
            <w:r w:rsidRPr="00986219">
              <w:rPr>
                <w:rFonts w:ascii="Arial" w:hAnsi="Arial"/>
                <w:sz w:val="20"/>
              </w:rPr>
              <w:t>Capacity &gt; 100 Spaces</w:t>
            </w:r>
          </w:p>
        </w:tc>
        <w:tc>
          <w:tcPr>
            <w:tcW w:w="1530" w:type="dxa"/>
          </w:tcPr>
          <w:p w14:paraId="329F6DA5" w14:textId="77777777" w:rsidR="00986219" w:rsidRPr="00986219" w:rsidRDefault="00986219" w:rsidP="00986219">
            <w:pPr>
              <w:jc w:val="center"/>
              <w:rPr>
                <w:rFonts w:ascii="Arial" w:hAnsi="Arial"/>
                <w:sz w:val="20"/>
              </w:rPr>
            </w:pPr>
            <w:r w:rsidRPr="00986219">
              <w:rPr>
                <w:rFonts w:ascii="Arial" w:hAnsi="Arial"/>
                <w:sz w:val="20"/>
              </w:rPr>
              <w:t>0.95</w:t>
            </w:r>
          </w:p>
        </w:tc>
      </w:tr>
      <w:tr w:rsidR="00986219" w:rsidRPr="00986219" w14:paraId="1AC615CB" w14:textId="77777777" w:rsidTr="001B2494">
        <w:trPr>
          <w:trHeight w:val="144"/>
        </w:trPr>
        <w:tc>
          <w:tcPr>
            <w:tcW w:w="4320" w:type="dxa"/>
          </w:tcPr>
          <w:p w14:paraId="4F321E62" w14:textId="77777777" w:rsidR="00986219" w:rsidRPr="00986219" w:rsidRDefault="00986219" w:rsidP="00986219">
            <w:pPr>
              <w:jc w:val="center"/>
              <w:rPr>
                <w:rFonts w:ascii="Arial" w:hAnsi="Arial"/>
                <w:sz w:val="20"/>
              </w:rPr>
            </w:pPr>
            <w:r w:rsidRPr="00986219">
              <w:rPr>
                <w:rFonts w:ascii="Arial" w:hAnsi="Arial"/>
                <w:sz w:val="20"/>
              </w:rPr>
              <w:t xml:space="preserve">Capacity </w:t>
            </w:r>
            <w:r w:rsidRPr="00986219">
              <w:rPr>
                <w:rFonts w:ascii="Arial" w:hAnsi="Arial"/>
                <w:sz w:val="20"/>
                <w:u w:val="single"/>
              </w:rPr>
              <w:t>&lt;</w:t>
            </w:r>
            <w:r w:rsidRPr="00986219">
              <w:rPr>
                <w:rFonts w:ascii="Arial" w:hAnsi="Arial"/>
                <w:sz w:val="20"/>
              </w:rPr>
              <w:t xml:space="preserve"> 100 Spaces</w:t>
            </w:r>
          </w:p>
        </w:tc>
        <w:tc>
          <w:tcPr>
            <w:tcW w:w="1530" w:type="dxa"/>
          </w:tcPr>
          <w:p w14:paraId="50C46E3E" w14:textId="77777777" w:rsidR="00986219" w:rsidRPr="00986219" w:rsidRDefault="00986219" w:rsidP="00986219">
            <w:pPr>
              <w:jc w:val="center"/>
              <w:rPr>
                <w:rFonts w:ascii="Arial" w:hAnsi="Arial"/>
                <w:sz w:val="20"/>
              </w:rPr>
            </w:pPr>
            <w:r w:rsidRPr="00986219">
              <w:rPr>
                <w:rFonts w:ascii="Arial" w:hAnsi="Arial"/>
                <w:sz w:val="20"/>
              </w:rPr>
              <w:t>1.05</w:t>
            </w:r>
          </w:p>
        </w:tc>
      </w:tr>
      <w:tr w:rsidR="00986219" w:rsidRPr="00986219" w14:paraId="6E1C4B0C" w14:textId="77777777" w:rsidTr="001B2494">
        <w:trPr>
          <w:trHeight w:val="144"/>
        </w:trPr>
        <w:tc>
          <w:tcPr>
            <w:tcW w:w="4320" w:type="dxa"/>
          </w:tcPr>
          <w:p w14:paraId="3C3EDB59" w14:textId="77777777" w:rsidR="00986219" w:rsidRPr="00986219" w:rsidRDefault="00986219" w:rsidP="00986219">
            <w:pPr>
              <w:numPr>
                <w:ilvl w:val="0"/>
                <w:numId w:val="11"/>
              </w:numPr>
              <w:ind w:left="360"/>
              <w:contextualSpacing/>
              <w:rPr>
                <w:rFonts w:ascii="Arial" w:hAnsi="Arial"/>
                <w:b/>
                <w:sz w:val="20"/>
                <w:szCs w:val="22"/>
              </w:rPr>
            </w:pPr>
            <w:r w:rsidRPr="00986219">
              <w:rPr>
                <w:rFonts w:ascii="Arial" w:hAnsi="Arial"/>
                <w:b/>
                <w:sz w:val="20"/>
              </w:rPr>
              <w:t>Ratio of Park Owned Rentals</w:t>
            </w:r>
          </w:p>
        </w:tc>
        <w:tc>
          <w:tcPr>
            <w:tcW w:w="1530" w:type="dxa"/>
          </w:tcPr>
          <w:p w14:paraId="5271AD90" w14:textId="77777777" w:rsidR="00986219" w:rsidRPr="00986219" w:rsidRDefault="00986219" w:rsidP="00986219">
            <w:pPr>
              <w:jc w:val="center"/>
              <w:rPr>
                <w:rFonts w:ascii="Arial" w:hAnsi="Arial"/>
                <w:sz w:val="20"/>
              </w:rPr>
            </w:pPr>
          </w:p>
        </w:tc>
      </w:tr>
      <w:tr w:rsidR="00986219" w:rsidRPr="00986219" w14:paraId="38FC21A6" w14:textId="77777777" w:rsidTr="001B2494">
        <w:trPr>
          <w:trHeight w:val="144"/>
        </w:trPr>
        <w:tc>
          <w:tcPr>
            <w:tcW w:w="4320" w:type="dxa"/>
          </w:tcPr>
          <w:p w14:paraId="4E77EE1D" w14:textId="77777777" w:rsidR="00986219" w:rsidRPr="00986219" w:rsidRDefault="00986219" w:rsidP="00986219">
            <w:pPr>
              <w:jc w:val="center"/>
              <w:rPr>
                <w:rFonts w:ascii="Arial" w:hAnsi="Arial"/>
                <w:sz w:val="20"/>
              </w:rPr>
            </w:pPr>
            <w:r w:rsidRPr="00986219">
              <w:rPr>
                <w:rFonts w:ascii="Arial" w:hAnsi="Arial"/>
                <w:sz w:val="20"/>
              </w:rPr>
              <w:t>Rentals &lt; 10% of Capacity</w:t>
            </w:r>
          </w:p>
        </w:tc>
        <w:tc>
          <w:tcPr>
            <w:tcW w:w="1530" w:type="dxa"/>
          </w:tcPr>
          <w:p w14:paraId="69F6B7F5" w14:textId="77777777" w:rsidR="00986219" w:rsidRPr="00986219" w:rsidRDefault="00986219" w:rsidP="00986219">
            <w:pPr>
              <w:jc w:val="center"/>
              <w:rPr>
                <w:rFonts w:ascii="Arial" w:hAnsi="Arial"/>
                <w:sz w:val="20"/>
              </w:rPr>
            </w:pPr>
            <w:r w:rsidRPr="00986219">
              <w:rPr>
                <w:rFonts w:ascii="Arial" w:hAnsi="Arial"/>
                <w:sz w:val="20"/>
              </w:rPr>
              <w:t>0.95</w:t>
            </w:r>
          </w:p>
        </w:tc>
      </w:tr>
      <w:tr w:rsidR="00986219" w:rsidRPr="00986219" w14:paraId="7F2161D2" w14:textId="77777777" w:rsidTr="001B2494">
        <w:trPr>
          <w:trHeight w:val="144"/>
        </w:trPr>
        <w:tc>
          <w:tcPr>
            <w:tcW w:w="4320" w:type="dxa"/>
          </w:tcPr>
          <w:p w14:paraId="3BA3A982" w14:textId="77777777" w:rsidR="00986219" w:rsidRPr="00986219" w:rsidRDefault="00986219" w:rsidP="00986219">
            <w:pPr>
              <w:jc w:val="center"/>
              <w:rPr>
                <w:rFonts w:ascii="Arial" w:hAnsi="Arial"/>
                <w:sz w:val="20"/>
              </w:rPr>
            </w:pPr>
            <w:r w:rsidRPr="00986219">
              <w:rPr>
                <w:rFonts w:ascii="Arial" w:hAnsi="Arial"/>
                <w:sz w:val="20"/>
              </w:rPr>
              <w:t xml:space="preserve">Rentals </w:t>
            </w:r>
            <w:r w:rsidRPr="00986219">
              <w:rPr>
                <w:rFonts w:ascii="Arial" w:hAnsi="Arial"/>
                <w:sz w:val="20"/>
                <w:u w:val="single"/>
              </w:rPr>
              <w:t>&gt;</w:t>
            </w:r>
            <w:r w:rsidRPr="00986219">
              <w:rPr>
                <w:rFonts w:ascii="Arial" w:hAnsi="Arial"/>
                <w:sz w:val="20"/>
              </w:rPr>
              <w:t xml:space="preserve"> 10% of Capacity</w:t>
            </w:r>
          </w:p>
        </w:tc>
        <w:tc>
          <w:tcPr>
            <w:tcW w:w="1530" w:type="dxa"/>
          </w:tcPr>
          <w:p w14:paraId="10AAAFA7" w14:textId="77777777" w:rsidR="00986219" w:rsidRPr="00986219" w:rsidRDefault="00986219" w:rsidP="00986219">
            <w:pPr>
              <w:jc w:val="center"/>
              <w:rPr>
                <w:rFonts w:ascii="Arial" w:hAnsi="Arial"/>
                <w:sz w:val="20"/>
              </w:rPr>
            </w:pPr>
            <w:r w:rsidRPr="00986219">
              <w:rPr>
                <w:rFonts w:ascii="Arial" w:hAnsi="Arial"/>
                <w:sz w:val="20"/>
              </w:rPr>
              <w:t>1.05</w:t>
            </w:r>
          </w:p>
        </w:tc>
      </w:tr>
      <w:tr w:rsidR="00986219" w:rsidRPr="00986219" w14:paraId="35E3DD07" w14:textId="77777777" w:rsidTr="001B2494">
        <w:trPr>
          <w:trHeight w:val="144"/>
        </w:trPr>
        <w:tc>
          <w:tcPr>
            <w:tcW w:w="4320" w:type="dxa"/>
          </w:tcPr>
          <w:p w14:paraId="3EB2B26B" w14:textId="77777777" w:rsidR="00986219" w:rsidRPr="00986219" w:rsidRDefault="00986219" w:rsidP="00986219">
            <w:pPr>
              <w:numPr>
                <w:ilvl w:val="0"/>
                <w:numId w:val="11"/>
              </w:numPr>
              <w:ind w:left="360"/>
              <w:contextualSpacing/>
              <w:rPr>
                <w:rFonts w:ascii="Arial" w:hAnsi="Arial"/>
                <w:b/>
                <w:sz w:val="20"/>
                <w:szCs w:val="22"/>
              </w:rPr>
            </w:pPr>
            <w:r w:rsidRPr="00986219">
              <w:rPr>
                <w:rFonts w:ascii="Arial" w:hAnsi="Arial"/>
                <w:b/>
                <w:sz w:val="20"/>
              </w:rPr>
              <w:t>Age of Park</w:t>
            </w:r>
          </w:p>
        </w:tc>
        <w:tc>
          <w:tcPr>
            <w:tcW w:w="1530" w:type="dxa"/>
          </w:tcPr>
          <w:p w14:paraId="687399E5" w14:textId="77777777" w:rsidR="00986219" w:rsidRPr="00986219" w:rsidRDefault="00986219" w:rsidP="00986219">
            <w:pPr>
              <w:jc w:val="center"/>
              <w:rPr>
                <w:rFonts w:ascii="Arial" w:hAnsi="Arial"/>
                <w:sz w:val="20"/>
              </w:rPr>
            </w:pPr>
          </w:p>
        </w:tc>
      </w:tr>
      <w:tr w:rsidR="00986219" w:rsidRPr="00986219" w14:paraId="749B7A3A" w14:textId="77777777" w:rsidTr="001B2494">
        <w:trPr>
          <w:trHeight w:val="144"/>
        </w:trPr>
        <w:tc>
          <w:tcPr>
            <w:tcW w:w="4320" w:type="dxa"/>
          </w:tcPr>
          <w:p w14:paraId="01A33288" w14:textId="77777777" w:rsidR="00986219" w:rsidRPr="00986219" w:rsidRDefault="00986219" w:rsidP="00986219">
            <w:pPr>
              <w:jc w:val="center"/>
              <w:rPr>
                <w:rFonts w:ascii="Arial" w:hAnsi="Arial"/>
                <w:sz w:val="20"/>
              </w:rPr>
            </w:pPr>
            <w:r w:rsidRPr="00986219">
              <w:rPr>
                <w:rFonts w:ascii="Arial" w:hAnsi="Arial"/>
                <w:sz w:val="20"/>
              </w:rPr>
              <w:t>Age &lt; 10 Years</w:t>
            </w:r>
          </w:p>
        </w:tc>
        <w:tc>
          <w:tcPr>
            <w:tcW w:w="1530" w:type="dxa"/>
          </w:tcPr>
          <w:p w14:paraId="6CD64ED7" w14:textId="77777777" w:rsidR="00986219" w:rsidRPr="00986219" w:rsidRDefault="00986219" w:rsidP="00986219">
            <w:pPr>
              <w:jc w:val="center"/>
              <w:rPr>
                <w:rFonts w:ascii="Arial" w:hAnsi="Arial"/>
                <w:sz w:val="20"/>
              </w:rPr>
            </w:pPr>
            <w:r w:rsidRPr="00986219">
              <w:rPr>
                <w:rFonts w:ascii="Arial" w:hAnsi="Arial"/>
                <w:sz w:val="20"/>
              </w:rPr>
              <w:t>0.95</w:t>
            </w:r>
          </w:p>
        </w:tc>
      </w:tr>
      <w:tr w:rsidR="00986219" w:rsidRPr="00986219" w14:paraId="7442C1B9" w14:textId="77777777" w:rsidTr="001B2494">
        <w:trPr>
          <w:trHeight w:val="144"/>
        </w:trPr>
        <w:tc>
          <w:tcPr>
            <w:tcW w:w="4320" w:type="dxa"/>
          </w:tcPr>
          <w:p w14:paraId="0BACECA6" w14:textId="77777777" w:rsidR="00986219" w:rsidRPr="00986219" w:rsidRDefault="00986219" w:rsidP="00986219">
            <w:pPr>
              <w:jc w:val="center"/>
              <w:rPr>
                <w:rFonts w:ascii="Arial" w:hAnsi="Arial"/>
                <w:sz w:val="20"/>
              </w:rPr>
            </w:pPr>
            <w:r w:rsidRPr="00986219">
              <w:rPr>
                <w:rFonts w:ascii="Arial" w:hAnsi="Arial"/>
                <w:sz w:val="20"/>
              </w:rPr>
              <w:t xml:space="preserve">Age </w:t>
            </w:r>
            <w:r w:rsidRPr="00986219">
              <w:rPr>
                <w:rFonts w:ascii="Arial" w:hAnsi="Arial"/>
                <w:sz w:val="20"/>
                <w:u w:val="single"/>
              </w:rPr>
              <w:t>&gt;</w:t>
            </w:r>
            <w:r w:rsidRPr="00986219">
              <w:rPr>
                <w:rFonts w:ascii="Arial" w:hAnsi="Arial"/>
                <w:sz w:val="20"/>
              </w:rPr>
              <w:t xml:space="preserve"> 10 Years</w:t>
            </w:r>
          </w:p>
        </w:tc>
        <w:tc>
          <w:tcPr>
            <w:tcW w:w="1530" w:type="dxa"/>
          </w:tcPr>
          <w:p w14:paraId="03FF4D3D" w14:textId="77777777" w:rsidR="00986219" w:rsidRPr="00986219" w:rsidRDefault="00986219" w:rsidP="00986219">
            <w:pPr>
              <w:jc w:val="center"/>
              <w:rPr>
                <w:rFonts w:ascii="Arial" w:hAnsi="Arial"/>
                <w:sz w:val="20"/>
              </w:rPr>
            </w:pPr>
            <w:r w:rsidRPr="00986219">
              <w:rPr>
                <w:rFonts w:ascii="Arial" w:hAnsi="Arial"/>
                <w:sz w:val="20"/>
              </w:rPr>
              <w:t>1.05</w:t>
            </w:r>
          </w:p>
        </w:tc>
      </w:tr>
      <w:tr w:rsidR="00986219" w:rsidRPr="00986219" w14:paraId="58842E4D" w14:textId="77777777" w:rsidTr="001B2494">
        <w:trPr>
          <w:trHeight w:val="144"/>
        </w:trPr>
        <w:tc>
          <w:tcPr>
            <w:tcW w:w="4320" w:type="dxa"/>
          </w:tcPr>
          <w:p w14:paraId="400EC89F" w14:textId="77777777" w:rsidR="00986219" w:rsidRPr="00986219" w:rsidRDefault="00986219" w:rsidP="00986219">
            <w:pPr>
              <w:numPr>
                <w:ilvl w:val="0"/>
                <w:numId w:val="11"/>
              </w:numPr>
              <w:ind w:left="360"/>
              <w:contextualSpacing/>
              <w:rPr>
                <w:rFonts w:ascii="Arial" w:hAnsi="Arial"/>
                <w:b/>
                <w:sz w:val="20"/>
                <w:szCs w:val="22"/>
              </w:rPr>
            </w:pPr>
            <w:r w:rsidRPr="00986219">
              <w:rPr>
                <w:rFonts w:ascii="Arial" w:hAnsi="Arial"/>
                <w:b/>
                <w:sz w:val="20"/>
              </w:rPr>
              <w:t>Physical Features</w:t>
            </w:r>
          </w:p>
        </w:tc>
        <w:tc>
          <w:tcPr>
            <w:tcW w:w="1530" w:type="dxa"/>
          </w:tcPr>
          <w:p w14:paraId="123363B1" w14:textId="77777777" w:rsidR="00986219" w:rsidRPr="00986219" w:rsidRDefault="00986219" w:rsidP="00986219">
            <w:pPr>
              <w:jc w:val="center"/>
              <w:rPr>
                <w:rFonts w:ascii="Arial" w:hAnsi="Arial"/>
                <w:sz w:val="20"/>
              </w:rPr>
            </w:pPr>
          </w:p>
        </w:tc>
      </w:tr>
      <w:tr w:rsidR="00986219" w:rsidRPr="00986219" w14:paraId="720C50CB" w14:textId="77777777" w:rsidTr="001B2494">
        <w:trPr>
          <w:trHeight w:val="144"/>
        </w:trPr>
        <w:tc>
          <w:tcPr>
            <w:tcW w:w="4320" w:type="dxa"/>
          </w:tcPr>
          <w:p w14:paraId="61F1383B" w14:textId="77777777" w:rsidR="00986219" w:rsidRPr="00986219" w:rsidRDefault="00986219" w:rsidP="00986219">
            <w:pPr>
              <w:jc w:val="center"/>
              <w:rPr>
                <w:rFonts w:ascii="Arial" w:hAnsi="Arial"/>
                <w:sz w:val="20"/>
              </w:rPr>
            </w:pPr>
            <w:r w:rsidRPr="00986219">
              <w:rPr>
                <w:rFonts w:ascii="Arial" w:hAnsi="Arial"/>
                <w:sz w:val="20"/>
              </w:rPr>
              <w:t>Paved Streets and Full Lighting</w:t>
            </w:r>
          </w:p>
        </w:tc>
        <w:tc>
          <w:tcPr>
            <w:tcW w:w="1530" w:type="dxa"/>
          </w:tcPr>
          <w:p w14:paraId="7E071DB9" w14:textId="77777777" w:rsidR="00986219" w:rsidRPr="00986219" w:rsidRDefault="00986219" w:rsidP="00986219">
            <w:pPr>
              <w:jc w:val="center"/>
              <w:rPr>
                <w:rFonts w:ascii="Arial" w:hAnsi="Arial"/>
                <w:sz w:val="20"/>
              </w:rPr>
            </w:pPr>
            <w:r w:rsidRPr="00986219">
              <w:rPr>
                <w:rFonts w:ascii="Arial" w:hAnsi="Arial"/>
                <w:sz w:val="20"/>
              </w:rPr>
              <w:t>0.95</w:t>
            </w:r>
          </w:p>
        </w:tc>
      </w:tr>
      <w:tr w:rsidR="00986219" w:rsidRPr="00986219" w14:paraId="345D0058" w14:textId="77777777" w:rsidTr="001B2494">
        <w:trPr>
          <w:trHeight w:val="144"/>
        </w:trPr>
        <w:tc>
          <w:tcPr>
            <w:tcW w:w="4320" w:type="dxa"/>
          </w:tcPr>
          <w:p w14:paraId="5D846F0F" w14:textId="77777777" w:rsidR="00986219" w:rsidRPr="00986219" w:rsidRDefault="00986219" w:rsidP="00986219">
            <w:pPr>
              <w:jc w:val="center"/>
              <w:rPr>
                <w:rFonts w:ascii="Arial" w:hAnsi="Arial"/>
                <w:sz w:val="20"/>
              </w:rPr>
            </w:pPr>
            <w:r w:rsidRPr="00986219">
              <w:rPr>
                <w:rFonts w:ascii="Arial" w:hAnsi="Arial"/>
                <w:sz w:val="20"/>
              </w:rPr>
              <w:t>Unpaved Streets and/or No Lighting</w:t>
            </w:r>
          </w:p>
        </w:tc>
        <w:tc>
          <w:tcPr>
            <w:tcW w:w="1530" w:type="dxa"/>
          </w:tcPr>
          <w:p w14:paraId="3CA58145" w14:textId="77777777" w:rsidR="00986219" w:rsidRPr="00986219" w:rsidRDefault="00986219" w:rsidP="00986219">
            <w:pPr>
              <w:jc w:val="center"/>
              <w:rPr>
                <w:rFonts w:ascii="Arial" w:hAnsi="Arial"/>
                <w:sz w:val="20"/>
              </w:rPr>
            </w:pPr>
            <w:r w:rsidRPr="00986219">
              <w:rPr>
                <w:rFonts w:ascii="Arial" w:hAnsi="Arial"/>
                <w:sz w:val="20"/>
              </w:rPr>
              <w:t>1.05</w:t>
            </w:r>
          </w:p>
        </w:tc>
      </w:tr>
      <w:tr w:rsidR="00986219" w:rsidRPr="00986219" w14:paraId="101F0C6F" w14:textId="77777777" w:rsidTr="001B2494">
        <w:trPr>
          <w:trHeight w:val="144"/>
        </w:trPr>
        <w:tc>
          <w:tcPr>
            <w:tcW w:w="4320" w:type="dxa"/>
          </w:tcPr>
          <w:p w14:paraId="6EE3065C" w14:textId="77777777" w:rsidR="00986219" w:rsidRPr="00986219" w:rsidRDefault="00986219" w:rsidP="00986219">
            <w:pPr>
              <w:numPr>
                <w:ilvl w:val="0"/>
                <w:numId w:val="11"/>
              </w:numPr>
              <w:ind w:left="360"/>
              <w:contextualSpacing/>
              <w:rPr>
                <w:rFonts w:ascii="Arial" w:hAnsi="Arial"/>
                <w:b/>
                <w:sz w:val="20"/>
                <w:szCs w:val="22"/>
              </w:rPr>
            </w:pPr>
            <w:r w:rsidRPr="00986219">
              <w:rPr>
                <w:rFonts w:ascii="Arial" w:hAnsi="Arial"/>
                <w:b/>
                <w:sz w:val="20"/>
              </w:rPr>
              <w:t>Protection</w:t>
            </w:r>
          </w:p>
        </w:tc>
        <w:tc>
          <w:tcPr>
            <w:tcW w:w="1530" w:type="dxa"/>
          </w:tcPr>
          <w:p w14:paraId="1677E1D3" w14:textId="77777777" w:rsidR="00986219" w:rsidRPr="00986219" w:rsidRDefault="00986219" w:rsidP="00986219">
            <w:pPr>
              <w:jc w:val="center"/>
              <w:rPr>
                <w:rFonts w:ascii="Arial" w:hAnsi="Arial"/>
                <w:sz w:val="20"/>
              </w:rPr>
            </w:pPr>
          </w:p>
        </w:tc>
      </w:tr>
      <w:tr w:rsidR="00986219" w:rsidRPr="00986219" w14:paraId="781207F1" w14:textId="77777777" w:rsidTr="001B2494">
        <w:trPr>
          <w:trHeight w:val="144"/>
        </w:trPr>
        <w:tc>
          <w:tcPr>
            <w:tcW w:w="4320" w:type="dxa"/>
          </w:tcPr>
          <w:p w14:paraId="122CBB52" w14:textId="77777777" w:rsidR="00986219" w:rsidRPr="00986219" w:rsidRDefault="00986219" w:rsidP="00986219">
            <w:pPr>
              <w:ind w:left="360"/>
              <w:jc w:val="center"/>
              <w:rPr>
                <w:rFonts w:ascii="Arial" w:hAnsi="Arial"/>
                <w:sz w:val="20"/>
                <w:szCs w:val="22"/>
              </w:rPr>
            </w:pPr>
            <w:r w:rsidRPr="00986219">
              <w:rPr>
                <w:rFonts w:ascii="Arial" w:hAnsi="Arial"/>
                <w:sz w:val="20"/>
              </w:rPr>
              <w:t>Gated and Fenced Community</w:t>
            </w:r>
          </w:p>
        </w:tc>
        <w:tc>
          <w:tcPr>
            <w:tcW w:w="1530" w:type="dxa"/>
          </w:tcPr>
          <w:p w14:paraId="591AE6B8" w14:textId="77777777" w:rsidR="00986219" w:rsidRPr="00986219" w:rsidRDefault="00986219" w:rsidP="00986219">
            <w:pPr>
              <w:jc w:val="center"/>
              <w:rPr>
                <w:rFonts w:ascii="Arial" w:hAnsi="Arial"/>
                <w:sz w:val="20"/>
              </w:rPr>
            </w:pPr>
            <w:r w:rsidRPr="00986219">
              <w:rPr>
                <w:rFonts w:ascii="Arial" w:hAnsi="Arial"/>
                <w:sz w:val="20"/>
              </w:rPr>
              <w:t>0.95</w:t>
            </w:r>
          </w:p>
        </w:tc>
      </w:tr>
      <w:tr w:rsidR="00986219" w:rsidRPr="00986219" w14:paraId="54632CC7" w14:textId="77777777" w:rsidTr="001B2494">
        <w:trPr>
          <w:trHeight w:val="144"/>
        </w:trPr>
        <w:tc>
          <w:tcPr>
            <w:tcW w:w="4320" w:type="dxa"/>
          </w:tcPr>
          <w:p w14:paraId="66C7A65A" w14:textId="77777777" w:rsidR="00986219" w:rsidRPr="00986219" w:rsidRDefault="00986219" w:rsidP="00986219">
            <w:pPr>
              <w:ind w:left="360"/>
              <w:jc w:val="center"/>
              <w:rPr>
                <w:rFonts w:ascii="Arial" w:hAnsi="Arial"/>
                <w:sz w:val="20"/>
                <w:szCs w:val="22"/>
              </w:rPr>
            </w:pPr>
            <w:r w:rsidRPr="00986219">
              <w:rPr>
                <w:rFonts w:ascii="Arial" w:hAnsi="Arial"/>
                <w:sz w:val="20"/>
              </w:rPr>
              <w:t>No Gate and/or No Fence</w:t>
            </w:r>
          </w:p>
        </w:tc>
        <w:tc>
          <w:tcPr>
            <w:tcW w:w="1530" w:type="dxa"/>
          </w:tcPr>
          <w:p w14:paraId="1445CA00" w14:textId="77777777" w:rsidR="00986219" w:rsidRPr="00986219" w:rsidRDefault="00986219" w:rsidP="00986219">
            <w:pPr>
              <w:jc w:val="center"/>
              <w:rPr>
                <w:rFonts w:ascii="Arial" w:hAnsi="Arial"/>
                <w:sz w:val="20"/>
              </w:rPr>
            </w:pPr>
            <w:r w:rsidRPr="00986219">
              <w:rPr>
                <w:rFonts w:ascii="Arial" w:hAnsi="Arial"/>
                <w:sz w:val="20"/>
              </w:rPr>
              <w:t>1.05</w:t>
            </w:r>
          </w:p>
        </w:tc>
      </w:tr>
    </w:tbl>
    <w:p w14:paraId="7BB9B2C5" w14:textId="77777777" w:rsidR="00986219" w:rsidRPr="00986219" w:rsidRDefault="00986219" w:rsidP="00986219">
      <w:pPr>
        <w:rPr>
          <w:rFonts w:ascii="Arial" w:hAnsi="Arial"/>
          <w:sz w:val="20"/>
        </w:rPr>
      </w:pPr>
    </w:p>
    <w:p w14:paraId="1E0C1FA9" w14:textId="77777777" w:rsidR="00986219" w:rsidRPr="00986219" w:rsidRDefault="00986219" w:rsidP="00986219">
      <w:pPr>
        <w:rPr>
          <w:rFonts w:ascii="Arial" w:hAnsi="Arial"/>
          <w:sz w:val="20"/>
        </w:rPr>
      </w:pPr>
    </w:p>
    <w:p w14:paraId="5227660B" w14:textId="77777777" w:rsidR="00986219" w:rsidRPr="00986219" w:rsidRDefault="00986219" w:rsidP="00986219">
      <w:pPr>
        <w:rPr>
          <w:rFonts w:ascii="Arial" w:hAnsi="Arial"/>
          <w:sz w:val="20"/>
        </w:rPr>
      </w:pPr>
    </w:p>
    <w:p w14:paraId="4C82910E" w14:textId="77777777" w:rsidR="00986219" w:rsidRPr="00986219" w:rsidRDefault="00986219" w:rsidP="00986219">
      <w:pPr>
        <w:rPr>
          <w:rFonts w:ascii="Arial" w:hAnsi="Arial"/>
          <w:sz w:val="18"/>
          <w:szCs w:val="20"/>
        </w:rPr>
      </w:pPr>
      <w:r w:rsidRPr="00986219">
        <w:rPr>
          <w:rFonts w:ascii="Arial" w:hAnsi="Arial"/>
          <w:sz w:val="18"/>
          <w:szCs w:val="20"/>
        </w:rPr>
        <w:t>The ISO Commercial General Liability Experience and Schedule Rating plan is amended as follows:</w:t>
      </w:r>
    </w:p>
    <w:p w14:paraId="4803B6DA" w14:textId="77777777" w:rsidR="00986219" w:rsidRPr="00986219" w:rsidRDefault="00986219" w:rsidP="00986219">
      <w:pPr>
        <w:keepNext/>
        <w:keepLines/>
        <w:pBdr>
          <w:top w:val="single" w:sz="6" w:space="3" w:color="auto"/>
          <w:bottom w:val="single" w:sz="6" w:space="3" w:color="auto"/>
        </w:pBdr>
        <w:tabs>
          <w:tab w:val="left" w:pos="320"/>
        </w:tabs>
        <w:suppressAutoHyphens/>
        <w:overflowPunct w:val="0"/>
        <w:autoSpaceDE w:val="0"/>
        <w:autoSpaceDN w:val="0"/>
        <w:adjustRightInd w:val="0"/>
        <w:spacing w:line="200" w:lineRule="exact"/>
        <w:rPr>
          <w:rFonts w:ascii="Arial" w:hAnsi="Arial"/>
          <w:b/>
          <w:sz w:val="18"/>
          <w:szCs w:val="20"/>
        </w:rPr>
      </w:pPr>
      <w:r w:rsidRPr="00986219">
        <w:rPr>
          <w:rFonts w:ascii="Arial" w:hAnsi="Arial"/>
          <w:b/>
          <w:sz w:val="18"/>
          <w:szCs w:val="20"/>
        </w:rPr>
        <w:br/>
        <w:t>ELIGIBILITY</w:t>
      </w:r>
    </w:p>
    <w:p w14:paraId="518AB132" w14:textId="77777777" w:rsidR="00986219" w:rsidRPr="00986219" w:rsidRDefault="00986219" w:rsidP="00986219">
      <w:pPr>
        <w:overflowPunct w:val="0"/>
        <w:autoSpaceDE w:val="0"/>
        <w:autoSpaceDN w:val="0"/>
        <w:adjustRightInd w:val="0"/>
        <w:spacing w:before="80" w:line="190" w:lineRule="exact"/>
        <w:jc w:val="both"/>
        <w:rPr>
          <w:rFonts w:ascii="Arial" w:hAnsi="Arial"/>
          <w:sz w:val="18"/>
          <w:szCs w:val="20"/>
        </w:rPr>
      </w:pPr>
      <w:r w:rsidRPr="00986219">
        <w:rPr>
          <w:rFonts w:ascii="Arial" w:hAnsi="Arial"/>
          <w:sz w:val="18"/>
          <w:szCs w:val="20"/>
        </w:rPr>
        <w:t>The following exception applies to risks eligible for the Manufactured Home Park / Dealer Program:</w:t>
      </w:r>
    </w:p>
    <w:p w14:paraId="50BCA980" w14:textId="77777777" w:rsidR="00986219" w:rsidRPr="00986219" w:rsidRDefault="00986219" w:rsidP="00986219">
      <w:pPr>
        <w:overflowPunct w:val="0"/>
        <w:autoSpaceDE w:val="0"/>
        <w:autoSpaceDN w:val="0"/>
        <w:adjustRightInd w:val="0"/>
        <w:spacing w:before="80" w:line="190" w:lineRule="exact"/>
        <w:jc w:val="both"/>
        <w:rPr>
          <w:rFonts w:ascii="Arial" w:hAnsi="Arial"/>
          <w:sz w:val="18"/>
          <w:szCs w:val="20"/>
        </w:rPr>
      </w:pPr>
      <w:r w:rsidRPr="00986219">
        <w:rPr>
          <w:rFonts w:ascii="Arial" w:hAnsi="Arial"/>
          <w:sz w:val="18"/>
          <w:szCs w:val="20"/>
        </w:rPr>
        <w:t xml:space="preserve">Paragraph </w:t>
      </w:r>
      <w:r w:rsidRPr="00986219">
        <w:rPr>
          <w:rFonts w:ascii="Arial" w:hAnsi="Arial"/>
          <w:b/>
          <w:sz w:val="18"/>
          <w:szCs w:val="20"/>
        </w:rPr>
        <w:t>F</w:t>
      </w:r>
      <w:r w:rsidRPr="00986219">
        <w:rPr>
          <w:rFonts w:ascii="Arial" w:hAnsi="Arial"/>
          <w:sz w:val="18"/>
          <w:szCs w:val="20"/>
        </w:rPr>
        <w:t>. is replaced with the following</w:t>
      </w:r>
      <w:r w:rsidRPr="00986219">
        <w:rPr>
          <w:rFonts w:ascii="Arial" w:hAnsi="Arial"/>
          <w:b/>
          <w:sz w:val="18"/>
          <w:szCs w:val="20"/>
        </w:rPr>
        <w:t>:</w:t>
      </w:r>
    </w:p>
    <w:p w14:paraId="70BF6146" w14:textId="77777777" w:rsidR="00986219" w:rsidRPr="00986219" w:rsidRDefault="00986219" w:rsidP="00986219">
      <w:pPr>
        <w:keepNext/>
        <w:keepLines/>
        <w:tabs>
          <w:tab w:val="right" w:pos="480"/>
          <w:tab w:val="left" w:pos="600"/>
        </w:tabs>
        <w:overflowPunct w:val="0"/>
        <w:autoSpaceDE w:val="0"/>
        <w:autoSpaceDN w:val="0"/>
        <w:adjustRightInd w:val="0"/>
        <w:spacing w:before="80" w:line="190" w:lineRule="exact"/>
        <w:ind w:left="600" w:hanging="600"/>
        <w:jc w:val="both"/>
        <w:rPr>
          <w:rFonts w:ascii="Arial" w:hAnsi="Arial"/>
          <w:b/>
          <w:sz w:val="18"/>
          <w:szCs w:val="20"/>
        </w:rPr>
      </w:pPr>
      <w:r w:rsidRPr="00986219">
        <w:rPr>
          <w:rFonts w:ascii="Arial" w:hAnsi="Arial"/>
          <w:b/>
          <w:sz w:val="18"/>
          <w:szCs w:val="20"/>
        </w:rPr>
        <w:tab/>
        <w:t>F.</w:t>
      </w:r>
      <w:r w:rsidRPr="00986219">
        <w:rPr>
          <w:rFonts w:ascii="Arial" w:hAnsi="Arial"/>
          <w:b/>
          <w:sz w:val="18"/>
          <w:szCs w:val="20"/>
        </w:rPr>
        <w:tab/>
        <w:t>Eligibility For Schedule Rating</w:t>
      </w:r>
    </w:p>
    <w:p w14:paraId="7903A918" w14:textId="77777777" w:rsidR="00986219" w:rsidRPr="00986219" w:rsidRDefault="00986219" w:rsidP="00986219">
      <w:pPr>
        <w:keepLines/>
        <w:overflowPunct w:val="0"/>
        <w:autoSpaceDE w:val="0"/>
        <w:autoSpaceDN w:val="0"/>
        <w:adjustRightInd w:val="0"/>
        <w:spacing w:before="80" w:line="190" w:lineRule="exact"/>
        <w:ind w:left="600"/>
        <w:jc w:val="both"/>
        <w:rPr>
          <w:rFonts w:ascii="Arial" w:hAnsi="Arial"/>
          <w:sz w:val="18"/>
          <w:szCs w:val="20"/>
        </w:rPr>
      </w:pPr>
      <w:r w:rsidRPr="00986219">
        <w:rPr>
          <w:rFonts w:ascii="Arial" w:hAnsi="Arial"/>
          <w:sz w:val="18"/>
          <w:szCs w:val="20"/>
        </w:rPr>
        <w:t xml:space="preserve">A risk must generate a minimum of $1,000 in unmodified premium </w:t>
      </w:r>
      <w:proofErr w:type="gramStart"/>
      <w:r w:rsidRPr="00986219">
        <w:rPr>
          <w:rFonts w:ascii="Arial" w:hAnsi="Arial"/>
          <w:sz w:val="18"/>
          <w:szCs w:val="20"/>
        </w:rPr>
        <w:t>in order for</w:t>
      </w:r>
      <w:proofErr w:type="gramEnd"/>
      <w:r w:rsidRPr="00986219">
        <w:rPr>
          <w:rFonts w:ascii="Arial" w:hAnsi="Arial"/>
          <w:sz w:val="18"/>
          <w:szCs w:val="20"/>
        </w:rPr>
        <w:t xml:space="preserve"> the schedule rating modification provisions of this Plan to apply.</w:t>
      </w:r>
    </w:p>
    <w:p w14:paraId="1C7B08DD" w14:textId="77777777" w:rsidR="00986219" w:rsidRPr="00986219" w:rsidRDefault="00986219" w:rsidP="00986219">
      <w:pPr>
        <w:rPr>
          <w:rFonts w:ascii="Arial" w:hAnsi="Arial" w:cs="Arial"/>
          <w:sz w:val="18"/>
          <w:szCs w:val="18"/>
        </w:rPr>
      </w:pPr>
    </w:p>
    <w:p w14:paraId="0A2C9F48" w14:textId="77777777" w:rsidR="00986219" w:rsidRDefault="00986219" w:rsidP="00986219">
      <w:pPr>
        <w:jc w:val="both"/>
        <w:rPr>
          <w:rFonts w:ascii="Arial" w:hAnsi="Arial"/>
          <w:sz w:val="20"/>
        </w:rPr>
      </w:pPr>
    </w:p>
    <w:sectPr w:rsidR="00986219" w:rsidSect="008128AE">
      <w:headerReference w:type="default" r:id="rId7"/>
      <w:footerReference w:type="default" r:id="rId8"/>
      <w:pgSz w:w="12240" w:h="15840"/>
      <w:pgMar w:top="495" w:right="1440" w:bottom="144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A96E1" w14:textId="77777777" w:rsidR="00AF5214" w:rsidRDefault="00AF5214" w:rsidP="005D209C">
      <w:r>
        <w:separator/>
      </w:r>
    </w:p>
  </w:endnote>
  <w:endnote w:type="continuationSeparator" w:id="0">
    <w:p w14:paraId="01029275" w14:textId="77777777" w:rsidR="00AF5214" w:rsidRDefault="00AF5214" w:rsidP="005D2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527798"/>
      <w:docPartObj>
        <w:docPartGallery w:val="Page Numbers (Bottom of Page)"/>
        <w:docPartUnique/>
      </w:docPartObj>
    </w:sdtPr>
    <w:sdtEndPr>
      <w:rPr>
        <w:noProof/>
        <w:sz w:val="20"/>
        <w:szCs w:val="20"/>
      </w:rPr>
    </w:sdtEndPr>
    <w:sdtContent>
      <w:p w14:paraId="1D920FE1" w14:textId="1A993B35" w:rsidR="00AA7C7C" w:rsidRPr="00507B59" w:rsidRDefault="00AA7C7C" w:rsidP="00AA7C7C">
        <w:pPr>
          <w:pStyle w:val="Footer"/>
          <w:tabs>
            <w:tab w:val="center" w:pos="360"/>
          </w:tabs>
          <w:rPr>
            <w:rFonts w:ascii="Arial" w:hAnsi="Arial" w:cs="Arial"/>
            <w:sz w:val="20"/>
            <w:szCs w:val="20"/>
            <w:lang w:val="de-DE"/>
          </w:rPr>
        </w:pPr>
        <w:r w:rsidRPr="00FA1CD3">
          <w:rPr>
            <w:rFonts w:ascii="Arial" w:hAnsi="Arial" w:cs="Arial"/>
            <w:sz w:val="20"/>
            <w:szCs w:val="20"/>
            <w:lang w:val="de-DE"/>
          </w:rPr>
          <w:t xml:space="preserve">  </w:t>
        </w:r>
        <w:r w:rsidR="00F56A94">
          <w:rPr>
            <w:rFonts w:ascii="Arial" w:hAnsi="Arial" w:cs="Arial"/>
            <w:sz w:val="20"/>
            <w:szCs w:val="20"/>
            <w:lang w:val="de-DE"/>
          </w:rPr>
          <w:t>MH</w:t>
        </w:r>
        <w:r w:rsidRPr="00FA1CD3">
          <w:rPr>
            <w:rFonts w:ascii="Arial" w:hAnsi="Arial" w:cs="Arial"/>
            <w:sz w:val="20"/>
            <w:szCs w:val="20"/>
            <w:lang w:val="de-DE"/>
          </w:rPr>
          <w:t xml:space="preserve">                                   </w:t>
        </w:r>
        <w:r w:rsidR="00E7593F">
          <w:rPr>
            <w:rFonts w:ascii="Arial" w:hAnsi="Arial" w:cs="Arial"/>
            <w:sz w:val="20"/>
            <w:szCs w:val="20"/>
            <w:lang w:val="de-DE"/>
          </w:rPr>
          <w:t xml:space="preserve">                            </w:t>
        </w:r>
        <w:r w:rsidRPr="00FA1CD3">
          <w:rPr>
            <w:rFonts w:ascii="Arial" w:hAnsi="Arial" w:cs="Arial"/>
            <w:sz w:val="20"/>
            <w:szCs w:val="20"/>
            <w:lang w:val="de-DE"/>
          </w:rPr>
          <w:t>GL-</w:t>
        </w:r>
        <w:r w:rsidR="007D04D4">
          <w:rPr>
            <w:rFonts w:ascii="Arial" w:hAnsi="Arial" w:cs="Arial"/>
            <w:sz w:val="20"/>
            <w:szCs w:val="20"/>
            <w:lang w:val="de-DE"/>
          </w:rPr>
          <w:t>TX</w:t>
        </w:r>
        <w:r w:rsidRPr="00FA1CD3">
          <w:rPr>
            <w:rFonts w:ascii="Arial" w:hAnsi="Arial" w:cs="Arial"/>
            <w:sz w:val="20"/>
            <w:szCs w:val="20"/>
            <w:lang w:val="de-DE"/>
          </w:rPr>
          <w:t>-RU</w:t>
        </w:r>
        <w:r>
          <w:rPr>
            <w:rFonts w:ascii="Arial" w:hAnsi="Arial" w:cs="Arial"/>
            <w:sz w:val="20"/>
            <w:szCs w:val="20"/>
            <w:lang w:val="de-DE"/>
          </w:rPr>
          <w:tab/>
        </w:r>
        <w:r w:rsidRPr="00FA1CD3">
          <w:rPr>
            <w:rFonts w:ascii="Arial" w:hAnsi="Arial" w:cs="Arial"/>
            <w:sz w:val="20"/>
            <w:szCs w:val="20"/>
            <w:lang w:val="de-DE"/>
          </w:rPr>
          <w:t>P</w:t>
        </w:r>
        <w:r>
          <w:rPr>
            <w:rFonts w:ascii="Arial" w:hAnsi="Arial" w:cs="Arial"/>
            <w:sz w:val="20"/>
            <w:szCs w:val="20"/>
            <w:lang w:val="de-DE"/>
          </w:rPr>
          <w:t>age</w:t>
        </w:r>
        <w:r w:rsidRPr="00FA1CD3">
          <w:rPr>
            <w:rFonts w:ascii="Arial" w:hAnsi="Arial" w:cs="Arial"/>
            <w:sz w:val="20"/>
            <w:szCs w:val="20"/>
            <w:lang w:val="de-DE"/>
          </w:rPr>
          <w:t xml:space="preserve"> </w:t>
        </w:r>
        <w:r w:rsidRPr="00FA1CD3">
          <w:rPr>
            <w:rFonts w:ascii="Arial" w:hAnsi="Arial" w:cs="Arial"/>
            <w:sz w:val="20"/>
            <w:szCs w:val="20"/>
          </w:rPr>
          <w:fldChar w:fldCharType="begin"/>
        </w:r>
        <w:r w:rsidRPr="00FA1CD3">
          <w:rPr>
            <w:rFonts w:ascii="Arial" w:hAnsi="Arial" w:cs="Arial"/>
            <w:sz w:val="20"/>
            <w:szCs w:val="20"/>
            <w:lang w:val="de-DE"/>
          </w:rPr>
          <w:instrText xml:space="preserve"> PAGE   \* MERGEFORMAT </w:instrText>
        </w:r>
        <w:r w:rsidRPr="00FA1CD3">
          <w:rPr>
            <w:rFonts w:ascii="Arial" w:hAnsi="Arial" w:cs="Arial"/>
            <w:sz w:val="20"/>
            <w:szCs w:val="20"/>
          </w:rPr>
          <w:fldChar w:fldCharType="separate"/>
        </w:r>
        <w:r w:rsidR="00443479">
          <w:rPr>
            <w:rFonts w:ascii="Arial" w:hAnsi="Arial" w:cs="Arial"/>
            <w:noProof/>
            <w:sz w:val="20"/>
            <w:szCs w:val="20"/>
            <w:lang w:val="de-DE"/>
          </w:rPr>
          <w:t>1</w:t>
        </w:r>
        <w:r w:rsidRPr="00FA1CD3">
          <w:rPr>
            <w:rFonts w:ascii="Arial" w:hAnsi="Arial" w:cs="Arial"/>
            <w:noProof/>
            <w:sz w:val="20"/>
            <w:szCs w:val="20"/>
          </w:rPr>
          <w:fldChar w:fldCharType="end"/>
        </w:r>
        <w:r w:rsidR="00C61E37">
          <w:rPr>
            <w:rFonts w:ascii="Arial" w:hAnsi="Arial" w:cs="Arial"/>
            <w:noProof/>
            <w:sz w:val="20"/>
            <w:szCs w:val="20"/>
            <w:lang w:val="de-DE"/>
          </w:rPr>
          <w:t xml:space="preserve"> of  1</w:t>
        </w:r>
        <w:r w:rsidRPr="00507B59">
          <w:rPr>
            <w:rFonts w:ascii="Arial" w:hAnsi="Arial" w:cs="Arial"/>
            <w:noProof/>
            <w:sz w:val="20"/>
            <w:szCs w:val="20"/>
            <w:lang w:val="de-DE"/>
          </w:rPr>
          <w:t xml:space="preserve"> (Ed. </w:t>
        </w:r>
        <w:r w:rsidR="00A570D2">
          <w:rPr>
            <w:rFonts w:ascii="Arial" w:hAnsi="Arial" w:cs="Arial"/>
            <w:noProof/>
            <w:sz w:val="20"/>
            <w:szCs w:val="20"/>
            <w:lang w:val="de-DE"/>
          </w:rPr>
          <w:t>5</w:t>
        </w:r>
        <w:r w:rsidRPr="00507B59">
          <w:rPr>
            <w:rFonts w:ascii="Arial" w:hAnsi="Arial" w:cs="Arial"/>
            <w:noProof/>
            <w:sz w:val="20"/>
            <w:szCs w:val="20"/>
            <w:lang w:val="de-DE"/>
          </w:rPr>
          <w:t>-</w:t>
        </w:r>
        <w:r w:rsidR="00A570D2">
          <w:rPr>
            <w:rFonts w:ascii="Arial" w:hAnsi="Arial" w:cs="Arial"/>
            <w:noProof/>
            <w:sz w:val="20"/>
            <w:szCs w:val="20"/>
            <w:lang w:val="de-DE"/>
          </w:rPr>
          <w:t>22</w:t>
        </w:r>
        <w:r w:rsidRPr="00507B59">
          <w:rPr>
            <w:rFonts w:ascii="Arial" w:hAnsi="Arial" w:cs="Arial"/>
            <w:noProof/>
            <w:sz w:val="20"/>
            <w:szCs w:val="20"/>
            <w:lang w:val="de-DE"/>
          </w:rPr>
          <w:t>)</w:t>
        </w:r>
      </w:p>
      <w:p w14:paraId="0777EC87" w14:textId="77777777" w:rsidR="00AA7C7C" w:rsidRDefault="00D52F22" w:rsidP="00AA7C7C">
        <w:pPr>
          <w:pStyle w:val="Footer"/>
          <w:rPr>
            <w:noProof/>
            <w:sz w:val="20"/>
            <w:szCs w:val="20"/>
          </w:rPr>
        </w:pPr>
      </w:p>
    </w:sdtContent>
  </w:sdt>
  <w:p w14:paraId="7FC4043D" w14:textId="77777777" w:rsidR="008F1042" w:rsidRDefault="008F10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D6BB5" w14:textId="77777777" w:rsidR="00AF5214" w:rsidRDefault="00AF5214" w:rsidP="005D209C">
      <w:r>
        <w:separator/>
      </w:r>
    </w:p>
  </w:footnote>
  <w:footnote w:type="continuationSeparator" w:id="0">
    <w:p w14:paraId="4795C570" w14:textId="77777777" w:rsidR="00AF5214" w:rsidRDefault="00AF5214" w:rsidP="005D20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2F370" w14:textId="77777777" w:rsidR="009A3567" w:rsidRPr="0062009F" w:rsidRDefault="009A3567" w:rsidP="005D209C">
    <w:pPr>
      <w:jc w:val="center"/>
      <w:rPr>
        <w:rFonts w:ascii="Arial" w:hAnsi="Arial" w:cs="Arial"/>
        <w:b/>
        <w:bCs/>
        <w:u w:val="single"/>
      </w:rPr>
    </w:pPr>
  </w:p>
  <w:p w14:paraId="43D20673" w14:textId="77777777" w:rsidR="008F1042" w:rsidRDefault="008F10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10E26"/>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F290E06"/>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7122939"/>
    <w:multiLevelType w:val="hybridMultilevel"/>
    <w:tmpl w:val="6E346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60457"/>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D88159A"/>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597C3444"/>
    <w:multiLevelType w:val="hybridMultilevel"/>
    <w:tmpl w:val="A12CB3F8"/>
    <w:lvl w:ilvl="0" w:tplc="B4E4FEAE">
      <w:start w:val="1"/>
      <w:numFmt w:val="decimal"/>
      <w:lvlText w:val="%1."/>
      <w:lvlJc w:val="left"/>
      <w:pPr>
        <w:ind w:left="419" w:hanging="288"/>
      </w:pPr>
      <w:rPr>
        <w:rFonts w:ascii="Arial" w:eastAsia="Arial" w:hAnsi="Arial" w:cs="Arial" w:hint="default"/>
        <w:b/>
        <w:bCs/>
        <w:spacing w:val="-1"/>
        <w:w w:val="99"/>
        <w:sz w:val="20"/>
        <w:szCs w:val="20"/>
        <w:lang w:val="en-US" w:eastAsia="en-US" w:bidi="en-US"/>
      </w:rPr>
    </w:lvl>
    <w:lvl w:ilvl="1" w:tplc="18A6221A">
      <w:start w:val="1"/>
      <w:numFmt w:val="lowerLetter"/>
      <w:lvlText w:val="%2."/>
      <w:lvlJc w:val="left"/>
      <w:pPr>
        <w:ind w:left="719" w:hanging="288"/>
      </w:pPr>
      <w:rPr>
        <w:rFonts w:ascii="Arial" w:eastAsia="Arial" w:hAnsi="Arial" w:cs="Arial" w:hint="default"/>
        <w:b/>
        <w:bCs/>
        <w:spacing w:val="-1"/>
        <w:w w:val="99"/>
        <w:sz w:val="20"/>
        <w:szCs w:val="20"/>
        <w:lang w:val="en-US" w:eastAsia="en-US" w:bidi="en-US"/>
      </w:rPr>
    </w:lvl>
    <w:lvl w:ilvl="2" w:tplc="ABE89074">
      <w:start w:val="1"/>
      <w:numFmt w:val="decimal"/>
      <w:lvlText w:val="(%3)"/>
      <w:lvlJc w:val="left"/>
      <w:pPr>
        <w:ind w:left="1018" w:hanging="365"/>
      </w:pPr>
      <w:rPr>
        <w:rFonts w:ascii="Arial" w:eastAsia="Arial" w:hAnsi="Arial" w:cs="Arial" w:hint="default"/>
        <w:b/>
        <w:bCs/>
        <w:spacing w:val="-1"/>
        <w:w w:val="99"/>
        <w:sz w:val="20"/>
        <w:szCs w:val="20"/>
        <w:lang w:val="en-US" w:eastAsia="en-US" w:bidi="en-US"/>
      </w:rPr>
    </w:lvl>
    <w:lvl w:ilvl="3" w:tplc="2836117E">
      <w:start w:val="1"/>
      <w:numFmt w:val="lowerLetter"/>
      <w:lvlText w:val="(%4)"/>
      <w:lvlJc w:val="left"/>
      <w:pPr>
        <w:ind w:left="1318" w:hanging="365"/>
      </w:pPr>
      <w:rPr>
        <w:rFonts w:ascii="Arial" w:eastAsia="Arial" w:hAnsi="Arial" w:cs="Arial" w:hint="default"/>
        <w:b/>
        <w:bCs/>
        <w:spacing w:val="-1"/>
        <w:w w:val="99"/>
        <w:sz w:val="20"/>
        <w:szCs w:val="20"/>
        <w:lang w:val="en-US" w:eastAsia="en-US" w:bidi="en-US"/>
      </w:rPr>
    </w:lvl>
    <w:lvl w:ilvl="4" w:tplc="8D428482">
      <w:numFmt w:val="bullet"/>
      <w:lvlText w:val="•"/>
      <w:lvlJc w:val="left"/>
      <w:pPr>
        <w:ind w:left="1086" w:hanging="365"/>
      </w:pPr>
      <w:rPr>
        <w:rFonts w:hint="default"/>
        <w:lang w:val="en-US" w:eastAsia="en-US" w:bidi="en-US"/>
      </w:rPr>
    </w:lvl>
    <w:lvl w:ilvl="5" w:tplc="F4481498">
      <w:numFmt w:val="bullet"/>
      <w:lvlText w:val="•"/>
      <w:lvlJc w:val="left"/>
      <w:pPr>
        <w:ind w:left="852" w:hanging="365"/>
      </w:pPr>
      <w:rPr>
        <w:rFonts w:hint="default"/>
        <w:lang w:val="en-US" w:eastAsia="en-US" w:bidi="en-US"/>
      </w:rPr>
    </w:lvl>
    <w:lvl w:ilvl="6" w:tplc="7EDAEBBE">
      <w:numFmt w:val="bullet"/>
      <w:lvlText w:val="•"/>
      <w:lvlJc w:val="left"/>
      <w:pPr>
        <w:ind w:left="619" w:hanging="365"/>
      </w:pPr>
      <w:rPr>
        <w:rFonts w:hint="default"/>
        <w:lang w:val="en-US" w:eastAsia="en-US" w:bidi="en-US"/>
      </w:rPr>
    </w:lvl>
    <w:lvl w:ilvl="7" w:tplc="784C63EA">
      <w:numFmt w:val="bullet"/>
      <w:lvlText w:val="•"/>
      <w:lvlJc w:val="left"/>
      <w:pPr>
        <w:ind w:left="385" w:hanging="365"/>
      </w:pPr>
      <w:rPr>
        <w:rFonts w:hint="default"/>
        <w:lang w:val="en-US" w:eastAsia="en-US" w:bidi="en-US"/>
      </w:rPr>
    </w:lvl>
    <w:lvl w:ilvl="8" w:tplc="9ABC907C">
      <w:numFmt w:val="bullet"/>
      <w:lvlText w:val="•"/>
      <w:lvlJc w:val="left"/>
      <w:pPr>
        <w:ind w:left="152" w:hanging="365"/>
      </w:pPr>
      <w:rPr>
        <w:rFonts w:hint="default"/>
        <w:lang w:val="en-US" w:eastAsia="en-US" w:bidi="en-US"/>
      </w:rPr>
    </w:lvl>
  </w:abstractNum>
  <w:abstractNum w:abstractNumId="6" w15:restartNumberingAfterBreak="0">
    <w:nsid w:val="63700177"/>
    <w:multiLevelType w:val="hybridMultilevel"/>
    <w:tmpl w:val="43384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1E6C57"/>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4830CA7"/>
    <w:multiLevelType w:val="hybridMultilevel"/>
    <w:tmpl w:val="1DB655FE"/>
    <w:lvl w:ilvl="0" w:tplc="4E7A0B5A">
      <w:start w:val="6"/>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86D3332"/>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C23198D"/>
    <w:multiLevelType w:val="hybridMultilevel"/>
    <w:tmpl w:val="B58E9104"/>
    <w:lvl w:ilvl="0" w:tplc="307C6A26">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9"/>
  </w:num>
  <w:num w:numId="3">
    <w:abstractNumId w:val="10"/>
  </w:num>
  <w:num w:numId="4">
    <w:abstractNumId w:val="0"/>
  </w:num>
  <w:num w:numId="5">
    <w:abstractNumId w:val="8"/>
  </w:num>
  <w:num w:numId="6">
    <w:abstractNumId w:val="1"/>
  </w:num>
  <w:num w:numId="7">
    <w:abstractNumId w:val="4"/>
  </w:num>
  <w:num w:numId="8">
    <w:abstractNumId w:val="3"/>
  </w:num>
  <w:num w:numId="9">
    <w:abstractNumId w:val="2"/>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09C"/>
    <w:rsid w:val="000108DA"/>
    <w:rsid w:val="000412DE"/>
    <w:rsid w:val="00053EFF"/>
    <w:rsid w:val="00081623"/>
    <w:rsid w:val="000A541B"/>
    <w:rsid w:val="000D4EA1"/>
    <w:rsid w:val="000E26E5"/>
    <w:rsid w:val="000E76EB"/>
    <w:rsid w:val="000F5081"/>
    <w:rsid w:val="00111836"/>
    <w:rsid w:val="001324E5"/>
    <w:rsid w:val="001424F6"/>
    <w:rsid w:val="001B744C"/>
    <w:rsid w:val="001E3DD9"/>
    <w:rsid w:val="001E71E1"/>
    <w:rsid w:val="00236390"/>
    <w:rsid w:val="002428FC"/>
    <w:rsid w:val="00256C07"/>
    <w:rsid w:val="00266D50"/>
    <w:rsid w:val="0027033E"/>
    <w:rsid w:val="002728F3"/>
    <w:rsid w:val="002C3695"/>
    <w:rsid w:val="002C6975"/>
    <w:rsid w:val="00314BFF"/>
    <w:rsid w:val="00316687"/>
    <w:rsid w:val="003613D1"/>
    <w:rsid w:val="0037187E"/>
    <w:rsid w:val="003E531A"/>
    <w:rsid w:val="003E5AF7"/>
    <w:rsid w:val="00443479"/>
    <w:rsid w:val="00444DDC"/>
    <w:rsid w:val="00447018"/>
    <w:rsid w:val="00447B6D"/>
    <w:rsid w:val="00475761"/>
    <w:rsid w:val="00485665"/>
    <w:rsid w:val="004958DE"/>
    <w:rsid w:val="004A5CDF"/>
    <w:rsid w:val="004C5FB6"/>
    <w:rsid w:val="004C6D7A"/>
    <w:rsid w:val="004E513D"/>
    <w:rsid w:val="00507B59"/>
    <w:rsid w:val="00512676"/>
    <w:rsid w:val="00557297"/>
    <w:rsid w:val="00557394"/>
    <w:rsid w:val="00565324"/>
    <w:rsid w:val="00584E23"/>
    <w:rsid w:val="00595DD5"/>
    <w:rsid w:val="005A6BC6"/>
    <w:rsid w:val="005D209C"/>
    <w:rsid w:val="005F594E"/>
    <w:rsid w:val="00644390"/>
    <w:rsid w:val="00656E94"/>
    <w:rsid w:val="006D38B7"/>
    <w:rsid w:val="006E5D4E"/>
    <w:rsid w:val="00723DC4"/>
    <w:rsid w:val="00734A16"/>
    <w:rsid w:val="0073540A"/>
    <w:rsid w:val="00771DEC"/>
    <w:rsid w:val="007969EC"/>
    <w:rsid w:val="007B308A"/>
    <w:rsid w:val="007D04D4"/>
    <w:rsid w:val="007D124D"/>
    <w:rsid w:val="007E4D4D"/>
    <w:rsid w:val="008111CA"/>
    <w:rsid w:val="008128AE"/>
    <w:rsid w:val="008324AE"/>
    <w:rsid w:val="008423DC"/>
    <w:rsid w:val="00874516"/>
    <w:rsid w:val="00880760"/>
    <w:rsid w:val="00886862"/>
    <w:rsid w:val="008E5F83"/>
    <w:rsid w:val="008F1042"/>
    <w:rsid w:val="00931CEF"/>
    <w:rsid w:val="009365AB"/>
    <w:rsid w:val="009632CF"/>
    <w:rsid w:val="00986219"/>
    <w:rsid w:val="009A3567"/>
    <w:rsid w:val="009E495E"/>
    <w:rsid w:val="00A241EB"/>
    <w:rsid w:val="00A4374B"/>
    <w:rsid w:val="00A570D2"/>
    <w:rsid w:val="00AA7C7C"/>
    <w:rsid w:val="00AF0956"/>
    <w:rsid w:val="00AF5214"/>
    <w:rsid w:val="00B07575"/>
    <w:rsid w:val="00B1666F"/>
    <w:rsid w:val="00B36218"/>
    <w:rsid w:val="00B3664F"/>
    <w:rsid w:val="00B3665B"/>
    <w:rsid w:val="00B56736"/>
    <w:rsid w:val="00B61188"/>
    <w:rsid w:val="00B63F1B"/>
    <w:rsid w:val="00B752A2"/>
    <w:rsid w:val="00B823DD"/>
    <w:rsid w:val="00BE2676"/>
    <w:rsid w:val="00BF3915"/>
    <w:rsid w:val="00C00B75"/>
    <w:rsid w:val="00C34380"/>
    <w:rsid w:val="00C46E4F"/>
    <w:rsid w:val="00C61E37"/>
    <w:rsid w:val="00CA28B1"/>
    <w:rsid w:val="00D4294A"/>
    <w:rsid w:val="00D52672"/>
    <w:rsid w:val="00D52F22"/>
    <w:rsid w:val="00DB1F9E"/>
    <w:rsid w:val="00DD049C"/>
    <w:rsid w:val="00DD08D4"/>
    <w:rsid w:val="00E14F95"/>
    <w:rsid w:val="00E569AA"/>
    <w:rsid w:val="00E676FF"/>
    <w:rsid w:val="00E7593F"/>
    <w:rsid w:val="00ED3BE1"/>
    <w:rsid w:val="00ED60FC"/>
    <w:rsid w:val="00ED6EA5"/>
    <w:rsid w:val="00EE542F"/>
    <w:rsid w:val="00F20F26"/>
    <w:rsid w:val="00F336DB"/>
    <w:rsid w:val="00F56A94"/>
    <w:rsid w:val="00FB2E59"/>
    <w:rsid w:val="00FC13B9"/>
    <w:rsid w:val="00FD4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C446CF4"/>
  <w15:docId w15:val="{C16CFC4B-F0AA-4BE9-8C3B-42344FCE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09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09C"/>
    <w:pPr>
      <w:tabs>
        <w:tab w:val="center" w:pos="4680"/>
        <w:tab w:val="right" w:pos="9360"/>
      </w:tabs>
    </w:pPr>
  </w:style>
  <w:style w:type="character" w:customStyle="1" w:styleId="HeaderChar">
    <w:name w:val="Header Char"/>
    <w:basedOn w:val="DefaultParagraphFont"/>
    <w:link w:val="Header"/>
    <w:uiPriority w:val="99"/>
    <w:rsid w:val="005D20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D209C"/>
    <w:pPr>
      <w:tabs>
        <w:tab w:val="center" w:pos="4680"/>
        <w:tab w:val="right" w:pos="9360"/>
      </w:tabs>
    </w:pPr>
  </w:style>
  <w:style w:type="character" w:customStyle="1" w:styleId="FooterChar">
    <w:name w:val="Footer Char"/>
    <w:basedOn w:val="DefaultParagraphFont"/>
    <w:link w:val="Footer"/>
    <w:uiPriority w:val="99"/>
    <w:rsid w:val="005D209C"/>
    <w:rPr>
      <w:rFonts w:ascii="Times New Roman" w:eastAsia="Times New Roman" w:hAnsi="Times New Roman" w:cs="Times New Roman"/>
      <w:sz w:val="24"/>
      <w:szCs w:val="24"/>
    </w:rPr>
  </w:style>
  <w:style w:type="paragraph" w:styleId="Title">
    <w:name w:val="Title"/>
    <w:basedOn w:val="Normal"/>
    <w:link w:val="TitleChar"/>
    <w:qFormat/>
    <w:rsid w:val="005D209C"/>
    <w:pPr>
      <w:overflowPunct w:val="0"/>
      <w:autoSpaceDE w:val="0"/>
      <w:autoSpaceDN w:val="0"/>
      <w:adjustRightInd w:val="0"/>
      <w:jc w:val="center"/>
      <w:textAlignment w:val="baseline"/>
    </w:pPr>
    <w:rPr>
      <w:rFonts w:ascii="Arial" w:hAnsi="Arial" w:cs="Arial"/>
      <w:b/>
      <w:bCs/>
      <w:sz w:val="28"/>
      <w:szCs w:val="20"/>
    </w:rPr>
  </w:style>
  <w:style w:type="character" w:customStyle="1" w:styleId="TitleChar">
    <w:name w:val="Title Char"/>
    <w:basedOn w:val="DefaultParagraphFont"/>
    <w:link w:val="Title"/>
    <w:rsid w:val="005D209C"/>
    <w:rPr>
      <w:rFonts w:ascii="Arial" w:eastAsia="Times New Roman" w:hAnsi="Arial" w:cs="Arial"/>
      <w:b/>
      <w:bCs/>
      <w:sz w:val="28"/>
      <w:szCs w:val="20"/>
    </w:rPr>
  </w:style>
  <w:style w:type="character" w:styleId="PageNumber">
    <w:name w:val="page number"/>
    <w:basedOn w:val="DefaultParagraphFont"/>
    <w:rsid w:val="005D209C"/>
  </w:style>
  <w:style w:type="paragraph" w:styleId="ListParagraph">
    <w:name w:val="List Paragraph"/>
    <w:basedOn w:val="Normal"/>
    <w:uiPriority w:val="34"/>
    <w:qFormat/>
    <w:rsid w:val="008F1042"/>
    <w:pPr>
      <w:ind w:left="720"/>
      <w:contextualSpacing/>
    </w:pPr>
  </w:style>
  <w:style w:type="paragraph" w:customStyle="1" w:styleId="subcap">
    <w:name w:val="subcap"/>
    <w:basedOn w:val="Normal"/>
    <w:rsid w:val="00512676"/>
    <w:pPr>
      <w:keepLines/>
      <w:suppressAutoHyphens/>
      <w:overflowPunct w:val="0"/>
      <w:autoSpaceDE w:val="0"/>
      <w:autoSpaceDN w:val="0"/>
      <w:adjustRightInd w:val="0"/>
      <w:spacing w:line="200" w:lineRule="exact"/>
    </w:pPr>
    <w:rPr>
      <w:rFonts w:ascii="Arial" w:hAnsi="Arial"/>
      <w:b/>
      <w:caps/>
      <w:sz w:val="22"/>
      <w:szCs w:val="20"/>
    </w:rPr>
  </w:style>
  <w:style w:type="paragraph" w:customStyle="1" w:styleId="Hanging3">
    <w:name w:val="Hanging 3"/>
    <w:basedOn w:val="Normal"/>
    <w:rsid w:val="00931CEF"/>
    <w:pPr>
      <w:widowControl w:val="0"/>
      <w:tabs>
        <w:tab w:val="num" w:pos="2280"/>
      </w:tabs>
      <w:spacing w:before="80" w:line="220" w:lineRule="exact"/>
      <w:ind w:left="1080" w:hanging="360"/>
      <w:jc w:val="both"/>
    </w:pPr>
    <w:rPr>
      <w:rFonts w:ascii="Arial" w:hAnsi="Arial" w:cs="Arial"/>
      <w:sz w:val="20"/>
      <w:szCs w:val="20"/>
    </w:rPr>
  </w:style>
  <w:style w:type="paragraph" w:styleId="BalloonText">
    <w:name w:val="Balloon Text"/>
    <w:basedOn w:val="Normal"/>
    <w:link w:val="BalloonTextChar"/>
    <w:uiPriority w:val="99"/>
    <w:semiHidden/>
    <w:unhideWhenUsed/>
    <w:rsid w:val="008423DC"/>
    <w:rPr>
      <w:rFonts w:ascii="Tahoma" w:hAnsi="Tahoma" w:cs="Tahoma"/>
      <w:sz w:val="16"/>
      <w:szCs w:val="16"/>
    </w:rPr>
  </w:style>
  <w:style w:type="character" w:customStyle="1" w:styleId="BalloonTextChar">
    <w:name w:val="Balloon Text Char"/>
    <w:basedOn w:val="DefaultParagraphFont"/>
    <w:link w:val="BalloonText"/>
    <w:uiPriority w:val="99"/>
    <w:semiHidden/>
    <w:rsid w:val="008423DC"/>
    <w:rPr>
      <w:rFonts w:ascii="Tahoma" w:eastAsia="Times New Roman" w:hAnsi="Tahoma" w:cs="Tahoma"/>
      <w:sz w:val="16"/>
      <w:szCs w:val="16"/>
    </w:rPr>
  </w:style>
  <w:style w:type="table" w:styleId="TableGrid">
    <w:name w:val="Table Grid"/>
    <w:basedOn w:val="TableNormal"/>
    <w:uiPriority w:val="59"/>
    <w:rsid w:val="00735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56736"/>
    <w:rPr>
      <w:sz w:val="16"/>
      <w:szCs w:val="16"/>
    </w:rPr>
  </w:style>
  <w:style w:type="paragraph" w:styleId="CommentText">
    <w:name w:val="annotation text"/>
    <w:basedOn w:val="Normal"/>
    <w:link w:val="CommentTextChar"/>
    <w:uiPriority w:val="99"/>
    <w:semiHidden/>
    <w:unhideWhenUsed/>
    <w:rsid w:val="00B56736"/>
    <w:rPr>
      <w:sz w:val="20"/>
      <w:szCs w:val="20"/>
    </w:rPr>
  </w:style>
  <w:style w:type="character" w:customStyle="1" w:styleId="CommentTextChar">
    <w:name w:val="Comment Text Char"/>
    <w:basedOn w:val="DefaultParagraphFont"/>
    <w:link w:val="CommentText"/>
    <w:uiPriority w:val="99"/>
    <w:semiHidden/>
    <w:rsid w:val="00B5673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56736"/>
    <w:rPr>
      <w:b/>
      <w:bCs/>
    </w:rPr>
  </w:style>
  <w:style w:type="character" w:customStyle="1" w:styleId="CommentSubjectChar">
    <w:name w:val="Comment Subject Char"/>
    <w:basedOn w:val="CommentTextChar"/>
    <w:link w:val="CommentSubject"/>
    <w:uiPriority w:val="99"/>
    <w:semiHidden/>
    <w:rsid w:val="00B56736"/>
    <w:rPr>
      <w:rFonts w:ascii="Times New Roman" w:eastAsia="Times New Roman" w:hAnsi="Times New Roman" w:cs="Times New Roman"/>
      <w:b/>
      <w:bCs/>
      <w:sz w:val="20"/>
      <w:szCs w:val="20"/>
    </w:rPr>
  </w:style>
  <w:style w:type="paragraph" w:styleId="Revision">
    <w:name w:val="Revision"/>
    <w:hidden/>
    <w:uiPriority w:val="99"/>
    <w:semiHidden/>
    <w:rsid w:val="00E569AA"/>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986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225960">
      <w:bodyDiv w:val="1"/>
      <w:marLeft w:val="0"/>
      <w:marRight w:val="0"/>
      <w:marTop w:val="0"/>
      <w:marBottom w:val="0"/>
      <w:divBdr>
        <w:top w:val="none" w:sz="0" w:space="0" w:color="auto"/>
        <w:left w:val="none" w:sz="0" w:space="0" w:color="auto"/>
        <w:bottom w:val="none" w:sz="0" w:space="0" w:color="auto"/>
        <w:right w:val="none" w:sz="0" w:space="0" w:color="auto"/>
      </w:divBdr>
    </w:div>
    <w:div w:id="629626138">
      <w:bodyDiv w:val="1"/>
      <w:marLeft w:val="0"/>
      <w:marRight w:val="0"/>
      <w:marTop w:val="0"/>
      <w:marBottom w:val="0"/>
      <w:divBdr>
        <w:top w:val="none" w:sz="0" w:space="0" w:color="auto"/>
        <w:left w:val="none" w:sz="0" w:space="0" w:color="auto"/>
        <w:bottom w:val="none" w:sz="0" w:space="0" w:color="auto"/>
        <w:right w:val="none" w:sz="0" w:space="0" w:color="auto"/>
      </w:divBdr>
    </w:div>
    <w:div w:id="683745815">
      <w:bodyDiv w:val="1"/>
      <w:marLeft w:val="0"/>
      <w:marRight w:val="0"/>
      <w:marTop w:val="0"/>
      <w:marBottom w:val="0"/>
      <w:divBdr>
        <w:top w:val="none" w:sz="0" w:space="0" w:color="auto"/>
        <w:left w:val="none" w:sz="0" w:space="0" w:color="auto"/>
        <w:bottom w:val="none" w:sz="0" w:space="0" w:color="auto"/>
        <w:right w:val="none" w:sz="0" w:space="0" w:color="auto"/>
      </w:divBdr>
    </w:div>
    <w:div w:id="1199004249">
      <w:bodyDiv w:val="1"/>
      <w:marLeft w:val="0"/>
      <w:marRight w:val="0"/>
      <w:marTop w:val="0"/>
      <w:marBottom w:val="0"/>
      <w:divBdr>
        <w:top w:val="none" w:sz="0" w:space="0" w:color="auto"/>
        <w:left w:val="none" w:sz="0" w:space="0" w:color="auto"/>
        <w:bottom w:val="none" w:sz="0" w:space="0" w:color="auto"/>
        <w:right w:val="none" w:sz="0" w:space="0" w:color="auto"/>
      </w:divBdr>
    </w:div>
    <w:div w:id="1202477829">
      <w:bodyDiv w:val="1"/>
      <w:marLeft w:val="0"/>
      <w:marRight w:val="0"/>
      <w:marTop w:val="0"/>
      <w:marBottom w:val="0"/>
      <w:divBdr>
        <w:top w:val="none" w:sz="0" w:space="0" w:color="auto"/>
        <w:left w:val="none" w:sz="0" w:space="0" w:color="auto"/>
        <w:bottom w:val="none" w:sz="0" w:space="0" w:color="auto"/>
        <w:right w:val="none" w:sz="0" w:space="0" w:color="auto"/>
      </w:divBdr>
    </w:div>
    <w:div w:id="1452940729">
      <w:bodyDiv w:val="1"/>
      <w:marLeft w:val="0"/>
      <w:marRight w:val="0"/>
      <w:marTop w:val="0"/>
      <w:marBottom w:val="0"/>
      <w:divBdr>
        <w:top w:val="none" w:sz="0" w:space="0" w:color="auto"/>
        <w:left w:val="none" w:sz="0" w:space="0" w:color="auto"/>
        <w:bottom w:val="none" w:sz="0" w:space="0" w:color="auto"/>
        <w:right w:val="none" w:sz="0" w:space="0" w:color="auto"/>
      </w:divBdr>
    </w:div>
    <w:div w:id="1524198999">
      <w:bodyDiv w:val="1"/>
      <w:marLeft w:val="0"/>
      <w:marRight w:val="0"/>
      <w:marTop w:val="0"/>
      <w:marBottom w:val="0"/>
      <w:divBdr>
        <w:top w:val="none" w:sz="0" w:space="0" w:color="auto"/>
        <w:left w:val="none" w:sz="0" w:space="0" w:color="auto"/>
        <w:bottom w:val="none" w:sz="0" w:space="0" w:color="auto"/>
        <w:right w:val="none" w:sz="0" w:space="0" w:color="auto"/>
      </w:divBdr>
    </w:div>
    <w:div w:id="1618635199">
      <w:bodyDiv w:val="1"/>
      <w:marLeft w:val="0"/>
      <w:marRight w:val="0"/>
      <w:marTop w:val="0"/>
      <w:marBottom w:val="0"/>
      <w:divBdr>
        <w:top w:val="none" w:sz="0" w:space="0" w:color="auto"/>
        <w:left w:val="none" w:sz="0" w:space="0" w:color="auto"/>
        <w:bottom w:val="none" w:sz="0" w:space="0" w:color="auto"/>
        <w:right w:val="none" w:sz="0" w:space="0" w:color="auto"/>
      </w:divBdr>
      <w:divsChild>
        <w:div w:id="637688210">
          <w:marLeft w:val="0"/>
          <w:marRight w:val="0"/>
          <w:marTop w:val="0"/>
          <w:marBottom w:val="0"/>
          <w:divBdr>
            <w:top w:val="none" w:sz="0" w:space="0" w:color="auto"/>
            <w:left w:val="none" w:sz="0" w:space="0" w:color="auto"/>
            <w:bottom w:val="none" w:sz="0" w:space="0" w:color="auto"/>
            <w:right w:val="none" w:sz="0" w:space="0" w:color="auto"/>
          </w:divBdr>
        </w:div>
      </w:divsChild>
    </w:div>
    <w:div w:id="1720545968">
      <w:bodyDiv w:val="1"/>
      <w:marLeft w:val="0"/>
      <w:marRight w:val="0"/>
      <w:marTop w:val="0"/>
      <w:marBottom w:val="0"/>
      <w:divBdr>
        <w:top w:val="none" w:sz="0" w:space="0" w:color="auto"/>
        <w:left w:val="none" w:sz="0" w:space="0" w:color="auto"/>
        <w:bottom w:val="none" w:sz="0" w:space="0" w:color="auto"/>
        <w:right w:val="none" w:sz="0" w:space="0" w:color="auto"/>
      </w:divBdr>
    </w:div>
    <w:div w:id="1768042905">
      <w:bodyDiv w:val="1"/>
      <w:marLeft w:val="0"/>
      <w:marRight w:val="0"/>
      <w:marTop w:val="0"/>
      <w:marBottom w:val="0"/>
      <w:divBdr>
        <w:top w:val="none" w:sz="0" w:space="0" w:color="auto"/>
        <w:left w:val="none" w:sz="0" w:space="0" w:color="auto"/>
        <w:bottom w:val="none" w:sz="0" w:space="0" w:color="auto"/>
        <w:right w:val="none" w:sz="0" w:space="0" w:color="auto"/>
      </w:divBdr>
    </w:div>
    <w:div w:id="210895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382</Words>
  <Characters>2181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INFORMATION TECHNOLOGY</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fred.reuter on ATALAP795</dc:creator>
  <cp:lastModifiedBy>Caraballo, Angela</cp:lastModifiedBy>
  <cp:revision>2</cp:revision>
  <cp:lastPrinted>2014-12-08T17:17:00Z</cp:lastPrinted>
  <dcterms:created xsi:type="dcterms:W3CDTF">2022-06-15T20:33:00Z</dcterms:created>
  <dcterms:modified xsi:type="dcterms:W3CDTF">2022-06-15T20:33:00Z</dcterms:modified>
</cp:coreProperties>
</file>