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64" w:lineRule="auto" w:before="40"/>
        <w:ind w:left="3584" w:right="112" w:firstLine="764"/>
        <w:jc w:val="left"/>
        <w:rPr>
          <w:rFonts w:ascii="Calibri" w:hAnsi="Calibri"/>
          <w:b/>
          <w:sz w:val="19"/>
        </w:rPr>
      </w:pPr>
      <w:r>
        <w:rPr>
          <w:rFonts w:ascii="Calibri" w:hAnsi="Calibri"/>
          <w:b/>
          <w:sz w:val="19"/>
        </w:rPr>
        <w:t>ISO </w:t>
      </w:r>
      <w:r>
        <w:rPr>
          <w:rFonts w:ascii="Calibri" w:hAnsi="Calibri"/>
          <w:b/>
          <w:color w:val="221F1F"/>
          <w:sz w:val="19"/>
        </w:rPr>
        <w:t>COMMERCIAL LINES MANUAL DIVISION SIX – COMMERCIAL GENERAL LIABILITY</w:t>
      </w:r>
    </w:p>
    <w:p>
      <w:pPr>
        <w:spacing w:before="0"/>
        <w:ind w:left="4827" w:right="0" w:firstLine="0"/>
        <w:jc w:val="left"/>
        <w:rPr>
          <w:rFonts w:ascii="Calibri"/>
          <w:b/>
          <w:sz w:val="19"/>
        </w:rPr>
      </w:pPr>
      <w:r>
        <w:rPr>
          <w:rFonts w:ascii="Calibri"/>
          <w:b/>
          <w:color w:val="221F1F"/>
          <w:sz w:val="19"/>
        </w:rPr>
        <w:t>EXCEPTION PAGE</w:t>
      </w:r>
    </w:p>
    <w:p>
      <w:pPr>
        <w:pStyle w:val="BodyText"/>
        <w:rPr>
          <w:rFonts w:ascii="Calibri"/>
          <w:b/>
          <w:sz w:val="18"/>
        </w:rPr>
      </w:pPr>
    </w:p>
    <w:p>
      <w:pPr>
        <w:pStyle w:val="Heading1"/>
        <w:spacing w:line="528" w:lineRule="auto" w:before="124"/>
        <w:ind w:right="4" w:firstLine="2738"/>
      </w:pPr>
      <w:r>
        <w:rPr/>
        <w:pict>
          <v:line style="position:absolute;mso-position-horizontal-relative:page;mso-position-vertical-relative:paragraph;z-index:251659264" from="68.5pt,55.47987pt" to="557.4pt,55.47987pt" stroked="true" strokeweight=".5pt" strokecolor="#000000">
            <v:stroke dashstyle="solid"/>
            <w10:wrap type="none"/>
          </v:line>
        </w:pict>
      </w:r>
      <w:bookmarkStart w:name="Hired Auto And Non-Owned Auto Liability " w:id="1"/>
      <w:bookmarkEnd w:id="1"/>
      <w:r>
        <w:rPr>
          <w:b w:val="0"/>
        </w:rPr>
      </w:r>
      <w:r>
        <w:rPr>
          <w:color w:val="010101"/>
        </w:rPr>
        <w:t>Hired Auto And Non-Owned Auto Liability </w:t>
      </w:r>
      <w:r>
        <w:rPr/>
        <w:t>SECTION II – COVERAGE RULES</w:t>
      </w:r>
    </w:p>
    <w:p>
      <w:pPr>
        <w:pStyle w:val="BodyText"/>
        <w:rPr>
          <w:b/>
          <w:sz w:val="24"/>
        </w:rPr>
      </w:pPr>
      <w:r>
        <w:rPr/>
        <w:br w:type="column"/>
      </w:r>
      <w:r>
        <w:rPr>
          <w:b/>
          <w:sz w:val="24"/>
        </w:rPr>
      </w:r>
    </w:p>
    <w:p>
      <w:pPr>
        <w:pStyle w:val="BodyText"/>
        <w:rPr>
          <w:b/>
          <w:sz w:val="24"/>
        </w:rPr>
      </w:pPr>
    </w:p>
    <w:p>
      <w:pPr>
        <w:pStyle w:val="BodyText"/>
        <w:spacing w:before="10"/>
        <w:rPr>
          <w:b/>
          <w:sz w:val="19"/>
        </w:rPr>
      </w:pPr>
    </w:p>
    <w:p>
      <w:pPr>
        <w:spacing w:before="0"/>
        <w:ind w:left="838" w:right="0" w:firstLine="0"/>
        <w:jc w:val="left"/>
        <w:rPr>
          <w:rFonts w:ascii="Calibri"/>
          <w:b/>
          <w:sz w:val="24"/>
        </w:rPr>
      </w:pPr>
      <w:r>
        <w:rPr>
          <w:rFonts w:ascii="Calibri"/>
          <w:b/>
          <w:sz w:val="24"/>
        </w:rPr>
        <w:t>New Jersey</w:t>
      </w:r>
    </w:p>
    <w:p>
      <w:pPr>
        <w:spacing w:after="0"/>
        <w:jc w:val="left"/>
        <w:rPr>
          <w:rFonts w:ascii="Calibri"/>
          <w:sz w:val="24"/>
        </w:rPr>
        <w:sectPr>
          <w:type w:val="continuous"/>
          <w:pgSz w:w="12240" w:h="15840"/>
          <w:pgMar w:top="720" w:bottom="280" w:left="560" w:right="820"/>
          <w:cols w:num="2" w:equalWidth="0">
            <w:col w:w="7567" w:space="743"/>
            <w:col w:w="2550"/>
          </w:cols>
        </w:sectPr>
      </w:pPr>
    </w:p>
    <w:p>
      <w:pPr>
        <w:pStyle w:val="Heading1"/>
        <w:numPr>
          <w:ilvl w:val="0"/>
          <w:numId w:val="1"/>
        </w:numPr>
        <w:tabs>
          <w:tab w:pos="1225" w:val="left" w:leader="none"/>
        </w:tabs>
        <w:spacing w:line="225" w:lineRule="exact" w:before="0" w:after="22"/>
        <w:ind w:left="1224" w:right="0" w:hanging="387"/>
        <w:jc w:val="left"/>
      </w:pPr>
      <w:bookmarkStart w:name="36. DESCRIPTION OF ADDITIONAL OPTIONAL E" w:id="2"/>
      <w:bookmarkEnd w:id="2"/>
      <w:r>
        <w:rPr>
          <w:b w:val="0"/>
        </w:rPr>
      </w:r>
      <w:bookmarkStart w:name="36. DESCRIPTION OF ADDITIONAL OPTIONAL E" w:id="3"/>
      <w:bookmarkEnd w:id="3"/>
      <w:r>
        <w:rPr/>
        <w:t>D</w:t>
      </w:r>
      <w:r>
        <w:rPr/>
        <w:t>ESCRIPTION OF ADDITIONAL OPTIONAL</w:t>
      </w:r>
      <w:r>
        <w:rPr>
          <w:spacing w:val="-19"/>
        </w:rPr>
        <w:t> </w:t>
      </w:r>
      <w:r>
        <w:rPr/>
        <w:t>ENDORSEMENTS</w:t>
      </w:r>
    </w:p>
    <w:p>
      <w:pPr>
        <w:pStyle w:val="BodyText"/>
        <w:spacing w:line="20" w:lineRule="exact"/>
        <w:ind w:left="805"/>
        <w:rPr>
          <w:sz w:val="2"/>
        </w:rPr>
      </w:pPr>
      <w:r>
        <w:rPr>
          <w:sz w:val="2"/>
        </w:rPr>
        <w:pict>
          <v:group style="width:488.9pt;height:.5pt;mso-position-horizontal-relative:char;mso-position-vertical-relative:line" coordorigin="0,0" coordsize="9778,10">
            <v:line style="position:absolute" from="0,5" to="9778,5" stroked="true" strokeweight=".5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ListParagraph"/>
        <w:numPr>
          <w:ilvl w:val="1"/>
          <w:numId w:val="1"/>
        </w:numPr>
        <w:tabs>
          <w:tab w:pos="1560" w:val="left" w:leader="none"/>
        </w:tabs>
        <w:spacing w:line="240" w:lineRule="auto" w:before="110" w:after="0"/>
        <w:ind w:left="1559" w:right="0" w:hanging="362"/>
        <w:jc w:val="left"/>
        <w:rPr>
          <w:b/>
          <w:sz w:val="20"/>
        </w:rPr>
      </w:pPr>
      <w:r>
        <w:rPr>
          <w:b/>
          <w:color w:val="221F1F"/>
          <w:sz w:val="20"/>
        </w:rPr>
        <w:t>Coverage Amendment</w:t>
      </w:r>
      <w:r>
        <w:rPr>
          <w:b/>
          <w:color w:val="221F1F"/>
          <w:spacing w:val="-15"/>
          <w:sz w:val="20"/>
        </w:rPr>
        <w:t> </w:t>
      </w:r>
      <w:r>
        <w:rPr>
          <w:b/>
          <w:color w:val="221F1F"/>
          <w:sz w:val="20"/>
        </w:rPr>
        <w:t>Endorsements</w:t>
      </w:r>
    </w:p>
    <w:p>
      <w:pPr>
        <w:pStyle w:val="BodyText"/>
        <w:spacing w:before="120"/>
        <w:ind w:left="1559"/>
      </w:pPr>
      <w:r>
        <w:rPr/>
        <w:t>The following form is added:</w:t>
      </w:r>
    </w:p>
    <w:p>
      <w:pPr>
        <w:pStyle w:val="ListParagraph"/>
        <w:numPr>
          <w:ilvl w:val="2"/>
          <w:numId w:val="1"/>
        </w:numPr>
        <w:tabs>
          <w:tab w:pos="1919" w:val="left" w:leader="none"/>
          <w:tab w:pos="1920" w:val="left" w:leader="none"/>
        </w:tabs>
        <w:spacing w:line="240" w:lineRule="auto" w:before="120" w:after="0"/>
        <w:ind w:left="1919" w:right="0" w:hanging="362"/>
        <w:jc w:val="left"/>
        <w:rPr>
          <w:sz w:val="20"/>
        </w:rPr>
      </w:pPr>
      <w:r>
        <w:rPr>
          <w:color w:val="010101"/>
          <w:sz w:val="20"/>
        </w:rPr>
        <w:t>New Jersey - Hired Auto And Non-Owned Auto Liability, Form Number</w:t>
      </w:r>
      <w:r>
        <w:rPr>
          <w:color w:val="010101"/>
          <w:spacing w:val="-37"/>
          <w:sz w:val="20"/>
        </w:rPr>
        <w:t> </w:t>
      </w:r>
      <w:r>
        <w:rPr>
          <w:color w:val="010101"/>
          <w:sz w:val="20"/>
        </w:rPr>
        <w:t>141950</w:t>
      </w:r>
    </w:p>
    <w:p>
      <w:pPr>
        <w:pStyle w:val="BodyText"/>
        <w:spacing w:before="118"/>
        <w:ind w:left="1918" w:right="296"/>
        <w:jc w:val="both"/>
      </w:pPr>
      <w:r>
        <w:rPr/>
        <w:t>To provide additional coverage for Hired Auto and Non-Owned Auto Liability to </w:t>
      </w:r>
      <w:r>
        <w:rPr>
          <w:color w:val="010101"/>
        </w:rPr>
        <w:t>ISO CG 00 01 Commercial General Liability Coverage Form, attach New Jersey - Hired Auto and Non-Owned Auto Liability Endorsement, Form Number </w:t>
      </w:r>
      <w:r>
        <w:rPr/>
        <w:t>141950.</w:t>
      </w:r>
    </w:p>
    <w:p>
      <w:pPr>
        <w:pStyle w:val="BodyText"/>
        <w:spacing w:line="364" w:lineRule="auto" w:before="122"/>
        <w:ind w:left="1916" w:right="4362"/>
        <w:jc w:val="both"/>
      </w:pPr>
      <w:r>
        <w:rPr/>
        <w:t>This form is optional at the discretion of the insured. This form has premium impact.</w:t>
      </w:r>
    </w:p>
    <w:p>
      <w:pPr>
        <w:pStyle w:val="ListParagraph"/>
        <w:numPr>
          <w:ilvl w:val="3"/>
          <w:numId w:val="1"/>
        </w:numPr>
        <w:tabs>
          <w:tab w:pos="2281" w:val="left" w:leader="none"/>
        </w:tabs>
        <w:spacing w:line="223" w:lineRule="exact" w:before="0" w:after="0"/>
        <w:ind w:left="2280" w:right="0" w:hanging="363"/>
        <w:jc w:val="both"/>
        <w:rPr>
          <w:sz w:val="20"/>
        </w:rPr>
      </w:pPr>
      <w:r>
        <w:rPr>
          <w:color w:val="010101"/>
          <w:sz w:val="20"/>
        </w:rPr>
        <w:t>Premium</w:t>
      </w:r>
      <w:r>
        <w:rPr>
          <w:color w:val="010101"/>
          <w:spacing w:val="-8"/>
          <w:sz w:val="20"/>
        </w:rPr>
        <w:t> </w:t>
      </w:r>
      <w:r>
        <w:rPr>
          <w:color w:val="010101"/>
          <w:sz w:val="20"/>
        </w:rPr>
        <w:t>Determination</w:t>
      </w:r>
    </w:p>
    <w:p>
      <w:pPr>
        <w:pStyle w:val="ListParagraph"/>
        <w:numPr>
          <w:ilvl w:val="4"/>
          <w:numId w:val="1"/>
        </w:numPr>
        <w:tabs>
          <w:tab w:pos="2640" w:val="left" w:leader="none"/>
        </w:tabs>
        <w:spacing w:line="240" w:lineRule="auto" w:before="124" w:after="0"/>
        <w:ind w:left="2639" w:right="0" w:hanging="362"/>
        <w:jc w:val="left"/>
        <w:rPr>
          <w:color w:val="010101"/>
          <w:sz w:val="20"/>
        </w:rPr>
      </w:pPr>
      <w:r>
        <w:rPr>
          <w:color w:val="010101"/>
          <w:sz w:val="20"/>
        </w:rPr>
        <w:t>Non-Owned</w:t>
      </w:r>
      <w:r>
        <w:rPr>
          <w:color w:val="010101"/>
          <w:spacing w:val="-8"/>
          <w:sz w:val="20"/>
        </w:rPr>
        <w:t> </w:t>
      </w:r>
      <w:r>
        <w:rPr>
          <w:color w:val="010101"/>
          <w:sz w:val="20"/>
        </w:rPr>
        <w:t>Auto:</w:t>
      </w:r>
    </w:p>
    <w:p>
      <w:pPr>
        <w:pStyle w:val="ListParagraph"/>
        <w:numPr>
          <w:ilvl w:val="5"/>
          <w:numId w:val="1"/>
        </w:numPr>
        <w:tabs>
          <w:tab w:pos="2999" w:val="left" w:leader="none"/>
          <w:tab w:pos="3000" w:val="left" w:leader="none"/>
        </w:tabs>
        <w:spacing w:line="240" w:lineRule="auto" w:before="120" w:after="0"/>
        <w:ind w:left="2999" w:right="0" w:hanging="362"/>
        <w:jc w:val="left"/>
        <w:rPr>
          <w:color w:val="010101"/>
          <w:sz w:val="20"/>
        </w:rPr>
      </w:pPr>
      <w:r>
        <w:rPr>
          <w:sz w:val="20"/>
        </w:rPr>
        <w:t>Select</w:t>
      </w:r>
      <w:r>
        <w:rPr>
          <w:spacing w:val="-7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appropriate</w:t>
      </w:r>
      <w:r>
        <w:rPr>
          <w:spacing w:val="-4"/>
          <w:sz w:val="20"/>
        </w:rPr>
        <w:t> </w:t>
      </w:r>
      <w:r>
        <w:rPr>
          <w:sz w:val="20"/>
        </w:rPr>
        <w:t>base</w:t>
      </w:r>
      <w:r>
        <w:rPr>
          <w:spacing w:val="-5"/>
          <w:sz w:val="20"/>
        </w:rPr>
        <w:t> </w:t>
      </w:r>
      <w:r>
        <w:rPr>
          <w:sz w:val="20"/>
        </w:rPr>
        <w:t>rate</w:t>
      </w:r>
      <w:r>
        <w:rPr>
          <w:spacing w:val="-5"/>
          <w:sz w:val="20"/>
        </w:rPr>
        <w:t> </w:t>
      </w:r>
      <w:r>
        <w:rPr>
          <w:sz w:val="20"/>
        </w:rPr>
        <w:t>based</w:t>
      </w:r>
      <w:r>
        <w:rPr>
          <w:spacing w:val="-5"/>
          <w:sz w:val="20"/>
        </w:rPr>
        <w:t> </w:t>
      </w:r>
      <w:r>
        <w:rPr>
          <w:sz w:val="20"/>
        </w:rPr>
        <w:t>on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8"/>
          <w:sz w:val="20"/>
        </w:rPr>
        <w:t> </w:t>
      </w:r>
      <w:r>
        <w:rPr>
          <w:sz w:val="20"/>
        </w:rPr>
        <w:t>customer's</w:t>
      </w:r>
      <w:r>
        <w:rPr>
          <w:spacing w:val="-2"/>
          <w:sz w:val="20"/>
        </w:rPr>
        <w:t> </w:t>
      </w:r>
      <w:r>
        <w:rPr>
          <w:sz w:val="20"/>
        </w:rPr>
        <w:t>total</w:t>
      </w:r>
      <w:r>
        <w:rPr>
          <w:spacing w:val="-2"/>
          <w:sz w:val="20"/>
        </w:rPr>
        <w:t> </w:t>
      </w:r>
      <w:r>
        <w:rPr>
          <w:sz w:val="20"/>
        </w:rPr>
        <w:t>number</w:t>
      </w:r>
      <w:r>
        <w:rPr>
          <w:spacing w:val="-4"/>
          <w:sz w:val="20"/>
        </w:rPr>
        <w:t> </w:t>
      </w:r>
      <w:r>
        <w:rPr>
          <w:sz w:val="20"/>
        </w:rPr>
        <w:t>of</w:t>
      </w:r>
      <w:r>
        <w:rPr>
          <w:spacing w:val="-2"/>
          <w:sz w:val="20"/>
        </w:rPr>
        <w:t> </w:t>
      </w:r>
      <w:r>
        <w:rPr>
          <w:sz w:val="20"/>
        </w:rPr>
        <w:t>employees:</w:t>
      </w:r>
    </w:p>
    <w:p>
      <w:pPr>
        <w:pStyle w:val="BodyText"/>
        <w:spacing w:before="10"/>
        <w:rPr>
          <w:sz w:val="19"/>
        </w:rPr>
      </w:pPr>
    </w:p>
    <w:p>
      <w:pPr>
        <w:pStyle w:val="BodyText"/>
        <w:tabs>
          <w:tab w:pos="1632" w:val="left" w:leader="none"/>
        </w:tabs>
        <w:ind w:left="371"/>
        <w:jc w:val="center"/>
      </w:pPr>
      <w:r>
        <w:rPr>
          <w:color w:val="221F1F"/>
        </w:rPr>
        <w:t>Number</w:t>
      </w:r>
      <w:r>
        <w:rPr>
          <w:color w:val="221F1F"/>
          <w:spacing w:val="-5"/>
        </w:rPr>
        <w:t> </w:t>
      </w:r>
      <w:r>
        <w:rPr>
          <w:color w:val="221F1F"/>
        </w:rPr>
        <w:t>of</w:t>
        <w:tab/>
        <w:t>Non-Owned</w:t>
      </w:r>
      <w:r>
        <w:rPr>
          <w:color w:val="221F1F"/>
          <w:spacing w:val="-2"/>
        </w:rPr>
        <w:t> </w:t>
      </w:r>
      <w:r>
        <w:rPr>
          <w:color w:val="221F1F"/>
        </w:rPr>
        <w:t>Auto</w:t>
      </w:r>
    </w:p>
    <w:p>
      <w:pPr>
        <w:pStyle w:val="BodyText"/>
        <w:tabs>
          <w:tab w:pos="4202" w:val="left" w:leader="none"/>
          <w:tab w:pos="5802" w:val="left" w:leader="none"/>
          <w:tab w:pos="7187" w:val="left" w:leader="none"/>
        </w:tabs>
        <w:spacing w:before="1" w:after="20"/>
        <w:ind w:left="2620"/>
      </w:pPr>
      <w:r>
        <w:rPr>
          <w:color w:val="221F1F"/>
          <w:spacing w:val="-6"/>
          <w:w w:val="100"/>
          <w:u w:val="single" w:color="221F1F"/>
        </w:rPr>
        <w:t> </w:t>
      </w:r>
      <w:r>
        <w:rPr>
          <w:color w:val="221F1F"/>
          <w:u w:val="single" w:color="221F1F"/>
        </w:rPr>
        <w:t>Class</w:t>
      </w:r>
      <w:r>
        <w:rPr>
          <w:color w:val="221F1F"/>
          <w:spacing w:val="-4"/>
          <w:u w:val="single" w:color="221F1F"/>
        </w:rPr>
        <w:t> </w:t>
      </w:r>
      <w:r>
        <w:rPr>
          <w:color w:val="221F1F"/>
          <w:u w:val="single" w:color="221F1F"/>
        </w:rPr>
        <w:t>Code</w:t>
        <w:tab/>
        <w:t>Employees</w:t>
        <w:tab/>
        <w:t>Base</w:t>
      </w:r>
      <w:r>
        <w:rPr>
          <w:color w:val="221F1F"/>
          <w:spacing w:val="-6"/>
          <w:u w:val="single" w:color="221F1F"/>
        </w:rPr>
        <w:t> </w:t>
      </w:r>
      <w:r>
        <w:rPr>
          <w:color w:val="221F1F"/>
          <w:u w:val="single" w:color="221F1F"/>
        </w:rPr>
        <w:t>Rate</w:t>
        <w:tab/>
      </w:r>
    </w:p>
    <w:tbl>
      <w:tblPr>
        <w:tblW w:w="0" w:type="auto"/>
        <w:jc w:val="left"/>
        <w:tblInd w:w="28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8"/>
        <w:gridCol w:w="1712"/>
        <w:gridCol w:w="1269"/>
      </w:tblGrid>
      <w:tr>
        <w:trPr>
          <w:trHeight w:val="236" w:hRule="atLeast"/>
        </w:trPr>
        <w:tc>
          <w:tcPr>
            <w:tcW w:w="1088" w:type="dxa"/>
          </w:tcPr>
          <w:p>
            <w:pPr>
              <w:pStyle w:val="TableParagraph"/>
              <w:spacing w:line="217" w:lineRule="exact" w:before="0"/>
              <w:ind w:left="200"/>
              <w:rPr>
                <w:sz w:val="20"/>
              </w:rPr>
            </w:pPr>
            <w:r>
              <w:rPr>
                <w:color w:val="221F1F"/>
                <w:sz w:val="20"/>
              </w:rPr>
              <w:t>6638</w:t>
            </w:r>
          </w:p>
        </w:tc>
        <w:tc>
          <w:tcPr>
            <w:tcW w:w="1712" w:type="dxa"/>
          </w:tcPr>
          <w:p>
            <w:pPr>
              <w:pStyle w:val="TableParagraph"/>
              <w:spacing w:line="217" w:lineRule="exact" w:before="0"/>
              <w:ind w:left="604" w:right="778"/>
              <w:jc w:val="center"/>
              <w:rPr>
                <w:sz w:val="20"/>
              </w:rPr>
            </w:pPr>
            <w:r>
              <w:rPr>
                <w:color w:val="221F1F"/>
                <w:sz w:val="20"/>
              </w:rPr>
              <w:t>0-9</w:t>
            </w:r>
          </w:p>
        </w:tc>
        <w:tc>
          <w:tcPr>
            <w:tcW w:w="1269" w:type="dxa"/>
          </w:tcPr>
          <w:p>
            <w:pPr>
              <w:pStyle w:val="TableParagraph"/>
              <w:spacing w:line="217" w:lineRule="exact" w:before="0"/>
              <w:ind w:left="315"/>
              <w:rPr>
                <w:sz w:val="20"/>
              </w:rPr>
            </w:pPr>
            <w:r>
              <w:rPr>
                <w:sz w:val="20"/>
              </w:rPr>
              <w:t>51.00</w:t>
            </w:r>
          </w:p>
        </w:tc>
      </w:tr>
      <w:tr>
        <w:trPr>
          <w:trHeight w:val="250" w:hRule="atLeast"/>
        </w:trPr>
        <w:tc>
          <w:tcPr>
            <w:tcW w:w="1088" w:type="dxa"/>
          </w:tcPr>
          <w:p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6639</w:t>
            </w:r>
          </w:p>
        </w:tc>
        <w:tc>
          <w:tcPr>
            <w:tcW w:w="1712" w:type="dxa"/>
          </w:tcPr>
          <w:p>
            <w:pPr>
              <w:pStyle w:val="TableParagraph"/>
              <w:spacing w:before="6"/>
              <w:ind w:left="559"/>
              <w:rPr>
                <w:sz w:val="20"/>
              </w:rPr>
            </w:pPr>
            <w:r>
              <w:rPr>
                <w:sz w:val="20"/>
              </w:rPr>
              <w:t>10-19</w:t>
            </w:r>
          </w:p>
        </w:tc>
        <w:tc>
          <w:tcPr>
            <w:tcW w:w="1269" w:type="dxa"/>
          </w:tcPr>
          <w:p>
            <w:pPr>
              <w:pStyle w:val="TableParagraph"/>
              <w:spacing w:before="6"/>
              <w:ind w:left="287"/>
              <w:rPr>
                <w:sz w:val="20"/>
              </w:rPr>
            </w:pPr>
            <w:r>
              <w:rPr>
                <w:sz w:val="20"/>
              </w:rPr>
              <w:t>109.00</w:t>
            </w:r>
          </w:p>
        </w:tc>
      </w:tr>
      <w:tr>
        <w:trPr>
          <w:trHeight w:val="252" w:hRule="atLeast"/>
        </w:trPr>
        <w:tc>
          <w:tcPr>
            <w:tcW w:w="1088" w:type="dxa"/>
          </w:tcPr>
          <w:p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6640</w:t>
            </w:r>
          </w:p>
        </w:tc>
        <w:tc>
          <w:tcPr>
            <w:tcW w:w="1712" w:type="dxa"/>
          </w:tcPr>
          <w:p>
            <w:pPr>
              <w:pStyle w:val="TableParagraph"/>
              <w:spacing w:line="225" w:lineRule="exact"/>
              <w:ind w:left="559"/>
              <w:rPr>
                <w:sz w:val="20"/>
              </w:rPr>
            </w:pPr>
            <w:r>
              <w:rPr>
                <w:sz w:val="20"/>
              </w:rPr>
              <w:t>20-25</w:t>
            </w:r>
          </w:p>
        </w:tc>
        <w:tc>
          <w:tcPr>
            <w:tcW w:w="1269" w:type="dxa"/>
          </w:tcPr>
          <w:p>
            <w:pPr>
              <w:pStyle w:val="TableParagraph"/>
              <w:spacing w:line="225" w:lineRule="exact"/>
              <w:ind w:left="287"/>
              <w:rPr>
                <w:sz w:val="20"/>
              </w:rPr>
            </w:pPr>
            <w:r>
              <w:rPr>
                <w:sz w:val="20"/>
              </w:rPr>
              <w:t>176.00</w:t>
            </w:r>
          </w:p>
        </w:tc>
      </w:tr>
      <w:tr>
        <w:trPr>
          <w:trHeight w:val="252" w:hRule="atLeast"/>
        </w:trPr>
        <w:tc>
          <w:tcPr>
            <w:tcW w:w="108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6602</w:t>
            </w:r>
          </w:p>
        </w:tc>
        <w:tc>
          <w:tcPr>
            <w:tcW w:w="1712" w:type="dxa"/>
          </w:tcPr>
          <w:p>
            <w:pPr>
              <w:pStyle w:val="TableParagraph"/>
              <w:ind w:left="559"/>
              <w:rPr>
                <w:sz w:val="20"/>
              </w:rPr>
            </w:pPr>
            <w:r>
              <w:rPr>
                <w:sz w:val="20"/>
              </w:rPr>
              <w:t>26-100</w:t>
            </w:r>
          </w:p>
        </w:tc>
        <w:tc>
          <w:tcPr>
            <w:tcW w:w="1269" w:type="dxa"/>
          </w:tcPr>
          <w:p>
            <w:pPr>
              <w:pStyle w:val="TableParagraph"/>
              <w:ind w:left="315"/>
              <w:rPr>
                <w:sz w:val="20"/>
              </w:rPr>
            </w:pPr>
            <w:r>
              <w:rPr>
                <w:sz w:val="20"/>
              </w:rPr>
              <w:t>297.00</w:t>
            </w:r>
          </w:p>
        </w:tc>
      </w:tr>
      <w:tr>
        <w:trPr>
          <w:trHeight w:val="251" w:hRule="atLeast"/>
        </w:trPr>
        <w:tc>
          <w:tcPr>
            <w:tcW w:w="108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6603</w:t>
            </w:r>
          </w:p>
        </w:tc>
        <w:tc>
          <w:tcPr>
            <w:tcW w:w="1712" w:type="dxa"/>
          </w:tcPr>
          <w:p>
            <w:pPr>
              <w:pStyle w:val="TableParagraph"/>
              <w:ind w:left="476"/>
              <w:rPr>
                <w:sz w:val="20"/>
              </w:rPr>
            </w:pPr>
            <w:r>
              <w:rPr>
                <w:sz w:val="20"/>
              </w:rPr>
              <w:t>101-500</w:t>
            </w:r>
          </w:p>
        </w:tc>
        <w:tc>
          <w:tcPr>
            <w:tcW w:w="1269" w:type="dxa"/>
          </w:tcPr>
          <w:p>
            <w:pPr>
              <w:pStyle w:val="TableParagraph"/>
              <w:ind w:left="287"/>
              <w:rPr>
                <w:sz w:val="20"/>
              </w:rPr>
            </w:pPr>
            <w:r>
              <w:rPr>
                <w:sz w:val="20"/>
              </w:rPr>
              <w:t>777.00</w:t>
            </w:r>
          </w:p>
        </w:tc>
      </w:tr>
      <w:tr>
        <w:trPr>
          <w:trHeight w:val="246" w:hRule="atLeast"/>
        </w:trPr>
        <w:tc>
          <w:tcPr>
            <w:tcW w:w="1088" w:type="dxa"/>
          </w:tcPr>
          <w:p>
            <w:pPr>
              <w:pStyle w:val="TableParagraph"/>
              <w:spacing w:line="219" w:lineRule="exact" w:before="7"/>
              <w:rPr>
                <w:sz w:val="20"/>
              </w:rPr>
            </w:pPr>
            <w:r>
              <w:rPr>
                <w:sz w:val="20"/>
              </w:rPr>
              <w:t>6604</w:t>
            </w:r>
          </w:p>
        </w:tc>
        <w:tc>
          <w:tcPr>
            <w:tcW w:w="1712" w:type="dxa"/>
          </w:tcPr>
          <w:p>
            <w:pPr>
              <w:pStyle w:val="TableParagraph"/>
              <w:spacing w:line="219" w:lineRule="exact" w:before="7"/>
              <w:ind w:left="0" w:right="331"/>
              <w:jc w:val="right"/>
              <w:rPr>
                <w:sz w:val="20"/>
              </w:rPr>
            </w:pPr>
            <w:r>
              <w:rPr>
                <w:sz w:val="20"/>
              </w:rPr>
              <w:t>501-1,000</w:t>
            </w:r>
          </w:p>
        </w:tc>
        <w:tc>
          <w:tcPr>
            <w:tcW w:w="1269" w:type="dxa"/>
          </w:tcPr>
          <w:p>
            <w:pPr>
              <w:pStyle w:val="TableParagraph"/>
              <w:spacing w:line="219" w:lineRule="exact" w:before="7"/>
              <w:ind w:left="288"/>
              <w:rPr>
                <w:sz w:val="20"/>
              </w:rPr>
            </w:pPr>
            <w:r>
              <w:rPr>
                <w:sz w:val="20"/>
              </w:rPr>
              <w:t>1,786.00</w:t>
            </w:r>
          </w:p>
        </w:tc>
      </w:tr>
      <w:tr>
        <w:trPr>
          <w:trHeight w:val="232" w:hRule="atLeast"/>
        </w:trPr>
        <w:tc>
          <w:tcPr>
            <w:tcW w:w="1088" w:type="dxa"/>
          </w:tcPr>
          <w:p>
            <w:pPr>
              <w:pStyle w:val="TableParagraph"/>
              <w:spacing w:line="210" w:lineRule="exact" w:before="2"/>
              <w:rPr>
                <w:sz w:val="20"/>
              </w:rPr>
            </w:pPr>
            <w:r>
              <w:rPr>
                <w:sz w:val="20"/>
              </w:rPr>
              <w:t>6605</w:t>
            </w:r>
          </w:p>
        </w:tc>
        <w:tc>
          <w:tcPr>
            <w:tcW w:w="1712" w:type="dxa"/>
          </w:tcPr>
          <w:p>
            <w:pPr>
              <w:pStyle w:val="TableParagraph"/>
              <w:spacing w:line="210" w:lineRule="exact" w:before="2"/>
              <w:ind w:left="0" w:right="285"/>
              <w:jc w:val="right"/>
              <w:rPr>
                <w:sz w:val="20"/>
              </w:rPr>
            </w:pPr>
            <w:r>
              <w:rPr>
                <w:sz w:val="20"/>
              </w:rPr>
              <w:t>Over 1,000</w:t>
            </w:r>
          </w:p>
        </w:tc>
        <w:tc>
          <w:tcPr>
            <w:tcW w:w="1269" w:type="dxa"/>
          </w:tcPr>
          <w:p>
            <w:pPr>
              <w:pStyle w:val="TableParagraph"/>
              <w:spacing w:line="210" w:lineRule="exact" w:before="2"/>
              <w:ind w:left="287"/>
              <w:rPr>
                <w:sz w:val="20"/>
              </w:rPr>
            </w:pPr>
            <w:r>
              <w:rPr>
                <w:sz w:val="20"/>
              </w:rPr>
              <w:t>3,764.00</w:t>
            </w:r>
          </w:p>
        </w:tc>
      </w:tr>
    </w:tbl>
    <w:p>
      <w:pPr>
        <w:pStyle w:val="BodyText"/>
        <w:spacing w:before="10"/>
        <w:rPr>
          <w:sz w:val="25"/>
        </w:rPr>
      </w:pPr>
    </w:p>
    <w:p>
      <w:pPr>
        <w:pStyle w:val="ListParagraph"/>
        <w:numPr>
          <w:ilvl w:val="5"/>
          <w:numId w:val="1"/>
        </w:numPr>
        <w:tabs>
          <w:tab w:pos="3000" w:val="left" w:leader="none"/>
        </w:tabs>
        <w:spacing w:line="240" w:lineRule="auto" w:before="0" w:after="0"/>
        <w:ind w:left="2998" w:right="743" w:hanging="360"/>
        <w:jc w:val="left"/>
        <w:rPr>
          <w:color w:val="221F1F"/>
          <w:sz w:val="20"/>
        </w:rPr>
      </w:pPr>
      <w:r>
        <w:rPr>
          <w:color w:val="221F1F"/>
          <w:sz w:val="20"/>
        </w:rPr>
        <w:t>Multiply</w:t>
      </w:r>
      <w:r>
        <w:rPr>
          <w:color w:val="221F1F"/>
          <w:spacing w:val="-6"/>
          <w:sz w:val="20"/>
        </w:rPr>
        <w:t> </w:t>
      </w:r>
      <w:r>
        <w:rPr>
          <w:color w:val="221F1F"/>
          <w:sz w:val="20"/>
        </w:rPr>
        <w:t>the</w:t>
      </w:r>
      <w:r>
        <w:rPr>
          <w:color w:val="221F1F"/>
          <w:spacing w:val="-6"/>
          <w:sz w:val="20"/>
        </w:rPr>
        <w:t> </w:t>
      </w:r>
      <w:r>
        <w:rPr>
          <w:color w:val="221F1F"/>
          <w:sz w:val="20"/>
        </w:rPr>
        <w:t>applicable</w:t>
      </w:r>
      <w:r>
        <w:rPr>
          <w:color w:val="221F1F"/>
          <w:spacing w:val="-7"/>
          <w:sz w:val="20"/>
        </w:rPr>
        <w:t> </w:t>
      </w:r>
      <w:r>
        <w:rPr>
          <w:color w:val="221F1F"/>
          <w:sz w:val="20"/>
        </w:rPr>
        <w:t>Non-Owned</w:t>
      </w:r>
      <w:r>
        <w:rPr>
          <w:color w:val="221F1F"/>
          <w:spacing w:val="-2"/>
          <w:sz w:val="20"/>
        </w:rPr>
        <w:t> </w:t>
      </w:r>
      <w:r>
        <w:rPr>
          <w:color w:val="221F1F"/>
          <w:sz w:val="20"/>
        </w:rPr>
        <w:t>Auto</w:t>
      </w:r>
      <w:r>
        <w:rPr>
          <w:color w:val="221F1F"/>
          <w:spacing w:val="-5"/>
          <w:sz w:val="20"/>
        </w:rPr>
        <w:t> </w:t>
      </w:r>
      <w:r>
        <w:rPr>
          <w:color w:val="221F1F"/>
          <w:sz w:val="20"/>
        </w:rPr>
        <w:t>Base</w:t>
      </w:r>
      <w:r>
        <w:rPr>
          <w:color w:val="221F1F"/>
          <w:spacing w:val="-7"/>
          <w:sz w:val="20"/>
        </w:rPr>
        <w:t> </w:t>
      </w:r>
      <w:r>
        <w:rPr>
          <w:color w:val="221F1F"/>
          <w:sz w:val="20"/>
        </w:rPr>
        <w:t>Rate</w:t>
      </w:r>
      <w:r>
        <w:rPr>
          <w:color w:val="221F1F"/>
          <w:spacing w:val="-5"/>
          <w:sz w:val="20"/>
        </w:rPr>
        <w:t> </w:t>
      </w:r>
      <w:r>
        <w:rPr>
          <w:color w:val="221F1F"/>
          <w:sz w:val="20"/>
        </w:rPr>
        <w:t>by</w:t>
      </w:r>
      <w:r>
        <w:rPr>
          <w:color w:val="221F1F"/>
          <w:spacing w:val="-3"/>
          <w:sz w:val="20"/>
        </w:rPr>
        <w:t> </w:t>
      </w:r>
      <w:r>
        <w:rPr>
          <w:color w:val="221F1F"/>
          <w:sz w:val="20"/>
        </w:rPr>
        <w:t>the</w:t>
      </w:r>
      <w:r>
        <w:rPr>
          <w:color w:val="221F1F"/>
          <w:spacing w:val="-3"/>
          <w:sz w:val="20"/>
        </w:rPr>
        <w:t> </w:t>
      </w:r>
      <w:r>
        <w:rPr>
          <w:color w:val="221F1F"/>
          <w:sz w:val="20"/>
        </w:rPr>
        <w:t>policy</w:t>
      </w:r>
      <w:r>
        <w:rPr>
          <w:color w:val="221F1F"/>
          <w:spacing w:val="-4"/>
          <w:sz w:val="20"/>
        </w:rPr>
        <w:t> </w:t>
      </w:r>
      <w:r>
        <w:rPr>
          <w:color w:val="221F1F"/>
          <w:sz w:val="20"/>
        </w:rPr>
        <w:t>LCM</w:t>
      </w:r>
      <w:r>
        <w:rPr>
          <w:color w:val="221F1F"/>
          <w:spacing w:val="-2"/>
          <w:sz w:val="20"/>
        </w:rPr>
        <w:t> </w:t>
      </w:r>
      <w:r>
        <w:rPr>
          <w:color w:val="221F1F"/>
          <w:sz w:val="20"/>
        </w:rPr>
        <w:t>and</w:t>
      </w:r>
      <w:r>
        <w:rPr>
          <w:color w:val="221F1F"/>
          <w:spacing w:val="-8"/>
          <w:sz w:val="20"/>
        </w:rPr>
        <w:t> </w:t>
      </w:r>
      <w:r>
        <w:rPr>
          <w:color w:val="221F1F"/>
          <w:sz w:val="20"/>
        </w:rPr>
        <w:t>ILF</w:t>
      </w:r>
      <w:r>
        <w:rPr>
          <w:color w:val="221F1F"/>
          <w:spacing w:val="-6"/>
          <w:sz w:val="20"/>
        </w:rPr>
        <w:t> </w:t>
      </w:r>
      <w:r>
        <w:rPr>
          <w:color w:val="221F1F"/>
          <w:sz w:val="20"/>
        </w:rPr>
        <w:t>to determine final premium for Non-Owned Auto Liability</w:t>
      </w:r>
      <w:r>
        <w:rPr>
          <w:color w:val="221F1F"/>
          <w:spacing w:val="-16"/>
          <w:sz w:val="20"/>
        </w:rPr>
        <w:t> </w:t>
      </w:r>
      <w:r>
        <w:rPr>
          <w:color w:val="221F1F"/>
          <w:sz w:val="20"/>
        </w:rPr>
        <w:t>coverage.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ind w:left="2638" w:firstLine="1"/>
      </w:pPr>
      <w:r>
        <w:rPr>
          <w:color w:val="221F1F"/>
        </w:rPr>
        <w:t>Experience rating and schedule rating rules and factors are not applicable to </w:t>
      </w:r>
      <w:r>
        <w:rPr/>
        <w:t>Non-Owned Auto Liability coverage.</w:t>
      </w:r>
    </w:p>
    <w:p>
      <w:pPr>
        <w:pStyle w:val="BodyText"/>
        <w:spacing w:before="1"/>
      </w:pPr>
    </w:p>
    <w:p>
      <w:pPr>
        <w:pStyle w:val="ListParagraph"/>
        <w:numPr>
          <w:ilvl w:val="4"/>
          <w:numId w:val="1"/>
        </w:numPr>
        <w:tabs>
          <w:tab w:pos="2640" w:val="left" w:leader="none"/>
        </w:tabs>
        <w:spacing w:line="240" w:lineRule="auto" w:before="0" w:after="0"/>
        <w:ind w:left="2639" w:right="0" w:hanging="362"/>
        <w:jc w:val="left"/>
        <w:rPr>
          <w:sz w:val="20"/>
        </w:rPr>
      </w:pPr>
      <w:r>
        <w:rPr>
          <w:sz w:val="20"/>
        </w:rPr>
        <w:t>Hired</w:t>
      </w:r>
      <w:r>
        <w:rPr>
          <w:spacing w:val="-4"/>
          <w:sz w:val="20"/>
        </w:rPr>
        <w:t> </w:t>
      </w:r>
      <w:r>
        <w:rPr>
          <w:sz w:val="20"/>
        </w:rPr>
        <w:t>Auto:</w:t>
      </w:r>
    </w:p>
    <w:p>
      <w:pPr>
        <w:pStyle w:val="BodyText"/>
        <w:spacing w:before="1"/>
      </w:pPr>
    </w:p>
    <w:p>
      <w:pPr>
        <w:pStyle w:val="ListParagraph"/>
        <w:numPr>
          <w:ilvl w:val="5"/>
          <w:numId w:val="1"/>
        </w:numPr>
        <w:tabs>
          <w:tab w:pos="2999" w:val="left" w:leader="none"/>
          <w:tab w:pos="3000" w:val="left" w:leader="none"/>
        </w:tabs>
        <w:spacing w:line="240" w:lineRule="auto" w:before="0" w:after="0"/>
        <w:ind w:left="2997" w:right="303" w:hanging="359"/>
        <w:jc w:val="left"/>
        <w:rPr>
          <w:sz w:val="20"/>
        </w:rPr>
      </w:pPr>
      <w:r>
        <w:rPr>
          <w:sz w:val="20"/>
        </w:rPr>
        <w:t>Divide</w:t>
      </w:r>
      <w:r>
        <w:rPr>
          <w:spacing w:val="-7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estimated</w:t>
      </w:r>
      <w:r>
        <w:rPr>
          <w:spacing w:val="-2"/>
          <w:sz w:val="20"/>
        </w:rPr>
        <w:t> </w:t>
      </w:r>
      <w:r>
        <w:rPr>
          <w:sz w:val="20"/>
        </w:rPr>
        <w:t>annual</w:t>
      </w:r>
      <w:r>
        <w:rPr>
          <w:spacing w:val="-7"/>
          <w:sz w:val="20"/>
        </w:rPr>
        <w:t> </w:t>
      </w:r>
      <w:r>
        <w:rPr>
          <w:sz w:val="20"/>
        </w:rPr>
        <w:t>cost</w:t>
      </w:r>
      <w:r>
        <w:rPr>
          <w:spacing w:val="-7"/>
          <w:sz w:val="20"/>
        </w:rPr>
        <w:t> </w:t>
      </w:r>
      <w:r>
        <w:rPr>
          <w:sz w:val="20"/>
        </w:rPr>
        <w:t>of</w:t>
      </w:r>
      <w:r>
        <w:rPr>
          <w:spacing w:val="-3"/>
          <w:sz w:val="20"/>
        </w:rPr>
        <w:t> </w:t>
      </w:r>
      <w:r>
        <w:rPr>
          <w:sz w:val="20"/>
        </w:rPr>
        <w:t>hire</w:t>
      </w:r>
      <w:r>
        <w:rPr>
          <w:spacing w:val="-5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100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multiply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6"/>
          <w:sz w:val="20"/>
        </w:rPr>
        <w:t> </w:t>
      </w:r>
      <w:r>
        <w:rPr>
          <w:sz w:val="20"/>
        </w:rPr>
        <w:t>result</w:t>
      </w:r>
      <w:r>
        <w:rPr>
          <w:spacing w:val="-2"/>
          <w:sz w:val="20"/>
        </w:rPr>
        <w:t> </w:t>
      </w:r>
      <w:r>
        <w:rPr>
          <w:sz w:val="20"/>
        </w:rPr>
        <w:t>by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2"/>
          <w:sz w:val="20"/>
        </w:rPr>
        <w:t> </w:t>
      </w:r>
      <w:r>
        <w:rPr>
          <w:sz w:val="20"/>
        </w:rPr>
        <w:t>following base</w:t>
      </w:r>
      <w:r>
        <w:rPr>
          <w:spacing w:val="-3"/>
          <w:sz w:val="20"/>
        </w:rPr>
        <w:t> </w:t>
      </w:r>
      <w:r>
        <w:rPr>
          <w:sz w:val="20"/>
        </w:rPr>
        <w:t>rate: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tabs>
          <w:tab w:pos="5266" w:val="left" w:leader="none"/>
        </w:tabs>
        <w:ind w:left="2999"/>
      </w:pPr>
      <w:r>
        <w:rPr/>
        <w:t>Hired Auto</w:t>
      </w:r>
      <w:r>
        <w:rPr>
          <w:spacing w:val="-3"/>
        </w:rPr>
        <w:t> </w:t>
      </w:r>
      <w:r>
        <w:rPr/>
        <w:t>Base</w:t>
      </w:r>
      <w:r>
        <w:rPr>
          <w:spacing w:val="-5"/>
        </w:rPr>
        <w:t> </w:t>
      </w:r>
      <w:r>
        <w:rPr/>
        <w:t>Rate:</w:t>
        <w:tab/>
        <w:t>0.64</w:t>
      </w:r>
    </w:p>
    <w:p>
      <w:pPr>
        <w:pStyle w:val="BodyText"/>
        <w:spacing w:before="2"/>
      </w:pPr>
    </w:p>
    <w:p>
      <w:pPr>
        <w:pStyle w:val="ListParagraph"/>
        <w:numPr>
          <w:ilvl w:val="5"/>
          <w:numId w:val="1"/>
        </w:numPr>
        <w:tabs>
          <w:tab w:pos="3000" w:val="left" w:leader="none"/>
        </w:tabs>
        <w:spacing w:line="240" w:lineRule="auto" w:before="0" w:after="0"/>
        <w:ind w:left="2998" w:right="247" w:hanging="359"/>
        <w:jc w:val="left"/>
        <w:rPr>
          <w:sz w:val="20"/>
        </w:rPr>
      </w:pPr>
      <w:r>
        <w:rPr>
          <w:sz w:val="20"/>
        </w:rPr>
        <w:t>Multiply</w:t>
      </w:r>
      <w:r>
        <w:rPr>
          <w:spacing w:val="-6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result</w:t>
      </w:r>
      <w:r>
        <w:rPr>
          <w:spacing w:val="-6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the</w:t>
      </w:r>
      <w:r>
        <w:rPr>
          <w:spacing w:val="-6"/>
          <w:sz w:val="20"/>
        </w:rPr>
        <w:t> </w:t>
      </w:r>
      <w:r>
        <w:rPr>
          <w:sz w:val="20"/>
        </w:rPr>
        <w:t>policy</w:t>
      </w:r>
      <w:r>
        <w:rPr>
          <w:spacing w:val="-1"/>
          <w:sz w:val="20"/>
        </w:rPr>
        <w:t> </w:t>
      </w:r>
      <w:r>
        <w:rPr>
          <w:sz w:val="20"/>
        </w:rPr>
        <w:t>LCM</w:t>
      </w:r>
      <w:r>
        <w:rPr>
          <w:spacing w:val="-4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ILF</w:t>
      </w:r>
      <w:r>
        <w:rPr>
          <w:spacing w:val="-2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determine</w:t>
      </w:r>
      <w:r>
        <w:rPr>
          <w:spacing w:val="-6"/>
          <w:sz w:val="20"/>
        </w:rPr>
        <w:t> </w:t>
      </w:r>
      <w:r>
        <w:rPr>
          <w:sz w:val="20"/>
        </w:rPr>
        <w:t>final</w:t>
      </w:r>
      <w:r>
        <w:rPr>
          <w:spacing w:val="-6"/>
          <w:sz w:val="20"/>
        </w:rPr>
        <w:t> </w:t>
      </w:r>
      <w:r>
        <w:rPr>
          <w:sz w:val="20"/>
        </w:rPr>
        <w:t>premium</w:t>
      </w:r>
      <w:r>
        <w:rPr>
          <w:spacing w:val="-6"/>
          <w:sz w:val="20"/>
        </w:rPr>
        <w:t> </w:t>
      </w:r>
      <w:r>
        <w:rPr>
          <w:sz w:val="20"/>
        </w:rPr>
        <w:t>for</w:t>
      </w:r>
      <w:r>
        <w:rPr>
          <w:spacing w:val="-3"/>
          <w:sz w:val="20"/>
        </w:rPr>
        <w:t> </w:t>
      </w:r>
      <w:r>
        <w:rPr>
          <w:sz w:val="20"/>
        </w:rPr>
        <w:t>Hired</w:t>
      </w:r>
      <w:r>
        <w:rPr>
          <w:spacing w:val="-5"/>
          <w:sz w:val="20"/>
        </w:rPr>
        <w:t> </w:t>
      </w:r>
      <w:r>
        <w:rPr>
          <w:sz w:val="20"/>
        </w:rPr>
        <w:t>Auto Liability</w:t>
      </w:r>
      <w:r>
        <w:rPr>
          <w:spacing w:val="-2"/>
          <w:sz w:val="20"/>
        </w:rPr>
        <w:t> </w:t>
      </w:r>
      <w:r>
        <w:rPr>
          <w:sz w:val="20"/>
        </w:rPr>
        <w:t>coverage.</w:t>
      </w:r>
    </w:p>
    <w:p>
      <w:pPr>
        <w:pStyle w:val="BodyText"/>
      </w:pPr>
    </w:p>
    <w:p>
      <w:pPr>
        <w:pStyle w:val="BodyText"/>
        <w:spacing w:before="1"/>
        <w:ind w:left="2638"/>
      </w:pPr>
      <w:r>
        <w:rPr/>
        <w:t>The minimum premium for Hired Auto Liability coverage is $400.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ind w:left="2638"/>
      </w:pPr>
      <w:r>
        <w:rPr>
          <w:color w:val="221F1F"/>
        </w:rPr>
        <w:t>Experience rating and schedule rating rules and factors are not applicable to </w:t>
      </w:r>
      <w:r>
        <w:rPr/>
        <w:t>Hired Auto Liability coverage.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26"/>
        </w:rPr>
      </w:pPr>
    </w:p>
    <w:p>
      <w:pPr>
        <w:tabs>
          <w:tab w:pos="4994" w:val="left" w:leader="none"/>
          <w:tab w:pos="10292" w:val="left" w:leader="none"/>
        </w:tabs>
        <w:spacing w:before="0"/>
        <w:ind w:left="119" w:right="0" w:firstLine="0"/>
        <w:jc w:val="left"/>
        <w:rPr>
          <w:sz w:val="18"/>
        </w:rPr>
      </w:pPr>
      <w:r>
        <w:rPr>
          <w:sz w:val="18"/>
        </w:rPr>
        <w:t>DIV</w:t>
      </w:r>
      <w:r>
        <w:rPr>
          <w:spacing w:val="-3"/>
          <w:sz w:val="18"/>
        </w:rPr>
        <w:t> </w:t>
      </w:r>
      <w:r>
        <w:rPr>
          <w:sz w:val="18"/>
        </w:rPr>
        <w:t>(05/22)</w:t>
        <w:tab/>
        <w:t>GL-NJ-RA-RU</w:t>
        <w:tab/>
        <w:t>1 of</w:t>
      </w:r>
      <w:r>
        <w:rPr>
          <w:spacing w:val="-1"/>
          <w:sz w:val="18"/>
        </w:rPr>
        <w:t> </w:t>
      </w:r>
      <w:r>
        <w:rPr>
          <w:sz w:val="18"/>
        </w:rPr>
        <w:t>1</w:t>
      </w:r>
    </w:p>
    <w:sectPr>
      <w:type w:val="continuous"/>
      <w:pgSz w:w="12240" w:h="15840"/>
      <w:pgMar w:top="720" w:bottom="280" w:left="560" w:right="8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36"/>
      <w:numFmt w:val="decimal"/>
      <w:lvlText w:val="%1."/>
      <w:lvlJc w:val="left"/>
      <w:pPr>
        <w:ind w:left="1224" w:hanging="387"/>
        <w:jc w:val="left"/>
      </w:pPr>
      <w:rPr>
        <w:rFonts w:hint="default" w:ascii="Arial" w:hAnsi="Arial" w:eastAsia="Arial" w:cs="Arial"/>
        <w:b/>
        <w:bCs/>
        <w:spacing w:val="-3"/>
        <w:w w:val="99"/>
        <w:sz w:val="20"/>
        <w:szCs w:val="20"/>
        <w:lang w:val="en-us" w:eastAsia="en-us" w:bidi="en-us"/>
      </w:rPr>
    </w:lvl>
    <w:lvl w:ilvl="1">
      <w:start w:val="5"/>
      <w:numFmt w:val="upperLetter"/>
      <w:lvlText w:val="%2."/>
      <w:lvlJc w:val="left"/>
      <w:pPr>
        <w:ind w:left="1559" w:hanging="362"/>
        <w:jc w:val="left"/>
      </w:pPr>
      <w:rPr>
        <w:rFonts w:hint="default" w:ascii="Arial" w:hAnsi="Arial" w:eastAsia="Arial" w:cs="Arial"/>
        <w:b/>
        <w:bCs/>
        <w:spacing w:val="-2"/>
        <w:w w:val="99"/>
        <w:sz w:val="20"/>
        <w:szCs w:val="20"/>
        <w:lang w:val="en-us" w:eastAsia="en-us" w:bidi="en-us"/>
      </w:rPr>
    </w:lvl>
    <w:lvl w:ilvl="2">
      <w:start w:val="1"/>
      <w:numFmt w:val="upperRoman"/>
      <w:lvlText w:val="%3."/>
      <w:lvlJc w:val="left"/>
      <w:pPr>
        <w:ind w:left="1919" w:hanging="362"/>
        <w:jc w:val="left"/>
      </w:pPr>
      <w:rPr>
        <w:rFonts w:hint="default" w:ascii="Arial" w:hAnsi="Arial" w:eastAsia="Arial" w:cs="Arial"/>
        <w:b/>
        <w:bCs/>
        <w:color w:val="010101"/>
        <w:spacing w:val="-1"/>
        <w:w w:val="99"/>
        <w:sz w:val="20"/>
        <w:szCs w:val="20"/>
        <w:lang w:val="en-us" w:eastAsia="en-us" w:bidi="en-us"/>
      </w:rPr>
    </w:lvl>
    <w:lvl w:ilvl="3">
      <w:start w:val="1"/>
      <w:numFmt w:val="lowerLetter"/>
      <w:lvlText w:val="%4."/>
      <w:lvlJc w:val="left"/>
      <w:pPr>
        <w:ind w:left="2280" w:hanging="363"/>
        <w:jc w:val="left"/>
      </w:pPr>
      <w:rPr>
        <w:rFonts w:hint="default" w:ascii="Arial" w:hAnsi="Arial" w:eastAsia="Arial" w:cs="Arial"/>
        <w:b/>
        <w:bCs/>
        <w:color w:val="010101"/>
        <w:spacing w:val="-1"/>
        <w:w w:val="99"/>
        <w:sz w:val="20"/>
        <w:szCs w:val="20"/>
        <w:lang w:val="en-us" w:eastAsia="en-us" w:bidi="en-us"/>
      </w:rPr>
    </w:lvl>
    <w:lvl w:ilvl="4">
      <w:start w:val="1"/>
      <w:numFmt w:val="decimal"/>
      <w:lvlText w:val="(%5)"/>
      <w:lvlJc w:val="left"/>
      <w:pPr>
        <w:ind w:left="2639" w:hanging="362"/>
        <w:jc w:val="left"/>
      </w:pPr>
      <w:rPr>
        <w:rFonts w:hint="default"/>
        <w:b/>
        <w:bCs/>
        <w:spacing w:val="-3"/>
        <w:w w:val="99"/>
        <w:lang w:val="en-us" w:eastAsia="en-us" w:bidi="en-us"/>
      </w:rPr>
    </w:lvl>
    <w:lvl w:ilvl="5">
      <w:start w:val="1"/>
      <w:numFmt w:val="lowerRoman"/>
      <w:lvlText w:val="%6."/>
      <w:lvlJc w:val="left"/>
      <w:pPr>
        <w:ind w:left="2998" w:hanging="360"/>
        <w:jc w:val="left"/>
      </w:pPr>
      <w:rPr>
        <w:rFonts w:hint="default"/>
        <w:b/>
        <w:bCs/>
        <w:spacing w:val="-1"/>
        <w:w w:val="99"/>
        <w:lang w:val="en-us" w:eastAsia="en-us" w:bidi="en-us"/>
      </w:rPr>
    </w:lvl>
    <w:lvl w:ilvl="6">
      <w:start w:val="0"/>
      <w:numFmt w:val="bullet"/>
      <w:lvlText w:val="•"/>
      <w:lvlJc w:val="left"/>
      <w:pPr>
        <w:ind w:left="4572" w:hanging="36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6144" w:hanging="36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7716" w:hanging="360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en-us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en-us"/>
    </w:rPr>
  </w:style>
  <w:style w:styleId="Heading1" w:type="paragraph">
    <w:name w:val="Heading 1"/>
    <w:basedOn w:val="Normal"/>
    <w:uiPriority w:val="1"/>
    <w:qFormat/>
    <w:pPr>
      <w:ind w:left="838" w:hanging="387"/>
      <w:outlineLvl w:val="1"/>
    </w:pPr>
    <w:rPr>
      <w:rFonts w:ascii="Arial" w:hAnsi="Arial" w:eastAsia="Arial" w:cs="Arial"/>
      <w:b/>
      <w:bCs/>
      <w:sz w:val="20"/>
      <w:szCs w:val="20"/>
      <w:lang w:val="en-us" w:eastAsia="en-us" w:bidi="en-us"/>
    </w:rPr>
  </w:style>
  <w:style w:styleId="ListParagraph" w:type="paragraph">
    <w:name w:val="List Paragraph"/>
    <w:basedOn w:val="Normal"/>
    <w:uiPriority w:val="1"/>
    <w:qFormat/>
    <w:pPr>
      <w:ind w:left="2639" w:hanging="362"/>
    </w:pPr>
    <w:rPr>
      <w:rFonts w:ascii="Arial" w:hAnsi="Arial" w:eastAsia="Arial" w:cs="Arial"/>
      <w:lang w:val="en-us" w:eastAsia="en-us" w:bidi="en-us"/>
    </w:rPr>
  </w:style>
  <w:style w:styleId="TableParagraph" w:type="paragraph">
    <w:name w:val="Table Paragraph"/>
    <w:basedOn w:val="Normal"/>
    <w:uiPriority w:val="1"/>
    <w:qFormat/>
    <w:pPr>
      <w:spacing w:before="8" w:line="224" w:lineRule="exact"/>
      <w:ind w:left="208"/>
    </w:pPr>
    <w:rPr>
      <w:rFonts w:ascii="Arial" w:hAnsi="Arial" w:eastAsia="Arial" w:cs="Arial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mjacobso</dc:creator>
  <dc:title>Microsoft Word - HNOA Form-Rate-Rule </dc:title>
  <dcterms:created xsi:type="dcterms:W3CDTF">2022-05-18T19:03:13Z</dcterms:created>
  <dcterms:modified xsi:type="dcterms:W3CDTF">2022-05-18T19:03:13Z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2022-05-04T00:00:00Z</vt:filetime>
  </property>
  <property fmtid="{D5CDD505-2E9C-101B-9397-08002B2CF9AE}" pid="3" name="Creator">
    <vt:lpwstr>Acrobat PDFMaker 17 for Word</vt:lpwstr>
  </property>
  <property fmtid="{D5CDD505-2E9C-101B-9397-08002B2CF9AE}" pid="4" name="LastSaved">
    <vt:filetime>2022-05-18T00:00:00Z</vt:filetime>
  </property>
</Properties>
</file>