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ind w:left="1054"/>
      </w:pPr>
      <w:r>
        <w:rPr>
          <w:w w:val="110"/>
        </w:rPr>
        <w:t>Granite State Insurance Company/lliinois National Insurance Company New Hampshire Insurance Company</w:t>
      </w:r>
    </w:p>
    <w:p>
      <w:pPr>
        <w:spacing w:before="212"/>
        <w:ind w:left="1012" w:right="1818" w:firstLine="0"/>
        <w:jc w:val="center"/>
        <w:rPr>
          <w:sz w:val="25"/>
        </w:rPr>
      </w:pPr>
      <w:r>
        <w:rPr>
          <w:w w:val="105"/>
          <w:sz w:val="25"/>
        </w:rPr>
        <w:t>AMERICAN OR1HOTICS </w:t>
      </w:r>
      <w:r>
        <w:rPr>
          <w:w w:val="105"/>
          <w:sz w:val="24"/>
        </w:rPr>
        <w:t>&amp; </w:t>
      </w:r>
      <w:r>
        <w:rPr>
          <w:w w:val="105"/>
          <w:sz w:val="25"/>
        </w:rPr>
        <w:t>PROS1HETICS ASSOCIATION</w:t>
      </w:r>
    </w:p>
    <w:p>
      <w:pPr>
        <w:spacing w:line="256" w:lineRule="auto" w:before="18"/>
        <w:ind w:left="4358" w:right="5152" w:firstLine="5"/>
        <w:jc w:val="center"/>
        <w:rPr>
          <w:rFonts w:ascii="Arial"/>
          <w:sz w:val="21"/>
        </w:rPr>
      </w:pPr>
      <w:r>
        <w:rPr>
          <w:rFonts w:ascii="Arial"/>
          <w:w w:val="105"/>
          <w:sz w:val="21"/>
        </w:rPr>
        <w:t>(AOPA) RATEPAGE</w:t>
      </w:r>
    </w:p>
    <w:p>
      <w:pPr>
        <w:pStyle w:val="BodyText"/>
        <w:spacing w:before="6"/>
        <w:rPr>
          <w:rFonts w:ascii="Arial"/>
          <w:sz w:val="10"/>
        </w:rPr>
      </w:pPr>
    </w:p>
    <w:p>
      <w:pPr>
        <w:spacing w:after="0"/>
        <w:rPr>
          <w:rFonts w:ascii="Arial"/>
          <w:sz w:val="10"/>
        </w:rPr>
        <w:sectPr>
          <w:footerReference w:type="default" r:id="rId5"/>
          <w:type w:val="continuous"/>
          <w:pgSz w:w="12240" w:h="15840"/>
          <w:pgMar w:footer="1422" w:top="1300" w:bottom="1620" w:left="1500" w:right="0"/>
        </w:sectPr>
      </w:pPr>
    </w:p>
    <w:p>
      <w:pPr>
        <w:pStyle w:val="BodyText"/>
        <w:spacing w:before="10"/>
        <w:rPr>
          <w:rFonts w:ascii="Arial"/>
          <w:sz w:val="23"/>
        </w:rPr>
      </w:pPr>
    </w:p>
    <w:p>
      <w:pPr>
        <w:pStyle w:val="BodyText"/>
        <w:ind w:left="211"/>
      </w:pPr>
      <w:r>
        <w:rPr>
          <w:w w:val="105"/>
          <w:u w:val="single"/>
        </w:rPr>
        <w:t>General Liability</w:t>
      </w:r>
    </w:p>
    <w:p>
      <w:pPr>
        <w:tabs>
          <w:tab w:pos="1674" w:val="left" w:leader="none"/>
        </w:tabs>
        <w:spacing w:line="210" w:lineRule="exact" w:before="2"/>
        <w:ind w:left="204" w:right="0" w:firstLine="0"/>
        <w:jc w:val="left"/>
        <w:rPr>
          <w:i/>
          <w:sz w:val="19"/>
        </w:rPr>
      </w:pPr>
      <w:r>
        <w:rPr>
          <w:sz w:val="19"/>
        </w:rPr>
        <w:t>I. </w:t>
      </w:r>
      <w:r>
        <w:rPr>
          <w:spacing w:val="2"/>
          <w:sz w:val="19"/>
        </w:rPr>
        <w:t> </w:t>
      </w:r>
      <w:r>
        <w:rPr>
          <w:sz w:val="17"/>
        </w:rPr>
        <w:t>Base</w:t>
      </w:r>
      <w:r>
        <w:rPr>
          <w:spacing w:val="7"/>
          <w:sz w:val="17"/>
        </w:rPr>
        <w:t> </w:t>
      </w:r>
      <w:r>
        <w:rPr>
          <w:sz w:val="19"/>
        </w:rPr>
        <w:t>Rates</w:t>
        <w:tab/>
      </w:r>
      <w:r>
        <w:rPr>
          <w:i/>
          <w:w w:val="95"/>
          <w:sz w:val="19"/>
        </w:rPr>
        <w:t>(Per$1,000 Net</w:t>
      </w:r>
      <w:r>
        <w:rPr>
          <w:i/>
          <w:spacing w:val="7"/>
          <w:w w:val="95"/>
          <w:sz w:val="19"/>
        </w:rPr>
        <w:t> </w:t>
      </w:r>
      <w:r>
        <w:rPr>
          <w:i/>
          <w:w w:val="95"/>
          <w:sz w:val="19"/>
        </w:rPr>
        <w:t>Safes)</w:t>
      </w:r>
    </w:p>
    <w:p>
      <w:pPr>
        <w:spacing w:line="222" w:lineRule="exact" w:before="0"/>
        <w:ind w:left="920" w:right="0" w:firstLine="0"/>
        <w:jc w:val="left"/>
        <w:rPr>
          <w:i/>
          <w:sz w:val="19"/>
        </w:rPr>
      </w:pPr>
      <w:r>
        <w:rPr>
          <w:i/>
          <w:w w:val="95"/>
          <w:sz w:val="19"/>
        </w:rPr>
        <w:t>$1,000,000fl.,000,000</w:t>
      </w:r>
      <w:r>
        <w:rPr>
          <w:i/>
          <w:spacing w:val="-19"/>
          <w:w w:val="95"/>
          <w:sz w:val="19"/>
        </w:rPr>
        <w:t> </w:t>
      </w:r>
      <w:r>
        <w:rPr>
          <w:i/>
          <w:w w:val="95"/>
          <w:sz w:val="19"/>
        </w:rPr>
        <w:t>Limit</w:t>
      </w:r>
      <w:r>
        <w:rPr>
          <w:i/>
          <w:spacing w:val="-21"/>
          <w:w w:val="95"/>
          <w:sz w:val="19"/>
        </w:rPr>
        <w:t> </w:t>
      </w:r>
      <w:r>
        <w:rPr>
          <w:i/>
          <w:w w:val="95"/>
          <w:sz w:val="20"/>
        </w:rPr>
        <w:t>of</w:t>
      </w:r>
      <w:r>
        <w:rPr>
          <w:i/>
          <w:spacing w:val="-16"/>
          <w:w w:val="95"/>
          <w:sz w:val="20"/>
        </w:rPr>
        <w:t> </w:t>
      </w:r>
      <w:r>
        <w:rPr>
          <w:i/>
          <w:w w:val="95"/>
          <w:sz w:val="19"/>
        </w:rPr>
        <w:t>Liability</w:t>
      </w:r>
    </w:p>
    <w:p>
      <w:pPr>
        <w:pStyle w:val="BodyText"/>
        <w:spacing w:before="2"/>
        <w:rPr>
          <w:i/>
        </w:rPr>
      </w:pPr>
    </w:p>
    <w:p>
      <w:pPr>
        <w:pStyle w:val="BodyText"/>
        <w:ind w:left="1670"/>
      </w:pPr>
      <w:r>
        <w:rPr>
          <w:w w:val="105"/>
          <w:u w:val="single"/>
        </w:rPr>
        <w:t>Classification</w:t>
      </w:r>
    </w:p>
    <w:p>
      <w:pPr>
        <w:pStyle w:val="BodyText"/>
        <w:spacing w:before="92"/>
        <w:ind w:left="204"/>
      </w:pPr>
      <w:r>
        <w:rPr/>
        <w:br w:type="column"/>
      </w:r>
      <w:r>
        <w:rPr>
          <w:w w:val="115"/>
        </w:rPr>
        <w:t>Kentucky</w:t>
      </w:r>
    </w:p>
    <w:p>
      <w:pPr>
        <w:spacing w:after="0"/>
        <w:sectPr>
          <w:type w:val="continuous"/>
          <w:pgSz w:w="12240" w:h="15840"/>
          <w:pgMar w:top="1300" w:bottom="1620" w:left="1500" w:right="0"/>
          <w:cols w:num="2" w:equalWidth="0">
            <w:col w:w="3738" w:space="603"/>
            <w:col w:w="6399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2240" w:h="15840"/>
          <w:pgMar w:top="1300" w:bottom="1620" w:left="1500" w:right="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6"/>
        </w:rPr>
      </w:pPr>
    </w:p>
    <w:p>
      <w:pPr>
        <w:pStyle w:val="BodyText"/>
        <w:ind w:left="869"/>
      </w:pPr>
      <w:r>
        <w:rPr>
          <w:w w:val="95"/>
        </w:rPr>
        <w:t>Special general liability coverage fonn</w:t>
      </w:r>
    </w:p>
    <w:p>
      <w:pPr>
        <w:pStyle w:val="BodyText"/>
        <w:spacing w:before="129"/>
        <w:ind w:left="148"/>
      </w:pPr>
      <w:r>
        <w:rPr>
          <w:sz w:val="28"/>
        </w:rPr>
        <w:t>m. </w:t>
      </w:r>
      <w:r>
        <w:rPr/>
        <w:t>Increased Limits Factors</w:t>
      </w:r>
    </w:p>
    <w:p>
      <w:pPr>
        <w:spacing w:before="30"/>
        <w:ind w:left="869" w:right="0" w:firstLine="0"/>
        <w:jc w:val="left"/>
        <w:rPr>
          <w:sz w:val="17"/>
        </w:rPr>
      </w:pPr>
      <w:r>
        <w:rPr>
          <w:w w:val="95"/>
          <w:sz w:val="17"/>
        </w:rPr>
        <w:t>Apply</w:t>
      </w:r>
      <w:r>
        <w:rPr>
          <w:spacing w:val="-16"/>
          <w:w w:val="95"/>
          <w:sz w:val="17"/>
        </w:rPr>
        <w:t> </w:t>
      </w:r>
      <w:r>
        <w:rPr>
          <w:w w:val="95"/>
          <w:sz w:val="17"/>
        </w:rPr>
        <w:t>the</w:t>
      </w:r>
      <w:r>
        <w:rPr>
          <w:spacing w:val="-25"/>
          <w:w w:val="95"/>
          <w:sz w:val="17"/>
        </w:rPr>
        <w:t> </w:t>
      </w:r>
      <w:r>
        <w:rPr>
          <w:w w:val="95"/>
          <w:sz w:val="17"/>
        </w:rPr>
        <w:t>applicable</w:t>
      </w:r>
      <w:r>
        <w:rPr>
          <w:spacing w:val="-21"/>
          <w:w w:val="95"/>
          <w:sz w:val="17"/>
        </w:rPr>
        <w:t> </w:t>
      </w:r>
      <w:r>
        <w:rPr>
          <w:w w:val="95"/>
          <w:sz w:val="17"/>
        </w:rPr>
        <w:t>Jnc:reas&lt;?d</w:t>
      </w:r>
      <w:r>
        <w:rPr>
          <w:spacing w:val="-17"/>
          <w:w w:val="95"/>
          <w:sz w:val="17"/>
        </w:rPr>
        <w:t> </w:t>
      </w:r>
      <w:r>
        <w:rPr>
          <w:w w:val="95"/>
          <w:sz w:val="17"/>
        </w:rPr>
        <w:t>limits!actor</w:t>
      </w:r>
      <w:r>
        <w:rPr>
          <w:spacing w:val="-23"/>
          <w:w w:val="95"/>
          <w:sz w:val="17"/>
        </w:rPr>
        <w:t> </w:t>
      </w:r>
      <w:r>
        <w:rPr>
          <w:w w:val="95"/>
          <w:sz w:val="17"/>
        </w:rPr>
        <w:t>to</w:t>
      </w:r>
      <w:r>
        <w:rPr>
          <w:spacing w:val="-24"/>
          <w:w w:val="95"/>
          <w:sz w:val="17"/>
        </w:rPr>
        <w:t> </w:t>
      </w:r>
      <w:r>
        <w:rPr>
          <w:w w:val="95"/>
          <w:sz w:val="17"/>
        </w:rPr>
        <w:t>th&lt;?</w:t>
      </w:r>
      <w:r>
        <w:rPr>
          <w:spacing w:val="-26"/>
          <w:w w:val="95"/>
          <w:sz w:val="17"/>
        </w:rPr>
        <w:t> </w:t>
      </w:r>
      <w:r>
        <w:rPr>
          <w:w w:val="95"/>
          <w:sz w:val="17"/>
        </w:rPr>
        <w:t>baserate.</w:t>
      </w:r>
    </w:p>
    <w:p>
      <w:pPr>
        <w:spacing w:before="6"/>
        <w:ind w:left="1055" w:right="1923" w:firstLine="0"/>
        <w:jc w:val="center"/>
        <w:rPr>
          <w:i/>
          <w:sz w:val="19"/>
        </w:rPr>
      </w:pPr>
      <w:r>
        <w:rPr>
          <w:i/>
          <w:w w:val="85"/>
          <w:sz w:val="19"/>
          <w:u w:val="thick"/>
        </w:rPr>
        <w:t>Limits o[Linbifit11</w:t>
      </w:r>
    </w:p>
    <w:p>
      <w:pPr>
        <w:pStyle w:val="BodyText"/>
        <w:spacing w:line="215" w:lineRule="exact" w:before="11"/>
        <w:ind w:left="1055" w:right="1927"/>
        <w:jc w:val="center"/>
      </w:pPr>
      <w:r>
        <w:rPr/>
        <w:t>$1,000,000/$2,000,000</w:t>
      </w:r>
    </w:p>
    <w:p>
      <w:pPr>
        <w:pStyle w:val="BodyText"/>
        <w:spacing w:line="215" w:lineRule="exact"/>
        <w:ind w:left="1055" w:right="1927"/>
        <w:jc w:val="center"/>
      </w:pPr>
      <w:r>
        <w:rPr/>
        <w:t>$1,000,000/$3,000,000</w:t>
      </w:r>
    </w:p>
    <w:p>
      <w:pPr>
        <w:pStyle w:val="BodyText"/>
        <w:spacing w:before="3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ind w:left="158"/>
      </w:pPr>
      <w:r>
        <w:rPr>
          <w:w w:val="95"/>
        </w:rPr>
        <w:t>90% of premium</w:t>
      </w:r>
    </w:p>
    <w:p>
      <w:pPr>
        <w:pStyle w:val="BodyText"/>
        <w:spacing w:before="7"/>
        <w:rPr>
          <w:sz w:val="17"/>
        </w:rPr>
      </w:pPr>
    </w:p>
    <w:p>
      <w:pPr>
        <w:pStyle w:val="BodyText"/>
        <w:spacing w:before="1"/>
        <w:ind w:left="148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81.262497pt;margin-top:-172.826431pt;width:425.35pt;height:172.8pt;mso-position-horizontal-relative:page;mso-position-vertical-relative:paragraph;z-index: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288"/>
                    <w:gridCol w:w="2143"/>
                    <w:gridCol w:w="1227"/>
                    <w:gridCol w:w="849"/>
                  </w:tblGrid>
                  <w:tr>
                    <w:trPr>
                      <w:trHeight w:val="328" w:hRule="exact"/>
                    </w:trPr>
                    <w:tc>
                      <w:tcPr>
                        <w:tcW w:w="4288" w:type="dxa"/>
                      </w:tcPr>
                      <w:p>
                        <w:pPr>
                          <w:pStyle w:val="TableParagraph"/>
                          <w:spacing w:line="210" w:lineRule="exact"/>
                          <w:ind w:left="407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Manufacturing/PatientCare Facilities</w:t>
                        </w:r>
                      </w:p>
                    </w:tc>
                    <w:tc>
                      <w:tcPr>
                        <w:tcW w:w="2143" w:type="dxa"/>
                      </w:tcPr>
                      <w:p>
                        <w:pPr/>
                      </w:p>
                    </w:tc>
                    <w:tc>
                      <w:tcPr>
                        <w:tcW w:w="1227" w:type="dxa"/>
                      </w:tcPr>
                      <w:p>
                        <w:pPr>
                          <w:pStyle w:val="TableParagraph"/>
                          <w:spacing w:before="58"/>
                          <w:ind w:left="2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9A36</w:t>
                        </w:r>
                      </w:p>
                    </w:tc>
                    <w:tc>
                      <w:tcPr>
                        <w:tcW w:w="849" w:type="dxa"/>
                        <w:vMerge w:val="restart"/>
                      </w:tcPr>
                      <w:p>
                        <w:pPr/>
                      </w:p>
                    </w:tc>
                  </w:tr>
                  <w:tr>
                    <w:trPr>
                      <w:trHeight w:val="418" w:hRule="exact"/>
                    </w:trPr>
                    <w:tc>
                      <w:tcPr>
                        <w:tcW w:w="4288" w:type="dxa"/>
                      </w:tcPr>
                      <w:p>
                        <w:pPr>
                          <w:pStyle w:val="TableParagraph"/>
                          <w:spacing w:before="77"/>
                          <w:ind w:left="916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Supplier/ Manufacturer</w:t>
                        </w:r>
                      </w:p>
                    </w:tc>
                    <w:tc>
                      <w:tcPr>
                        <w:tcW w:w="2143" w:type="dxa"/>
                      </w:tcPr>
                      <w:p>
                        <w:pPr/>
                      </w:p>
                    </w:tc>
                    <w:tc>
                      <w:tcPr>
                        <w:tcW w:w="1227" w:type="dxa"/>
                      </w:tcPr>
                      <w:p>
                        <w:pPr>
                          <w:pStyle w:val="TableParagraph"/>
                          <w:spacing w:before="143"/>
                          <w:ind w:left="27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7.189</w:t>
                        </w:r>
                      </w:p>
                    </w:tc>
                    <w:tc>
                      <w:tcPr>
                        <w:tcW w:w="849" w:type="dxa"/>
                        <w:vMerge/>
                      </w:tcPr>
                      <w:p>
                        <w:pPr/>
                      </w:p>
                    </w:tc>
                  </w:tr>
                  <w:tr>
                    <w:trPr>
                      <w:trHeight w:val="427" w:hRule="exact"/>
                    </w:trPr>
                    <w:tc>
                      <w:tcPr>
                        <w:tcW w:w="4288" w:type="dxa"/>
                      </w:tcPr>
                      <w:p>
                        <w:pPr>
                          <w:pStyle w:val="TableParagraph"/>
                          <w:spacing w:before="82"/>
                          <w:ind w:left="551"/>
                          <w:rPr>
                            <w:sz w:val="19"/>
                          </w:rPr>
                        </w:pPr>
                        <w:r>
                          <w:rPr>
                            <w:w w:val="110"/>
                            <w:sz w:val="19"/>
                          </w:rPr>
                          <w:t>Supplier/Distributor/Wholesaler</w:t>
                        </w:r>
                      </w:p>
                    </w:tc>
                    <w:tc>
                      <w:tcPr>
                        <w:tcW w:w="2143" w:type="dxa"/>
                      </w:tcPr>
                      <w:p>
                        <w:pPr/>
                      </w:p>
                    </w:tc>
                    <w:tc>
                      <w:tcPr>
                        <w:tcW w:w="1227" w:type="dxa"/>
                      </w:tcPr>
                      <w:p>
                        <w:pPr>
                          <w:pStyle w:val="TableParagraph"/>
                          <w:spacing w:before="138"/>
                          <w:ind w:left="25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1.799</w:t>
                        </w:r>
                      </w:p>
                    </w:tc>
                    <w:tc>
                      <w:tcPr>
                        <w:tcW w:w="849" w:type="dxa"/>
                        <w:vMerge/>
                      </w:tcPr>
                      <w:p>
                        <w:pPr/>
                      </w:p>
                    </w:tc>
                  </w:tr>
                  <w:tr>
                    <w:trPr>
                      <w:trHeight w:val="427" w:hRule="exact"/>
                    </w:trPr>
                    <w:tc>
                      <w:tcPr>
                        <w:tcW w:w="4288" w:type="dxa"/>
                      </w:tcPr>
                      <w:p>
                        <w:pPr>
                          <w:pStyle w:val="TableParagraph"/>
                          <w:spacing w:before="96"/>
                          <w:ind w:left="136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Countersales</w:t>
                        </w:r>
                      </w:p>
                    </w:tc>
                    <w:tc>
                      <w:tcPr>
                        <w:tcW w:w="2143" w:type="dxa"/>
                      </w:tcPr>
                      <w:p>
                        <w:pPr/>
                      </w:p>
                    </w:tc>
                    <w:tc>
                      <w:tcPr>
                        <w:tcW w:w="1227" w:type="dxa"/>
                      </w:tcPr>
                      <w:p>
                        <w:pPr>
                          <w:pStyle w:val="TableParagraph"/>
                          <w:spacing w:before="1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left="24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1.125</w:t>
                        </w:r>
                      </w:p>
                    </w:tc>
                    <w:tc>
                      <w:tcPr>
                        <w:tcW w:w="849" w:type="dxa"/>
                        <w:vMerge/>
                      </w:tcPr>
                      <w:p>
                        <w:pPr/>
                      </w:p>
                    </w:tc>
                  </w:tr>
                  <w:tr>
                    <w:trPr>
                      <w:trHeight w:val="406" w:hRule="exact"/>
                    </w:trPr>
                    <w:tc>
                      <w:tcPr>
                        <w:tcW w:w="4288" w:type="dxa"/>
                      </w:tcPr>
                      <w:p>
                        <w:pPr>
                          <w:pStyle w:val="TableParagraph"/>
                          <w:spacing w:before="72"/>
                          <w:ind w:left="50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II.  Additional Coverages</w:t>
                        </w:r>
                      </w:p>
                    </w:tc>
                    <w:tc>
                      <w:tcPr>
                        <w:tcW w:w="2143" w:type="dxa"/>
                      </w:tcPr>
                      <w:p>
                        <w:pPr/>
                      </w:p>
                    </w:tc>
                    <w:tc>
                      <w:tcPr>
                        <w:tcW w:w="1227" w:type="dxa"/>
                      </w:tcPr>
                      <w:p>
                        <w:pPr/>
                      </w:p>
                    </w:tc>
                    <w:tc>
                      <w:tcPr>
                        <w:tcW w:w="849" w:type="dxa"/>
                        <w:vMerge/>
                      </w:tcPr>
                      <w:p>
                        <w:pPr/>
                      </w:p>
                    </w:tc>
                  </w:tr>
                  <w:tr>
                    <w:trPr>
                      <w:trHeight w:val="797" w:hRule="exact"/>
                    </w:trPr>
                    <w:tc>
                      <w:tcPr>
                        <w:tcW w:w="4288" w:type="dxa"/>
                      </w:tcPr>
                      <w:p>
                        <w:pPr>
                          <w:pStyle w:val="TableParagraph"/>
                          <w:spacing w:before="107"/>
                          <w:ind w:left="771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  <w:u w:val="thick"/>
                          </w:rPr>
                          <w:t>Description</w:t>
                        </w:r>
                      </w:p>
                      <w:p>
                        <w:pPr>
                          <w:pStyle w:val="TableParagraph"/>
                          <w:spacing w:line="252" w:lineRule="auto" w:before="11"/>
                          <w:ind w:left="771" w:right="861" w:hanging="1"/>
                          <w:rPr>
                            <w:sz w:val="19"/>
                          </w:rPr>
                        </w:pPr>
                        <w:r>
                          <w:rPr>
                            <w:w w:val="95"/>
                            <w:sz w:val="19"/>
                          </w:rPr>
                          <w:t>Liability Only Location Discontinued Products:</w:t>
                        </w:r>
                      </w:p>
                    </w:tc>
                    <w:tc>
                      <w:tcPr>
                        <w:tcW w:w="2143" w:type="dxa"/>
                      </w:tcPr>
                      <w:p>
                        <w:pPr>
                          <w:pStyle w:val="TableParagraph"/>
                          <w:spacing w:before="136"/>
                          <w:ind w:left="639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  <w:u w:val="single"/>
                          </w:rPr>
                          <w:t>Rate</w:t>
                        </w:r>
                      </w:p>
                      <w:p>
                        <w:pPr>
                          <w:pStyle w:val="TableParagraph"/>
                          <w:spacing w:before="11"/>
                          <w:ind w:left="612"/>
                          <w:rPr>
                            <w:sz w:val="19"/>
                          </w:rPr>
                        </w:pPr>
                        <w:r>
                          <w:rPr>
                            <w:w w:val="95"/>
                            <w:sz w:val="19"/>
                          </w:rPr>
                          <w:t>S25 per location</w:t>
                        </w:r>
                      </w:p>
                    </w:tc>
                    <w:tc>
                      <w:tcPr>
                        <w:tcW w:w="1227" w:type="dxa"/>
                      </w:tcPr>
                      <w:p>
                        <w:pPr/>
                      </w:p>
                    </w:tc>
                    <w:tc>
                      <w:tcPr>
                        <w:tcW w:w="849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136"/>
                          <w:ind w:right="4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80"/>
                            <w:sz w:val="19"/>
                          </w:rPr>
                          <w:t>•,··</w:t>
                        </w:r>
                      </w:p>
                    </w:tc>
                  </w:tr>
                  <w:tr>
                    <w:trPr>
                      <w:trHeight w:val="652" w:hRule="exact"/>
                    </w:trPr>
                    <w:tc>
                      <w:tcPr>
                        <w:tcW w:w="4288" w:type="dxa"/>
                      </w:tcPr>
                      <w:p>
                        <w:pPr>
                          <w:pStyle w:val="TableParagraph"/>
                          <w:spacing w:line="220" w:lineRule="auto" w:before="16"/>
                          <w:ind w:left="1487" w:right="532" w:firstLine="10"/>
                          <w:rPr>
                            <w:sz w:val="19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3 </w:t>
                        </w:r>
                        <w:r>
                          <w:rPr>
                            <w:sz w:val="19"/>
                          </w:rPr>
                          <w:t>year prepaid using ISOfonn 2tilyearof At1antic coverage </w:t>
                        </w:r>
                        <w:r>
                          <w:rPr>
                            <w:w w:val="95"/>
                            <w:sz w:val="19"/>
                          </w:rPr>
                          <w:t>3rd year of Atlantic coverage</w:t>
                        </w:r>
                      </w:p>
                    </w:tc>
                    <w:tc>
                      <w:tcPr>
                        <w:tcW w:w="2143" w:type="dxa"/>
                      </w:tcPr>
                      <w:p>
                        <w:pPr>
                          <w:pStyle w:val="TableParagraph"/>
                          <w:spacing w:before="21"/>
                          <w:ind w:left="619"/>
                          <w:rPr>
                            <w:sz w:val="19"/>
                          </w:rPr>
                        </w:pPr>
                        <w:r>
                          <w:rPr>
                            <w:w w:val="95"/>
                            <w:sz w:val="19"/>
                          </w:rPr>
                          <w:t>200% of premium</w:t>
                        </w:r>
                      </w:p>
                      <w:p>
                        <w:pPr>
                          <w:pStyle w:val="TableParagraph"/>
                          <w:spacing w:before="10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ind w:left="615"/>
                          <w:rPr>
                            <w:sz w:val="19"/>
                          </w:rPr>
                        </w:pPr>
                        <w:r>
                          <w:rPr>
                            <w:w w:val="95"/>
                            <w:sz w:val="19"/>
                          </w:rPr>
                          <w:t>60% ofpremium</w:t>
                        </w:r>
                      </w:p>
                    </w:tc>
                    <w:tc>
                      <w:tcPr>
                        <w:tcW w:w="1227" w:type="dxa"/>
                      </w:tcPr>
                      <w:p>
                        <w:pPr/>
                      </w:p>
                    </w:tc>
                    <w:tc>
                      <w:tcPr>
                        <w:tcW w:w="849" w:type="dxa"/>
                      </w:tcPr>
                      <w:p>
                        <w:pPr/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95"/>
        </w:rPr>
        <w:t>3% of premium subject to$750 minimum premium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1"/>
        </w:rPr>
      </w:pPr>
    </w:p>
    <w:p>
      <w:pPr>
        <w:spacing w:before="0"/>
        <w:ind w:left="686" w:right="0" w:firstLine="0"/>
        <w:jc w:val="left"/>
        <w:rPr>
          <w:rFonts w:ascii="Arial"/>
          <w:i/>
          <w:sz w:val="17"/>
        </w:rPr>
      </w:pPr>
      <w:r>
        <w:rPr>
          <w:rFonts w:ascii="Arial"/>
          <w:i/>
          <w:sz w:val="17"/>
          <w:u w:val="single"/>
        </w:rPr>
        <w:t>Fae/or</w:t>
      </w:r>
    </w:p>
    <w:p>
      <w:pPr>
        <w:pStyle w:val="BodyText"/>
        <w:spacing w:before="7"/>
        <w:ind w:left="748"/>
      </w:pPr>
      <w:r>
        <w:rPr/>
        <w:t>1.00</w:t>
      </w:r>
    </w:p>
    <w:p>
      <w:pPr>
        <w:pStyle w:val="BodyText"/>
        <w:spacing w:before="2"/>
        <w:ind w:left="739"/>
      </w:pPr>
      <w:r>
        <w:rPr>
          <w:w w:val="110"/>
        </w:rPr>
        <w:t>1.15</w:t>
      </w:r>
    </w:p>
    <w:p>
      <w:pPr>
        <w:spacing w:after="0"/>
        <w:sectPr>
          <w:type w:val="continuous"/>
          <w:pgSz w:w="12240" w:h="15840"/>
          <w:pgMar w:top="1300" w:bottom="1620" w:left="1500" w:right="0"/>
          <w:cols w:num="2" w:equalWidth="0">
            <w:col w:w="4786" w:space="86"/>
            <w:col w:w="5868"/>
          </w:cols>
        </w:sectPr>
      </w:pPr>
    </w:p>
    <w:p>
      <w:pPr>
        <w:pStyle w:val="ListParagraph"/>
        <w:numPr>
          <w:ilvl w:val="0"/>
          <w:numId w:val="1"/>
        </w:numPr>
        <w:tabs>
          <w:tab w:pos="427" w:val="left" w:leader="none"/>
        </w:tabs>
        <w:spacing w:line="240" w:lineRule="auto" w:before="174" w:after="0"/>
        <w:ind w:left="426" w:right="352" w:hanging="299"/>
        <w:jc w:val="right"/>
        <w:rPr>
          <w:sz w:val="19"/>
        </w:rPr>
      </w:pPr>
      <w:r>
        <w:rPr>
          <w:w w:val="105"/>
          <w:sz w:val="19"/>
        </w:rPr>
        <w:t>Deductible</w:t>
      </w:r>
      <w:r>
        <w:rPr>
          <w:spacing w:val="25"/>
          <w:w w:val="105"/>
          <w:sz w:val="19"/>
        </w:rPr>
        <w:t> </w:t>
      </w:r>
      <w:r>
        <w:rPr>
          <w:w w:val="105"/>
          <w:sz w:val="19"/>
        </w:rPr>
        <w:t>Credits</w:t>
      </w:r>
    </w:p>
    <w:p>
      <w:pPr>
        <w:pStyle w:val="BodyText"/>
        <w:spacing w:before="2"/>
        <w:rPr>
          <w:sz w:val="20"/>
        </w:rPr>
      </w:pPr>
    </w:p>
    <w:p>
      <w:pPr>
        <w:spacing w:line="188" w:lineRule="exact" w:before="0"/>
        <w:ind w:left="0" w:right="0" w:firstLine="0"/>
        <w:jc w:val="right"/>
        <w:rPr>
          <w:i/>
          <w:sz w:val="19"/>
        </w:rPr>
      </w:pPr>
      <w:r>
        <w:rPr>
          <w:i/>
          <w:w w:val="80"/>
          <w:sz w:val="19"/>
          <w:u w:val="thick"/>
        </w:rPr>
        <w:t>Ded11clible</w:t>
      </w:r>
    </w:p>
    <w:p>
      <w:pPr>
        <w:spacing w:line="286" w:lineRule="exact" w:before="0"/>
        <w:ind w:left="0" w:right="300" w:firstLine="0"/>
        <w:jc w:val="right"/>
        <w:rPr>
          <w:rFonts w:ascii="Courier New"/>
          <w:sz w:val="30"/>
        </w:rPr>
      </w:pPr>
      <w:r>
        <w:rPr>
          <w:rFonts w:ascii="Courier New"/>
          <w:w w:val="55"/>
          <w:sz w:val="30"/>
        </w:rPr>
        <w:t>so</w:t>
      </w:r>
    </w:p>
    <w:p>
      <w:pPr>
        <w:pStyle w:val="BodyText"/>
        <w:spacing w:line="195" w:lineRule="exact"/>
        <w:ind w:right="142"/>
        <w:jc w:val="right"/>
      </w:pPr>
      <w:r>
        <w:rPr>
          <w:w w:val="95"/>
        </w:rPr>
        <w:t>$1,000</w:t>
      </w:r>
    </w:p>
    <w:p>
      <w:pPr>
        <w:pStyle w:val="BodyText"/>
        <w:spacing w:before="12"/>
        <w:ind w:right="152"/>
        <w:jc w:val="right"/>
      </w:pPr>
      <w:r>
        <w:rPr>
          <w:w w:val="95"/>
        </w:rPr>
        <w:t>$2,500</w:t>
      </w:r>
    </w:p>
    <w:p>
      <w:pPr>
        <w:pStyle w:val="BodyText"/>
        <w:spacing w:before="2"/>
        <w:ind w:right="152"/>
        <w:jc w:val="right"/>
      </w:pPr>
      <w:r>
        <w:rPr>
          <w:w w:val="95"/>
        </w:rPr>
        <w:t>$5,000</w:t>
      </w:r>
    </w:p>
    <w:p>
      <w:pPr>
        <w:pStyle w:val="BodyText"/>
        <w:spacing w:before="3"/>
      </w:pPr>
      <w:r>
        <w:rPr/>
        <w:br w:type="column"/>
      </w:r>
      <w:r>
        <w:rPr/>
      </w:r>
    </w:p>
    <w:p>
      <w:pPr>
        <w:spacing w:line="283" w:lineRule="auto" w:before="0"/>
        <w:ind w:left="736" w:right="1172" w:hanging="748"/>
        <w:jc w:val="left"/>
        <w:rPr>
          <w:sz w:val="17"/>
        </w:rPr>
      </w:pPr>
      <w:r>
        <w:rPr>
          <w:sz w:val="17"/>
        </w:rPr>
        <w:t>Apply</w:t>
      </w:r>
      <w:r>
        <w:rPr>
          <w:spacing w:val="-3"/>
          <w:sz w:val="17"/>
        </w:rPr>
        <w:t> </w:t>
      </w:r>
      <w:r>
        <w:rPr>
          <w:sz w:val="17"/>
        </w:rPr>
        <w:t>the</w:t>
      </w:r>
      <w:r>
        <w:rPr>
          <w:spacing w:val="-22"/>
          <w:sz w:val="17"/>
        </w:rPr>
        <w:t> </w:t>
      </w:r>
      <w:r>
        <w:rPr>
          <w:sz w:val="17"/>
        </w:rPr>
        <w:t>deductible</w:t>
      </w:r>
      <w:r>
        <w:rPr>
          <w:sz w:val="16"/>
        </w:rPr>
        <w:t>acdlts</w:t>
      </w:r>
      <w:r>
        <w:rPr>
          <w:spacing w:val="-16"/>
          <w:sz w:val="16"/>
        </w:rPr>
        <w:t> </w:t>
      </w:r>
      <w:r>
        <w:rPr>
          <w:sz w:val="17"/>
        </w:rPr>
        <w:t>to</w:t>
      </w:r>
      <w:r>
        <w:rPr>
          <w:spacing w:val="-21"/>
          <w:sz w:val="17"/>
        </w:rPr>
        <w:t> </w:t>
      </w:r>
      <w:r>
        <w:rPr>
          <w:sz w:val="17"/>
        </w:rPr>
        <w:t>th&lt;?</w:t>
      </w:r>
      <w:r>
        <w:rPr>
          <w:spacing w:val="-30"/>
          <w:sz w:val="17"/>
        </w:rPr>
        <w:t> </w:t>
      </w:r>
      <w:r>
        <w:rPr>
          <w:spacing w:val="3"/>
          <w:sz w:val="17"/>
        </w:rPr>
        <w:t>baserate</w:t>
      </w:r>
      <w:r>
        <w:rPr>
          <w:spacing w:val="3"/>
          <w:sz w:val="16"/>
        </w:rPr>
        <w:t>tmd</w:t>
      </w:r>
      <w:r>
        <w:rPr>
          <w:spacing w:val="-16"/>
          <w:sz w:val="16"/>
        </w:rPr>
        <w:t> </w:t>
      </w:r>
      <w:r>
        <w:rPr>
          <w:sz w:val="17"/>
        </w:rPr>
        <w:t>subtract</w:t>
      </w:r>
      <w:r>
        <w:rPr>
          <w:spacing w:val="-19"/>
          <w:sz w:val="17"/>
        </w:rPr>
        <w:t> </w:t>
      </w:r>
      <w:r>
        <w:rPr>
          <w:sz w:val="17"/>
        </w:rPr>
        <w:t>from</w:t>
      </w:r>
      <w:r>
        <w:rPr>
          <w:spacing w:val="-4"/>
          <w:sz w:val="17"/>
        </w:rPr>
        <w:t> </w:t>
      </w:r>
      <w:r>
        <w:rPr>
          <w:sz w:val="17"/>
        </w:rPr>
        <w:t>the</w:t>
      </w:r>
      <w:r>
        <w:rPr>
          <w:spacing w:val="-20"/>
          <w:sz w:val="17"/>
        </w:rPr>
        <w:t> </w:t>
      </w:r>
      <w:r>
        <w:rPr>
          <w:sz w:val="17"/>
        </w:rPr>
        <w:t>Increased</w:t>
      </w:r>
      <w:r>
        <w:rPr>
          <w:spacing w:val="-9"/>
          <w:sz w:val="17"/>
        </w:rPr>
        <w:t> </w:t>
      </w:r>
      <w:r>
        <w:rPr>
          <w:sz w:val="17"/>
        </w:rPr>
        <w:t>limits</w:t>
      </w:r>
      <w:r>
        <w:rPr>
          <w:spacing w:val="-14"/>
          <w:sz w:val="17"/>
        </w:rPr>
        <w:t> </w:t>
      </w:r>
      <w:r>
        <w:rPr>
          <w:sz w:val="17"/>
        </w:rPr>
        <w:t>premium,</w:t>
      </w:r>
      <w:r>
        <w:rPr>
          <w:spacing w:val="-21"/>
          <w:sz w:val="17"/>
        </w:rPr>
        <w:t> </w:t>
      </w:r>
      <w:r>
        <w:rPr>
          <w:sz w:val="17"/>
        </w:rPr>
        <w:t>aslollows: Mature</w:t>
      </w:r>
      <w:r>
        <w:rPr>
          <w:spacing w:val="-22"/>
          <w:sz w:val="17"/>
        </w:rPr>
        <w:t> </w:t>
      </w:r>
      <w:r>
        <w:rPr>
          <w:sz w:val="17"/>
        </w:rPr>
        <w:t>Premlum•(Base</w:t>
      </w:r>
      <w:r>
        <w:rPr>
          <w:spacing w:val="-20"/>
          <w:sz w:val="17"/>
        </w:rPr>
        <w:t> </w:t>
      </w:r>
      <w:r>
        <w:rPr>
          <w:sz w:val="17"/>
        </w:rPr>
        <w:t>Rate</w:t>
      </w:r>
      <w:r>
        <w:rPr>
          <w:spacing w:val="-28"/>
          <w:sz w:val="17"/>
        </w:rPr>
        <w:t> </w:t>
      </w:r>
      <w:r>
        <w:rPr>
          <w:sz w:val="17"/>
        </w:rPr>
        <w:t>X</w:t>
      </w:r>
      <w:r>
        <w:rPr>
          <w:spacing w:val="-30"/>
          <w:sz w:val="17"/>
        </w:rPr>
        <w:t> </w:t>
      </w:r>
      <w:r>
        <w:rPr>
          <w:sz w:val="17"/>
        </w:rPr>
        <w:t>ILF)-!Base</w:t>
      </w:r>
      <w:r>
        <w:rPr>
          <w:spacing w:val="-27"/>
          <w:sz w:val="17"/>
        </w:rPr>
        <w:t> </w:t>
      </w:r>
      <w:r>
        <w:rPr>
          <w:sz w:val="17"/>
        </w:rPr>
        <w:t>Rate</w:t>
      </w:r>
      <w:r>
        <w:rPr>
          <w:spacing w:val="-28"/>
          <w:sz w:val="17"/>
        </w:rPr>
        <w:t> </w:t>
      </w:r>
      <w:r>
        <w:rPr>
          <w:sz w:val="17"/>
        </w:rPr>
        <w:t>X</w:t>
      </w:r>
      <w:r>
        <w:rPr>
          <w:spacing w:val="-31"/>
          <w:sz w:val="17"/>
        </w:rPr>
        <w:t> </w:t>
      </w:r>
      <w:r>
        <w:rPr>
          <w:sz w:val="17"/>
        </w:rPr>
        <w:t>Ded</w:t>
      </w:r>
      <w:r>
        <w:rPr>
          <w:spacing w:val="-25"/>
          <w:sz w:val="17"/>
        </w:rPr>
        <w:t> </w:t>
      </w:r>
      <w:r>
        <w:rPr>
          <w:sz w:val="17"/>
        </w:rPr>
        <w:t>Credit)</w:t>
      </w:r>
    </w:p>
    <w:p>
      <w:pPr>
        <w:pStyle w:val="Heading2"/>
        <w:spacing w:line="184" w:lineRule="exact"/>
        <w:ind w:left="3149" w:right="4682"/>
        <w:rPr>
          <w:i/>
        </w:rPr>
      </w:pPr>
      <w:r>
        <w:rPr>
          <w:i/>
          <w:w w:val="95"/>
        </w:rPr>
        <w:t>Factor</w:t>
      </w:r>
    </w:p>
    <w:p>
      <w:pPr>
        <w:pStyle w:val="BodyText"/>
        <w:spacing w:before="10"/>
        <w:ind w:left="3149" w:right="4682"/>
        <w:jc w:val="center"/>
      </w:pPr>
      <w:r>
        <w:rPr>
          <w:w w:val="105"/>
        </w:rPr>
        <w:t>1.00</w:t>
      </w:r>
    </w:p>
    <w:p>
      <w:pPr>
        <w:spacing w:before="21"/>
        <w:ind w:left="3149" w:right="4669" w:firstLine="0"/>
        <w:jc w:val="center"/>
        <w:rPr>
          <w:sz w:val="18"/>
        </w:rPr>
      </w:pPr>
      <w:r>
        <w:rPr>
          <w:w w:val="105"/>
          <w:sz w:val="18"/>
        </w:rPr>
        <w:t>0.92</w:t>
      </w:r>
    </w:p>
    <w:p>
      <w:pPr>
        <w:pStyle w:val="BodyText"/>
        <w:spacing w:before="14"/>
        <w:ind w:left="3149" w:right="4676"/>
        <w:jc w:val="center"/>
      </w:pPr>
      <w:r>
        <w:rPr/>
        <w:t>0.88</w:t>
      </w:r>
    </w:p>
    <w:p>
      <w:pPr>
        <w:pStyle w:val="BodyText"/>
        <w:spacing w:before="2"/>
        <w:ind w:left="3141" w:right="4682"/>
        <w:jc w:val="center"/>
      </w:pPr>
      <w:r>
        <w:rPr/>
        <w:t>0.80</w:t>
      </w:r>
    </w:p>
    <w:p>
      <w:pPr>
        <w:spacing w:after="0"/>
        <w:jc w:val="center"/>
        <w:sectPr>
          <w:type w:val="continuous"/>
          <w:pgSz w:w="12240" w:h="15840"/>
          <w:pgMar w:top="1300" w:bottom="1620" w:left="1500" w:right="0"/>
          <w:cols w:num="2" w:equalWidth="0">
            <w:col w:w="2310" w:space="40"/>
            <w:col w:w="8390"/>
          </w:cols>
        </w:sectPr>
      </w:pPr>
    </w:p>
    <w:p>
      <w:pPr>
        <w:pStyle w:val="ListParagraph"/>
        <w:numPr>
          <w:ilvl w:val="0"/>
          <w:numId w:val="1"/>
        </w:numPr>
        <w:tabs>
          <w:tab w:pos="379" w:val="left" w:leader="none"/>
        </w:tabs>
        <w:spacing w:line="240" w:lineRule="auto" w:before="155" w:after="0"/>
        <w:ind w:left="378" w:right="0" w:hanging="267"/>
        <w:jc w:val="left"/>
        <w:rPr>
          <w:sz w:val="19"/>
        </w:rPr>
      </w:pPr>
      <w:r>
        <w:rPr>
          <w:w w:val="105"/>
          <w:sz w:val="19"/>
        </w:rPr>
        <w:t>Rate Modification</w:t>
      </w:r>
      <w:r>
        <w:rPr>
          <w:spacing w:val="-24"/>
          <w:w w:val="105"/>
          <w:sz w:val="19"/>
        </w:rPr>
        <w:t> </w:t>
      </w:r>
      <w:r>
        <w:rPr>
          <w:w w:val="105"/>
          <w:sz w:val="19"/>
        </w:rPr>
        <w:t>Factors</w:t>
      </w:r>
    </w:p>
    <w:p>
      <w:pPr>
        <w:pStyle w:val="BodyText"/>
        <w:spacing w:line="237" w:lineRule="auto" w:before="157"/>
        <w:ind w:left="242" w:right="1239"/>
        <w:jc w:val="center"/>
      </w:pPr>
      <w:r>
        <w:rPr/>
        <w:t>If</w:t>
      </w:r>
      <w:r>
        <w:rPr>
          <w:spacing w:val="-28"/>
        </w:rPr>
        <w:t> </w:t>
      </w:r>
      <w:r>
        <w:rPr/>
        <w:t>theapplicant</w:t>
      </w:r>
      <w:r>
        <w:rPr>
          <w:spacing w:val="-37"/>
        </w:rPr>
        <w:t> </w:t>
      </w:r>
      <w:r>
        <w:rPr>
          <w:rFonts w:ascii="Arial"/>
          <w:spacing w:val="5"/>
          <w:sz w:val="18"/>
        </w:rPr>
        <w:t>is</w:t>
      </w:r>
      <w:r>
        <w:rPr>
          <w:spacing w:val="5"/>
        </w:rPr>
        <w:t>a</w:t>
      </w:r>
      <w:r>
        <w:rPr>
          <w:spacing w:val="-33"/>
        </w:rPr>
        <w:t> </w:t>
      </w:r>
      <w:r>
        <w:rPr/>
        <w:t>member</w:t>
      </w:r>
      <w:r>
        <w:rPr>
          <w:spacing w:val="-33"/>
        </w:rPr>
        <w:t> </w:t>
      </w:r>
      <w:r>
        <w:rPr/>
        <w:t>of</w:t>
      </w:r>
      <w:r>
        <w:rPr>
          <w:spacing w:val="-30"/>
        </w:rPr>
        <w:t> </w:t>
      </w:r>
      <w:r>
        <w:rPr/>
        <w:t>the</w:t>
      </w:r>
      <w:r>
        <w:rPr>
          <w:spacing w:val="-38"/>
        </w:rPr>
        <w:t> </w:t>
      </w:r>
      <w:r>
        <w:rPr/>
        <w:t>American</w:t>
      </w:r>
      <w:r>
        <w:rPr>
          <w:spacing w:val="-35"/>
        </w:rPr>
        <w:t> </w:t>
      </w:r>
      <w:r>
        <w:rPr/>
        <w:t>Orthotic</w:t>
      </w:r>
      <w:r>
        <w:rPr>
          <w:spacing w:val="-37"/>
        </w:rPr>
        <w:t> </w:t>
      </w:r>
      <w:r>
        <w:rPr/>
        <w:t>and</w:t>
      </w:r>
      <w:r>
        <w:rPr>
          <w:spacing w:val="-32"/>
        </w:rPr>
        <w:t> </w:t>
      </w:r>
      <w:r>
        <w:rPr/>
        <w:t>Prosthetic</w:t>
      </w:r>
      <w:r>
        <w:rPr>
          <w:spacing w:val="-33"/>
        </w:rPr>
        <w:t> </w:t>
      </w:r>
      <w:r>
        <w:rPr/>
        <w:t>Association</w:t>
      </w:r>
      <w:r>
        <w:rPr>
          <w:spacing w:val="-27"/>
        </w:rPr>
        <w:t> </w:t>
      </w:r>
      <w:r>
        <w:rPr/>
        <w:t>(AOPA),</w:t>
      </w:r>
      <w:r>
        <w:rPr>
          <w:spacing w:val="-33"/>
        </w:rPr>
        <w:t> </w:t>
      </w:r>
      <w:r>
        <w:rPr/>
        <w:t>they</w:t>
      </w:r>
      <w:r>
        <w:rPr>
          <w:spacing w:val="-31"/>
        </w:rPr>
        <w:t> </w:t>
      </w:r>
      <w:r>
        <w:rPr/>
        <w:t>will</w:t>
      </w:r>
      <w:r>
        <w:rPr>
          <w:spacing w:val="-34"/>
        </w:rPr>
        <w:t> </w:t>
      </w:r>
      <w:r>
        <w:rPr/>
        <w:t>qualify</w:t>
      </w:r>
      <w:r>
        <w:rPr>
          <w:spacing w:val="-36"/>
        </w:rPr>
        <w:t> </w:t>
      </w:r>
      <w:r>
        <w:rPr/>
        <w:t>for</w:t>
      </w:r>
      <w:r>
        <w:rPr>
          <w:spacing w:val="-38"/>
        </w:rPr>
        <w:t> </w:t>
      </w:r>
      <w:r>
        <w:rPr>
          <w:spacing w:val="4"/>
        </w:rPr>
        <w:t>a10%</w:t>
      </w:r>
      <w:r>
        <w:rPr>
          <w:spacing w:val="-31"/>
        </w:rPr>
        <w:t> </w:t>
      </w:r>
      <w:r>
        <w:rPr/>
        <w:t>discount</w:t>
      </w:r>
      <w:r>
        <w:rPr>
          <w:spacing w:val="-35"/>
        </w:rPr>
        <w:t> </w:t>
      </w:r>
      <w:r>
        <w:rPr/>
        <w:t>on their</w:t>
      </w:r>
      <w:r>
        <w:rPr>
          <w:spacing w:val="-34"/>
        </w:rPr>
        <w:t> </w:t>
      </w:r>
      <w:r>
        <w:rPr/>
        <w:t>premium.</w:t>
      </w:r>
      <w:r>
        <w:rPr>
          <w:spacing w:val="-19"/>
        </w:rPr>
        <w:t> </w:t>
      </w:r>
      <w:r>
        <w:rPr/>
        <w:t>Use</w:t>
      </w:r>
      <w:r>
        <w:rPr>
          <w:spacing w:val="-39"/>
        </w:rPr>
        <w:t> </w:t>
      </w:r>
      <w:r>
        <w:rPr/>
        <w:t>of</w:t>
      </w:r>
      <w:r>
        <w:rPr>
          <w:spacing w:val="-30"/>
        </w:rPr>
        <w:t> </w:t>
      </w:r>
      <w:r>
        <w:rPr/>
        <w:t>the</w:t>
      </w:r>
      <w:r>
        <w:rPr>
          <w:spacing w:val="-38"/>
        </w:rPr>
        <w:t> </w:t>
      </w:r>
      <w:r>
        <w:rPr/>
        <w:t>American</w:t>
      </w:r>
      <w:r>
        <w:rPr>
          <w:spacing w:val="-35"/>
        </w:rPr>
        <w:t> </w:t>
      </w:r>
      <w:r>
        <w:rPr/>
        <w:t>Orthotic</w:t>
      </w:r>
      <w:r>
        <w:rPr>
          <w:spacing w:val="-37"/>
        </w:rPr>
        <w:t> </w:t>
      </w:r>
      <w:r>
        <w:rPr/>
        <w:t>and</w:t>
      </w:r>
      <w:r>
        <w:rPr>
          <w:spacing w:val="-35"/>
        </w:rPr>
        <w:t> </w:t>
      </w:r>
      <w:r>
        <w:rPr/>
        <w:t>Prosthetic</w:t>
      </w:r>
      <w:r>
        <w:rPr>
          <w:spacing w:val="-33"/>
        </w:rPr>
        <w:t> </w:t>
      </w:r>
      <w:r>
        <w:rPr/>
        <w:t>Association</w:t>
      </w:r>
      <w:r>
        <w:rPr>
          <w:spacing w:val="-31"/>
        </w:rPr>
        <w:t> </w:t>
      </w:r>
      <w:r>
        <w:rPr/>
        <w:t>(AOPA)</w:t>
      </w:r>
      <w:r>
        <w:rPr>
          <w:spacing w:val="-35"/>
        </w:rPr>
        <w:t> </w:t>
      </w:r>
      <w:r>
        <w:rPr/>
        <w:t>approved</w:t>
      </w:r>
      <w:r>
        <w:rPr>
          <w:spacing w:val="-28"/>
        </w:rPr>
        <w:t> </w:t>
      </w:r>
      <w:r>
        <w:rPr/>
        <w:t>Loss</w:t>
      </w:r>
      <w:r>
        <w:rPr>
          <w:spacing w:val="-40"/>
        </w:rPr>
        <w:t> </w:t>
      </w:r>
      <w:r>
        <w:rPr/>
        <w:t>Control</w:t>
      </w:r>
      <w:r>
        <w:rPr>
          <w:spacing w:val="-35"/>
        </w:rPr>
        <w:t> </w:t>
      </w:r>
      <w:r>
        <w:rPr/>
        <w:t>Program</w:t>
      </w:r>
      <w:r>
        <w:rPr>
          <w:spacing w:val="-31"/>
        </w:rPr>
        <w:t> </w:t>
      </w:r>
      <w:r>
        <w:rPr/>
        <w:t>will</w:t>
      </w:r>
      <w:r>
        <w:rPr>
          <w:spacing w:val="-38"/>
        </w:rPr>
        <w:t> </w:t>
      </w:r>
      <w:r>
        <w:rPr/>
        <w:t>qualify applicants</w:t>
      </w:r>
      <w:r>
        <w:rPr>
          <w:spacing w:val="-38"/>
        </w:rPr>
        <w:t> </w:t>
      </w:r>
      <w:r>
        <w:rPr/>
        <w:t>for</w:t>
      </w:r>
      <w:r>
        <w:rPr>
          <w:spacing w:val="-39"/>
        </w:rPr>
        <w:t> </w:t>
      </w:r>
      <w:r>
        <w:rPr/>
        <w:t>a10%</w:t>
      </w:r>
      <w:r>
        <w:rPr>
          <w:spacing w:val="-31"/>
        </w:rPr>
        <w:t> </w:t>
      </w:r>
      <w:r>
        <w:rPr/>
        <w:t>policy</w:t>
      </w:r>
      <w:r>
        <w:rPr>
          <w:spacing w:val="-35"/>
        </w:rPr>
        <w:t> </w:t>
      </w:r>
      <w:r>
        <w:rPr/>
        <w:t>discount.</w:t>
      </w:r>
    </w:p>
    <w:p>
      <w:pPr>
        <w:spacing w:after="0" w:line="237" w:lineRule="auto"/>
        <w:jc w:val="center"/>
        <w:sectPr>
          <w:type w:val="continuous"/>
          <w:pgSz w:w="12240" w:h="15840"/>
          <w:pgMar w:top="1300" w:bottom="1620" w:left="1500" w:right="0"/>
        </w:sectPr>
      </w:pPr>
    </w:p>
    <w:p>
      <w:pPr>
        <w:pStyle w:val="ListParagraph"/>
        <w:numPr>
          <w:ilvl w:val="0"/>
          <w:numId w:val="1"/>
        </w:numPr>
        <w:tabs>
          <w:tab w:pos="561" w:val="left" w:leader="none"/>
        </w:tabs>
        <w:spacing w:line="240" w:lineRule="auto" w:before="80" w:after="0"/>
        <w:ind w:left="560" w:right="0" w:hanging="344"/>
        <w:jc w:val="left"/>
        <w:rPr>
          <w:sz w:val="19"/>
        </w:rPr>
      </w:pPr>
      <w:r>
        <w:rPr>
          <w:w w:val="105"/>
          <w:sz w:val="19"/>
        </w:rPr>
        <w:t>Experience</w:t>
      </w:r>
      <w:r>
        <w:rPr>
          <w:spacing w:val="-4"/>
          <w:w w:val="105"/>
          <w:sz w:val="19"/>
        </w:rPr>
        <w:t> </w:t>
      </w:r>
      <w:r>
        <w:rPr>
          <w:w w:val="105"/>
          <w:sz w:val="19"/>
        </w:rPr>
        <w:t>Rating</w:t>
      </w:r>
    </w:p>
    <w:p>
      <w:pPr>
        <w:pStyle w:val="BodyText"/>
        <w:spacing w:before="4"/>
        <w:rPr>
          <w:sz w:val="11"/>
        </w:rPr>
      </w:pPr>
    </w:p>
    <w:p>
      <w:pPr>
        <w:spacing w:after="0"/>
        <w:rPr>
          <w:sz w:val="11"/>
        </w:rPr>
        <w:sectPr>
          <w:pgSz w:w="12240" w:h="15840"/>
          <w:pgMar w:header="0" w:footer="1422" w:top="1240" w:bottom="1620" w:left="1500" w:right="0"/>
        </w:sectPr>
      </w:pPr>
    </w:p>
    <w:p>
      <w:pPr>
        <w:pStyle w:val="BodyText"/>
        <w:spacing w:before="92"/>
        <w:ind w:left="940"/>
      </w:pPr>
      <w:r>
        <w:rPr>
          <w:u w:val="single"/>
        </w:rPr>
        <w:t>Claims Frequency</w:t>
      </w:r>
    </w:p>
    <w:p>
      <w:pPr>
        <w:pStyle w:val="BodyText"/>
        <w:spacing w:line="212" w:lineRule="exact" w:before="9"/>
        <w:ind w:left="1776" w:right="392" w:firstLine="9"/>
      </w:pPr>
      <w:r>
        <w:rPr>
          <w:w w:val="110"/>
        </w:rPr>
        <w:t>No claims </w:t>
      </w:r>
      <w:r>
        <w:rPr>
          <w:rFonts w:ascii="Arial"/>
          <w:w w:val="110"/>
          <w:sz w:val="18"/>
        </w:rPr>
        <w:t>in </w:t>
      </w:r>
      <w:r>
        <w:rPr>
          <w:w w:val="110"/>
        </w:rPr>
        <w:t>lastsyears One claim </w:t>
      </w:r>
      <w:r>
        <w:rPr>
          <w:rFonts w:ascii="Arial"/>
          <w:w w:val="110"/>
          <w:sz w:val="18"/>
        </w:rPr>
        <w:t>in </w:t>
      </w:r>
      <w:r>
        <w:rPr>
          <w:w w:val="110"/>
        </w:rPr>
        <w:t>lastsyears</w:t>
      </w:r>
    </w:p>
    <w:p>
      <w:pPr>
        <w:pStyle w:val="BodyText"/>
        <w:spacing w:line="210" w:lineRule="exact"/>
        <w:ind w:left="1767"/>
      </w:pPr>
      <w:r>
        <w:rPr>
          <w:w w:val="110"/>
        </w:rPr>
        <w:t>Two</w:t>
      </w:r>
      <w:r>
        <w:rPr>
          <w:spacing w:val="-31"/>
          <w:w w:val="110"/>
        </w:rPr>
        <w:t> </w:t>
      </w:r>
      <w:r>
        <w:rPr>
          <w:w w:val="110"/>
        </w:rPr>
        <w:t>or</w:t>
      </w:r>
      <w:r>
        <w:rPr>
          <w:spacing w:val="-25"/>
          <w:w w:val="110"/>
        </w:rPr>
        <w:t> </w:t>
      </w:r>
      <w:r>
        <w:rPr>
          <w:w w:val="110"/>
        </w:rPr>
        <w:t>more</w:t>
      </w:r>
      <w:r>
        <w:rPr>
          <w:spacing w:val="-28"/>
          <w:w w:val="110"/>
        </w:rPr>
        <w:t> </w:t>
      </w:r>
      <w:r>
        <w:rPr>
          <w:w w:val="110"/>
        </w:rPr>
        <w:t>claims</w:t>
      </w:r>
      <w:r>
        <w:rPr>
          <w:spacing w:val="-33"/>
          <w:w w:val="110"/>
        </w:rPr>
        <w:t> </w:t>
      </w:r>
      <w:r>
        <w:rPr>
          <w:rFonts w:ascii="Arial"/>
          <w:w w:val="110"/>
          <w:sz w:val="18"/>
        </w:rPr>
        <w:t>in</w:t>
      </w:r>
      <w:r>
        <w:rPr>
          <w:rFonts w:ascii="Arial"/>
          <w:spacing w:val="-21"/>
          <w:w w:val="110"/>
          <w:sz w:val="18"/>
        </w:rPr>
        <w:t> </w:t>
      </w:r>
      <w:r>
        <w:rPr>
          <w:w w:val="110"/>
        </w:rPr>
        <w:t>lasts</w:t>
      </w:r>
      <w:r>
        <w:rPr>
          <w:spacing w:val="-27"/>
          <w:w w:val="110"/>
        </w:rPr>
        <w:t> </w:t>
      </w:r>
      <w:r>
        <w:rPr>
          <w:w w:val="110"/>
        </w:rPr>
        <w:t>years</w:t>
      </w:r>
    </w:p>
    <w:p>
      <w:pPr>
        <w:pStyle w:val="BodyText"/>
        <w:spacing w:before="11"/>
        <w:rPr>
          <w:sz w:val="16"/>
        </w:rPr>
      </w:pPr>
    </w:p>
    <w:p>
      <w:pPr>
        <w:pStyle w:val="BodyText"/>
        <w:ind w:left="931"/>
      </w:pPr>
      <w:r>
        <w:rPr>
          <w:u w:val="single"/>
        </w:rPr>
        <w:t>Claims Severity</w:t>
      </w:r>
    </w:p>
    <w:p>
      <w:pPr>
        <w:pStyle w:val="BodyText"/>
        <w:spacing w:before="9"/>
        <w:rPr>
          <w:sz w:val="28"/>
        </w:rPr>
      </w:pPr>
      <w:r>
        <w:rPr/>
        <w:br w:type="column"/>
      </w:r>
      <w:r>
        <w:rPr>
          <w:sz w:val="28"/>
        </w:rPr>
      </w:r>
    </w:p>
    <w:p>
      <w:pPr>
        <w:spacing w:before="0"/>
        <w:ind w:left="955" w:right="0" w:firstLine="0"/>
        <w:jc w:val="left"/>
        <w:rPr>
          <w:rFonts w:ascii="Arial"/>
          <w:sz w:val="18"/>
        </w:rPr>
      </w:pPr>
      <w:r>
        <w:rPr>
          <w:rFonts w:ascii="Arial"/>
          <w:sz w:val="18"/>
        </w:rPr>
        <w:t>0,75</w:t>
      </w:r>
    </w:p>
    <w:p>
      <w:pPr>
        <w:pStyle w:val="BodyText"/>
        <w:spacing w:before="14"/>
        <w:ind w:left="931"/>
      </w:pPr>
      <w:r>
        <w:rPr/>
        <w:t>1.10</w:t>
      </w:r>
    </w:p>
    <w:p>
      <w:pPr>
        <w:spacing w:before="1"/>
        <w:ind w:left="932" w:right="0" w:firstLine="0"/>
        <w:jc w:val="left"/>
        <w:rPr>
          <w:sz w:val="18"/>
        </w:rPr>
      </w:pPr>
      <w:r>
        <w:rPr>
          <w:w w:val="110"/>
          <w:sz w:val="18"/>
        </w:rPr>
        <w:t>1.25</w:t>
      </w:r>
    </w:p>
    <w:p>
      <w:pPr>
        <w:spacing w:after="0"/>
        <w:jc w:val="left"/>
        <w:rPr>
          <w:sz w:val="18"/>
        </w:rPr>
        <w:sectPr>
          <w:type w:val="continuous"/>
          <w:pgSz w:w="12240" w:h="15840"/>
          <w:pgMar w:top="1300" w:bottom="1620" w:left="1500" w:right="0"/>
          <w:cols w:num="2" w:equalWidth="0">
            <w:col w:w="4433" w:space="534"/>
            <w:col w:w="5773"/>
          </w:cols>
        </w:sectPr>
      </w:pPr>
    </w:p>
    <w:p>
      <w:pPr>
        <w:pStyle w:val="BodyText"/>
        <w:spacing w:line="202" w:lineRule="exact" w:before="47"/>
        <w:ind w:left="932" w:right="2007" w:firstLine="2"/>
      </w:pPr>
      <w:r>
        <w:rPr>
          <w:w w:val="105"/>
        </w:rPr>
        <w:t>Based</w:t>
      </w:r>
      <w:r>
        <w:rPr>
          <w:spacing w:val="-10"/>
          <w:w w:val="105"/>
        </w:rPr>
        <w:t> </w:t>
      </w:r>
      <w:r>
        <w:rPr>
          <w:w w:val="105"/>
        </w:rPr>
        <w:t>on</w:t>
      </w:r>
      <w:r>
        <w:rPr>
          <w:spacing w:val="-19"/>
          <w:w w:val="105"/>
        </w:rPr>
        <w:t> </w:t>
      </w:r>
      <w:r>
        <w:rPr>
          <w:w w:val="105"/>
        </w:rPr>
        <w:t>Loss</w:t>
      </w:r>
      <w:r>
        <w:rPr>
          <w:spacing w:val="-20"/>
          <w:w w:val="105"/>
        </w:rPr>
        <w:t> </w:t>
      </w:r>
      <w:r>
        <w:rPr>
          <w:w w:val="105"/>
        </w:rPr>
        <w:t>Ratio</w:t>
      </w:r>
      <w:r>
        <w:rPr>
          <w:spacing w:val="-23"/>
          <w:w w:val="105"/>
        </w:rPr>
        <w:t> </w:t>
      </w:r>
      <w:r>
        <w:rPr>
          <w:w w:val="105"/>
        </w:rPr>
        <w:t>-</w:t>
      </w:r>
      <w:r>
        <w:rPr>
          <w:spacing w:val="2"/>
          <w:w w:val="105"/>
        </w:rPr>
        <w:t> </w:t>
      </w:r>
      <w:r>
        <w:rPr>
          <w:w w:val="105"/>
        </w:rPr>
        <w:t>calculated</w:t>
      </w:r>
      <w:r>
        <w:rPr>
          <w:spacing w:val="-1"/>
          <w:w w:val="105"/>
        </w:rPr>
        <w:t> </w:t>
      </w:r>
      <w:r>
        <w:rPr>
          <w:w w:val="105"/>
        </w:rPr>
        <w:t>by</w:t>
      </w:r>
      <w:r>
        <w:rPr>
          <w:spacing w:val="-20"/>
          <w:w w:val="105"/>
        </w:rPr>
        <w:t> </w:t>
      </w:r>
      <w:r>
        <w:rPr>
          <w:w w:val="105"/>
        </w:rPr>
        <w:t>dividing</w:t>
      </w:r>
      <w:r>
        <w:rPr>
          <w:spacing w:val="-22"/>
          <w:w w:val="105"/>
        </w:rPr>
        <w:t> </w:t>
      </w:r>
      <w:r>
        <w:rPr>
          <w:w w:val="105"/>
        </w:rPr>
        <w:t>insureds</w:t>
      </w:r>
      <w:r>
        <w:rPr>
          <w:spacing w:val="-16"/>
          <w:w w:val="105"/>
        </w:rPr>
        <w:t> </w:t>
      </w:r>
      <w:r>
        <w:rPr>
          <w:w w:val="105"/>
        </w:rPr>
        <w:t>total</w:t>
      </w:r>
      <w:r>
        <w:rPr>
          <w:spacing w:val="-28"/>
          <w:w w:val="105"/>
        </w:rPr>
        <w:t> </w:t>
      </w:r>
      <w:r>
        <w:rPr>
          <w:w w:val="105"/>
        </w:rPr>
        <w:t>incurred</w:t>
      </w:r>
      <w:r>
        <w:rPr>
          <w:spacing w:val="-12"/>
          <w:w w:val="105"/>
        </w:rPr>
        <w:t> </w:t>
      </w:r>
      <w:r>
        <w:rPr>
          <w:w w:val="105"/>
        </w:rPr>
        <w:t>loss</w:t>
      </w:r>
      <w:r>
        <w:rPr>
          <w:spacing w:val="-19"/>
          <w:w w:val="105"/>
        </w:rPr>
        <w:t> </w:t>
      </w:r>
      <w:r>
        <w:rPr>
          <w:w w:val="105"/>
        </w:rPr>
        <w:t>(including</w:t>
      </w:r>
      <w:r>
        <w:rPr>
          <w:spacing w:val="-22"/>
          <w:w w:val="105"/>
        </w:rPr>
        <w:t> </w:t>
      </w:r>
      <w:r>
        <w:rPr>
          <w:w w:val="105"/>
        </w:rPr>
        <w:t>legalexpenses) in</w:t>
      </w:r>
      <w:r>
        <w:rPr>
          <w:spacing w:val="-13"/>
          <w:w w:val="105"/>
        </w:rPr>
        <w:t> </w:t>
      </w:r>
      <w:r>
        <w:rPr>
          <w:w w:val="105"/>
        </w:rPr>
        <w:t>excess</w:t>
      </w:r>
      <w:r>
        <w:rPr>
          <w:spacing w:val="-20"/>
          <w:w w:val="105"/>
        </w:rPr>
        <w:t> </w:t>
      </w:r>
      <w:r>
        <w:rPr>
          <w:w w:val="105"/>
        </w:rPr>
        <w:t>of</w:t>
      </w:r>
      <w:r>
        <w:rPr>
          <w:spacing w:val="-12"/>
          <w:w w:val="105"/>
        </w:rPr>
        <w:t> </w:t>
      </w:r>
      <w:r>
        <w:rPr>
          <w:w w:val="105"/>
        </w:rPr>
        <w:t>any</w:t>
      </w:r>
      <w:r>
        <w:rPr>
          <w:spacing w:val="-18"/>
          <w:w w:val="105"/>
        </w:rPr>
        <w:t> </w:t>
      </w:r>
      <w:r>
        <w:rPr>
          <w:w w:val="105"/>
        </w:rPr>
        <w:t>deductibles</w:t>
      </w:r>
      <w:r>
        <w:rPr>
          <w:spacing w:val="-15"/>
          <w:w w:val="105"/>
        </w:rPr>
        <w:t> </w:t>
      </w:r>
      <w:r>
        <w:rPr>
          <w:w w:val="105"/>
        </w:rPr>
        <w:t>by</w:t>
      </w:r>
      <w:r>
        <w:rPr>
          <w:spacing w:val="-6"/>
          <w:w w:val="105"/>
        </w:rPr>
        <w:t> </w:t>
      </w:r>
      <w:r>
        <w:rPr>
          <w:w w:val="105"/>
        </w:rPr>
        <w:t>the</w:t>
      </w:r>
      <w:r>
        <w:rPr>
          <w:spacing w:val="-9"/>
          <w:w w:val="105"/>
        </w:rPr>
        <w:t> </w:t>
      </w:r>
      <w:r>
        <w:rPr>
          <w:w w:val="105"/>
        </w:rPr>
        <w:t>total</w:t>
      </w:r>
      <w:r>
        <w:rPr>
          <w:spacing w:val="-12"/>
          <w:w w:val="105"/>
        </w:rPr>
        <w:t> </w:t>
      </w:r>
      <w:r>
        <w:rPr>
          <w:w w:val="105"/>
        </w:rPr>
        <w:t>premium</w:t>
      </w:r>
      <w:r>
        <w:rPr>
          <w:spacing w:val="3"/>
          <w:w w:val="105"/>
        </w:rPr>
        <w:t> </w:t>
      </w:r>
      <w:r>
        <w:rPr>
          <w:spacing w:val="2"/>
          <w:w w:val="105"/>
        </w:rPr>
        <w:t>theinsured</w:t>
      </w:r>
      <w:r>
        <w:rPr>
          <w:spacing w:val="-3"/>
          <w:w w:val="105"/>
        </w:rPr>
        <w:t> </w:t>
      </w:r>
      <w:r>
        <w:rPr>
          <w:w w:val="105"/>
        </w:rPr>
        <w:t>paid</w:t>
      </w:r>
    </w:p>
    <w:p>
      <w:pPr>
        <w:pStyle w:val="BodyText"/>
        <w:tabs>
          <w:tab w:pos="6233" w:val="right" w:leader="none"/>
        </w:tabs>
        <w:spacing w:before="32"/>
        <w:ind w:left="1770"/>
      </w:pPr>
      <w:r>
        <w:rPr/>
        <w:t>D-30%</w:t>
        <w:tab/>
        <w:t>0.85</w:t>
      </w:r>
    </w:p>
    <w:p>
      <w:pPr>
        <w:spacing w:after="0"/>
        <w:sectPr>
          <w:type w:val="continuous"/>
          <w:pgSz w:w="12240" w:h="15840"/>
          <w:pgMar w:top="1300" w:bottom="1620" w:left="1500" w:right="0"/>
        </w:sectPr>
      </w:pPr>
    </w:p>
    <w:p>
      <w:pPr>
        <w:pStyle w:val="BodyText"/>
        <w:spacing w:before="31"/>
        <w:jc w:val="right"/>
      </w:pPr>
      <w:r>
        <w:rPr>
          <w:w w:val="90"/>
        </w:rPr>
        <w:t>31%-40%</w:t>
      </w:r>
    </w:p>
    <w:p>
      <w:pPr>
        <w:pStyle w:val="BodyText"/>
        <w:spacing w:before="31"/>
        <w:ind w:right="3"/>
        <w:jc w:val="right"/>
      </w:pPr>
      <w:r>
        <w:rPr>
          <w:w w:val="90"/>
        </w:rPr>
        <w:t>41%-50%</w:t>
      </w:r>
    </w:p>
    <w:p>
      <w:pPr>
        <w:pStyle w:val="BodyText"/>
        <w:spacing w:before="2"/>
        <w:ind w:right="7"/>
        <w:jc w:val="right"/>
      </w:pPr>
      <w:r>
        <w:rPr>
          <w:w w:val="90"/>
        </w:rPr>
        <w:t>51%-60%</w:t>
      </w:r>
    </w:p>
    <w:p>
      <w:pPr>
        <w:pStyle w:val="BodyText"/>
        <w:spacing w:before="2"/>
        <w:ind w:right="6"/>
        <w:jc w:val="right"/>
      </w:pPr>
      <w:r>
        <w:rPr>
          <w:w w:val="90"/>
        </w:rPr>
        <w:t>61%-70%</w:t>
      </w:r>
    </w:p>
    <w:p>
      <w:pPr>
        <w:pStyle w:val="BodyText"/>
        <w:spacing w:line="215" w:lineRule="exact" w:before="12"/>
        <w:ind w:right="7"/>
        <w:jc w:val="right"/>
      </w:pPr>
      <w:r>
        <w:rPr>
          <w:w w:val="90"/>
        </w:rPr>
        <w:t>71%-80%</w:t>
      </w:r>
    </w:p>
    <w:p>
      <w:pPr>
        <w:pStyle w:val="ListParagraph"/>
        <w:numPr>
          <w:ilvl w:val="0"/>
          <w:numId w:val="1"/>
        </w:numPr>
        <w:tabs>
          <w:tab w:pos="581" w:val="left" w:leader="none"/>
        </w:tabs>
        <w:spacing w:line="215" w:lineRule="exact" w:before="0" w:after="0"/>
        <w:ind w:left="581" w:right="0" w:hanging="403"/>
        <w:jc w:val="left"/>
        <w:rPr>
          <w:sz w:val="19"/>
        </w:rPr>
      </w:pPr>
      <w:r>
        <w:rPr>
          <w:w w:val="110"/>
          <w:sz w:val="19"/>
        </w:rPr>
        <w:t>Scheduled</w:t>
      </w:r>
      <w:r>
        <w:rPr>
          <w:spacing w:val="-25"/>
          <w:w w:val="110"/>
          <w:sz w:val="19"/>
        </w:rPr>
        <w:t> </w:t>
      </w:r>
      <w:r>
        <w:rPr>
          <w:w w:val="110"/>
          <w:sz w:val="19"/>
        </w:rPr>
        <w:t>Rating</w:t>
      </w:r>
    </w:p>
    <w:p>
      <w:pPr>
        <w:pStyle w:val="BodyText"/>
        <w:spacing w:before="60"/>
        <w:ind w:left="202"/>
      </w:pPr>
      <w:r>
        <w:rPr/>
        <w:br w:type="column"/>
      </w:r>
      <w:r>
        <w:rPr/>
        <w:t>0.90</w:t>
      </w:r>
    </w:p>
    <w:p>
      <w:pPr>
        <w:pStyle w:val="BodyText"/>
        <w:spacing w:before="31"/>
        <w:ind w:left="202"/>
      </w:pPr>
      <w:r>
        <w:rPr/>
        <w:t>0.95</w:t>
      </w:r>
    </w:p>
    <w:p>
      <w:pPr>
        <w:pStyle w:val="BodyText"/>
        <w:spacing w:before="2"/>
        <w:ind w:left="178"/>
      </w:pPr>
      <w:r>
        <w:rPr>
          <w:w w:val="105"/>
        </w:rPr>
        <w:t>1.05</w:t>
      </w:r>
    </w:p>
    <w:p>
      <w:pPr>
        <w:spacing w:before="11"/>
        <w:ind w:left="179" w:right="0" w:firstLine="0"/>
        <w:jc w:val="left"/>
        <w:rPr>
          <w:sz w:val="18"/>
        </w:rPr>
      </w:pPr>
      <w:r>
        <w:rPr>
          <w:w w:val="110"/>
          <w:sz w:val="18"/>
        </w:rPr>
        <w:t>1.10</w:t>
      </w:r>
    </w:p>
    <w:p>
      <w:pPr>
        <w:pStyle w:val="BodyText"/>
        <w:spacing w:before="4"/>
        <w:ind w:left="178"/>
      </w:pPr>
      <w:r>
        <w:rPr>
          <w:w w:val="105"/>
        </w:rPr>
        <w:t>1.15</w:t>
      </w:r>
    </w:p>
    <w:p>
      <w:pPr>
        <w:spacing w:after="0"/>
        <w:sectPr>
          <w:type w:val="continuous"/>
          <w:pgSz w:w="12240" w:h="15840"/>
          <w:pgMar w:top="1300" w:bottom="1620" w:left="1500" w:right="0"/>
          <w:cols w:num="2" w:equalWidth="0">
            <w:col w:w="2464" w:space="3238"/>
            <w:col w:w="5038"/>
          </w:cols>
        </w:sectPr>
      </w:pPr>
    </w:p>
    <w:p>
      <w:pPr>
        <w:pStyle w:val="BodyText"/>
        <w:spacing w:before="10"/>
        <w:rPr>
          <w:sz w:val="13"/>
        </w:rPr>
      </w:pPr>
    </w:p>
    <w:p>
      <w:pPr>
        <w:spacing w:after="0"/>
        <w:rPr>
          <w:sz w:val="13"/>
        </w:rPr>
        <w:sectPr>
          <w:type w:val="continuous"/>
          <w:pgSz w:w="12240" w:h="15840"/>
          <w:pgMar w:top="1300" w:bottom="1620" w:left="1500" w:right="0"/>
        </w:sectPr>
      </w:pPr>
    </w:p>
    <w:p>
      <w:pPr>
        <w:pStyle w:val="BodyText"/>
        <w:spacing w:before="92"/>
        <w:ind w:left="915"/>
      </w:pPr>
      <w:r>
        <w:rPr>
          <w:u w:val="single"/>
        </w:rPr>
        <w:t>Longevity of Business</w:t>
      </w:r>
    </w:p>
    <w:p>
      <w:pPr>
        <w:spacing w:before="11"/>
        <w:ind w:left="1078" w:right="1722" w:firstLine="0"/>
        <w:jc w:val="center"/>
        <w:rPr>
          <w:rFonts w:ascii="Arial"/>
          <w:sz w:val="18"/>
        </w:rPr>
      </w:pPr>
      <w:r>
        <w:rPr>
          <w:w w:val="110"/>
          <w:sz w:val="19"/>
        </w:rPr>
        <w:t>Start</w:t>
      </w:r>
      <w:r>
        <w:rPr>
          <w:rFonts w:ascii="Arial"/>
          <w:w w:val="110"/>
          <w:sz w:val="18"/>
        </w:rPr>
        <w:t>Up</w:t>
      </w:r>
    </w:p>
    <w:p>
      <w:pPr>
        <w:pStyle w:val="BodyText"/>
        <w:spacing w:before="2"/>
        <w:ind w:left="1297" w:right="1722"/>
        <w:jc w:val="center"/>
      </w:pPr>
      <w:r>
        <w:rPr>
          <w:w w:val="110"/>
        </w:rPr>
        <w:t>1 to3 years</w:t>
      </w:r>
    </w:p>
    <w:p>
      <w:pPr>
        <w:pStyle w:val="BodyText"/>
        <w:spacing w:before="2"/>
        <w:ind w:left="1308" w:right="1722"/>
        <w:jc w:val="center"/>
      </w:pPr>
      <w:r>
        <w:rPr>
          <w:rFonts w:ascii="Arial"/>
          <w:w w:val="110"/>
          <w:sz w:val="18"/>
        </w:rPr>
        <w:t>4 </w:t>
      </w:r>
      <w:r>
        <w:rPr>
          <w:w w:val="110"/>
        </w:rPr>
        <w:t>to 6years</w:t>
      </w:r>
    </w:p>
    <w:p>
      <w:pPr>
        <w:pStyle w:val="BodyText"/>
        <w:spacing w:before="11"/>
        <w:ind w:left="1393" w:right="1722"/>
        <w:jc w:val="center"/>
      </w:pPr>
      <w:r>
        <w:rPr>
          <w:rFonts w:ascii="Arial"/>
          <w:w w:val="110"/>
          <w:sz w:val="18"/>
        </w:rPr>
        <w:t>7 </w:t>
      </w:r>
      <w:r>
        <w:rPr>
          <w:w w:val="110"/>
        </w:rPr>
        <w:t>to12years</w:t>
      </w:r>
    </w:p>
    <w:p>
      <w:pPr>
        <w:pStyle w:val="BodyText"/>
        <w:spacing w:before="2"/>
        <w:ind w:left="1741"/>
      </w:pPr>
      <w:r>
        <w:rPr>
          <w:w w:val="105"/>
        </w:rPr>
        <w:t>More than12 years</w:t>
      </w:r>
    </w:p>
    <w:p>
      <w:pPr>
        <w:pStyle w:val="BodyText"/>
        <w:spacing w:before="4"/>
      </w:pPr>
    </w:p>
    <w:p>
      <w:pPr>
        <w:pStyle w:val="BodyText"/>
        <w:ind w:left="892"/>
      </w:pPr>
      <w:r>
        <w:rPr>
          <w:w w:val="105"/>
          <w:u w:val="single"/>
        </w:rPr>
        <w:t>Continuing Education</w:t>
      </w:r>
    </w:p>
    <w:p>
      <w:pPr>
        <w:pStyle w:val="BodyText"/>
        <w:spacing w:before="11"/>
        <w:ind w:left="1737"/>
      </w:pPr>
      <w:r>
        <w:rPr>
          <w:w w:val="105"/>
        </w:rPr>
        <w:t>No CE program</w:t>
      </w:r>
    </w:p>
    <w:p>
      <w:pPr>
        <w:pStyle w:val="BodyText"/>
        <w:spacing w:before="6"/>
        <w:rPr>
          <w:sz w:val="18"/>
        </w:rPr>
      </w:pPr>
    </w:p>
    <w:p>
      <w:pPr>
        <w:pStyle w:val="BodyText"/>
        <w:ind w:left="888"/>
      </w:pPr>
      <w:r>
        <w:rPr>
          <w:u w:val="single"/>
        </w:rPr>
        <w:t>Accreditation of facility</w:t>
      </w:r>
    </w:p>
    <w:p>
      <w:pPr>
        <w:pStyle w:val="BodyText"/>
        <w:spacing w:before="11"/>
        <w:ind w:left="1691" w:right="1722"/>
        <w:jc w:val="center"/>
      </w:pPr>
      <w:r>
        <w:rPr>
          <w:w w:val="105"/>
        </w:rPr>
        <w:t>No accreditation</w:t>
      </w:r>
    </w:p>
    <w:p>
      <w:pPr>
        <w:pStyle w:val="BodyText"/>
        <w:spacing w:before="1"/>
        <w:ind w:left="1724"/>
        <w:rPr>
          <w:rFonts w:ascii="Arial"/>
          <w:sz w:val="17"/>
        </w:rPr>
      </w:pPr>
      <w:r>
        <w:rPr>
          <w:w w:val="105"/>
        </w:rPr>
        <w:t>Accreditati_onwith</w:t>
      </w:r>
      <w:r>
        <w:rPr>
          <w:spacing w:val="-22"/>
          <w:w w:val="105"/>
        </w:rPr>
        <w:t> </w:t>
      </w:r>
      <w:r>
        <w:rPr>
          <w:w w:val="105"/>
        </w:rPr>
        <w:t>AOPA</w:t>
      </w:r>
      <w:r>
        <w:rPr>
          <w:spacing w:val="-28"/>
          <w:w w:val="105"/>
        </w:rPr>
        <w:t> </w:t>
      </w:r>
      <w:r>
        <w:rPr>
          <w:w w:val="105"/>
        </w:rPr>
        <w:t>and/or</w:t>
      </w:r>
      <w:r>
        <w:rPr>
          <w:spacing w:val="-18"/>
          <w:w w:val="105"/>
        </w:rPr>
        <w:t> </w:t>
      </w:r>
      <w:r>
        <w:rPr>
          <w:rFonts w:ascii="Arial"/>
          <w:w w:val="105"/>
          <w:sz w:val="17"/>
        </w:rPr>
        <w:t>ABC</w:t>
      </w:r>
    </w:p>
    <w:p>
      <w:pPr>
        <w:pStyle w:val="BodyText"/>
        <w:spacing w:before="5"/>
        <w:rPr>
          <w:rFonts w:ascii="Arial"/>
          <w:sz w:val="18"/>
        </w:rPr>
      </w:pPr>
    </w:p>
    <w:p>
      <w:pPr>
        <w:spacing w:before="0"/>
        <w:ind w:left="877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7984" from="192.479996pt,9.109149pt" to="195.839996pt,9.109149pt" stroked="true" strokeweight=".48pt" strokecolor="#000000">
            <v:stroke dashstyle="solid"/>
            <w10:wrap type="none"/>
          </v:line>
        </w:pict>
      </w:r>
      <w:r>
        <w:rPr>
          <w:w w:val="105"/>
          <w:sz w:val="19"/>
        </w:rPr>
        <w:t>Patient </w:t>
      </w:r>
      <w:r>
        <w:rPr>
          <w:w w:val="105"/>
          <w:sz w:val="18"/>
        </w:rPr>
        <w:t>Visit </w:t>
      </w:r>
      <w:r>
        <w:rPr>
          <w:w w:val="105"/>
          <w:sz w:val="19"/>
        </w:rPr>
        <w:t>Records</w:t>
      </w:r>
    </w:p>
    <w:p>
      <w:pPr>
        <w:pStyle w:val="BodyText"/>
        <w:spacing w:line="244" w:lineRule="auto" w:before="11"/>
        <w:ind w:left="1708" w:right="203" w:firstLine="4"/>
      </w:pPr>
      <w:r>
        <w:rPr>
          <w:w w:val="105"/>
        </w:rPr>
        <w:t>Full compliance with documentation procedures Compliance with documentation procedures, but needs improvement Non-compliance</w:t>
      </w:r>
    </w:p>
    <w:p>
      <w:pPr>
        <w:pStyle w:val="BodyText"/>
        <w:spacing w:before="8"/>
        <w:rPr>
          <w:sz w:val="29"/>
        </w:rPr>
      </w:pPr>
      <w:r>
        <w:rPr/>
        <w:br w:type="column"/>
      </w:r>
      <w:r>
        <w:rPr>
          <w:sz w:val="29"/>
        </w:rPr>
      </w:r>
    </w:p>
    <w:p>
      <w:pPr>
        <w:pStyle w:val="BodyText"/>
        <w:ind w:left="906"/>
      </w:pPr>
      <w:r>
        <w:rPr/>
        <w:t>1.20</w:t>
      </w:r>
    </w:p>
    <w:p>
      <w:pPr>
        <w:pStyle w:val="BodyText"/>
        <w:spacing w:before="11"/>
        <w:ind w:left="906"/>
      </w:pPr>
      <w:r>
        <w:rPr>
          <w:w w:val="105"/>
        </w:rPr>
        <w:t>1.15</w:t>
      </w:r>
    </w:p>
    <w:p>
      <w:pPr>
        <w:spacing w:before="11"/>
        <w:ind w:left="907" w:right="0" w:firstLine="0"/>
        <w:jc w:val="left"/>
        <w:rPr>
          <w:sz w:val="18"/>
        </w:rPr>
      </w:pPr>
      <w:r>
        <w:rPr>
          <w:w w:val="110"/>
          <w:sz w:val="18"/>
        </w:rPr>
        <w:t>1.00</w:t>
      </w:r>
    </w:p>
    <w:p>
      <w:pPr>
        <w:spacing w:before="13"/>
        <w:ind w:left="922" w:right="0" w:firstLine="0"/>
        <w:jc w:val="left"/>
        <w:rPr>
          <w:sz w:val="18"/>
        </w:rPr>
      </w:pPr>
      <w:r>
        <w:rPr>
          <w:sz w:val="18"/>
        </w:rPr>
        <w:t>0.90</w:t>
      </w:r>
    </w:p>
    <w:p>
      <w:pPr>
        <w:spacing w:before="13"/>
        <w:ind w:left="922" w:right="0" w:firstLine="0"/>
        <w:jc w:val="left"/>
        <w:rPr>
          <w:sz w:val="18"/>
        </w:rPr>
      </w:pPr>
      <w:r>
        <w:rPr>
          <w:sz w:val="18"/>
        </w:rPr>
        <w:t>0.80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0"/>
        </w:rPr>
      </w:pPr>
    </w:p>
    <w:p>
      <w:pPr>
        <w:pStyle w:val="BodyText"/>
        <w:ind w:left="896"/>
      </w:pPr>
      <w:r>
        <w:rPr/>
        <w:t>1.10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7"/>
        </w:rPr>
      </w:pPr>
    </w:p>
    <w:p>
      <w:pPr>
        <w:pStyle w:val="BodyText"/>
        <w:spacing w:before="1"/>
        <w:ind w:left="887"/>
      </w:pPr>
      <w:r>
        <w:rPr>
          <w:w w:val="105"/>
        </w:rPr>
        <w:t>1.15</w:t>
      </w:r>
    </w:p>
    <w:p>
      <w:pPr>
        <w:pStyle w:val="BodyText"/>
        <w:spacing w:before="2"/>
        <w:ind w:left="902"/>
      </w:pPr>
      <w:r>
        <w:rPr/>
        <w:t>0.85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0"/>
        </w:rPr>
      </w:pPr>
    </w:p>
    <w:p>
      <w:pPr>
        <w:spacing w:before="0"/>
        <w:ind w:left="893" w:right="0" w:firstLine="0"/>
        <w:jc w:val="left"/>
        <w:rPr>
          <w:sz w:val="18"/>
        </w:rPr>
      </w:pPr>
      <w:r>
        <w:rPr>
          <w:w w:val="105"/>
          <w:sz w:val="18"/>
        </w:rPr>
        <w:t>0.90</w:t>
      </w:r>
    </w:p>
    <w:p>
      <w:pPr>
        <w:pStyle w:val="BodyText"/>
        <w:spacing w:before="4"/>
        <w:rPr>
          <w:sz w:val="20"/>
        </w:rPr>
      </w:pPr>
    </w:p>
    <w:p>
      <w:pPr>
        <w:pStyle w:val="BodyText"/>
        <w:ind w:left="877"/>
      </w:pPr>
      <w:r>
        <w:rPr/>
        <w:t>1.00</w:t>
      </w:r>
    </w:p>
    <w:p>
      <w:pPr>
        <w:pStyle w:val="BodyText"/>
        <w:spacing w:before="1"/>
        <w:rPr>
          <w:sz w:val="20"/>
        </w:rPr>
      </w:pPr>
    </w:p>
    <w:p>
      <w:pPr>
        <w:spacing w:before="1"/>
        <w:ind w:left="878" w:right="0" w:firstLine="0"/>
        <w:jc w:val="left"/>
        <w:rPr>
          <w:sz w:val="18"/>
        </w:rPr>
      </w:pPr>
      <w:r>
        <w:rPr>
          <w:w w:val="105"/>
          <w:sz w:val="18"/>
        </w:rPr>
        <w:t>1.10</w:t>
      </w:r>
    </w:p>
    <w:p>
      <w:pPr>
        <w:spacing w:after="0"/>
        <w:jc w:val="left"/>
        <w:rPr>
          <w:sz w:val="18"/>
        </w:rPr>
        <w:sectPr>
          <w:type w:val="continuous"/>
          <w:pgSz w:w="12240" w:h="15840"/>
          <w:pgMar w:top="1300" w:bottom="1620" w:left="1500" w:right="0"/>
          <w:cols w:num="2" w:equalWidth="0">
            <w:col w:w="4778" w:space="185"/>
            <w:col w:w="5777"/>
          </w:cols>
        </w:sectPr>
      </w:pPr>
    </w:p>
    <w:p>
      <w:pPr>
        <w:pStyle w:val="BodyText"/>
        <w:spacing w:before="10"/>
        <w:rPr>
          <w:sz w:val="9"/>
        </w:rPr>
      </w:pPr>
    </w:p>
    <w:p>
      <w:pPr>
        <w:spacing w:after="0"/>
        <w:rPr>
          <w:sz w:val="9"/>
        </w:rPr>
        <w:sectPr>
          <w:type w:val="continuous"/>
          <w:pgSz w:w="12240" w:h="15840"/>
          <w:pgMar w:top="1300" w:bottom="1620" w:left="1500" w:right="0"/>
        </w:sectPr>
      </w:pPr>
    </w:p>
    <w:p>
      <w:pPr>
        <w:pStyle w:val="BodyText"/>
        <w:spacing w:before="92"/>
        <w:ind w:left="858"/>
      </w:pPr>
      <w:r>
        <w:rPr>
          <w:w w:val="105"/>
        </w:rPr>
        <w:t>Maximum Debit/Credit</w:t>
      </w:r>
    </w:p>
    <w:p>
      <w:pPr>
        <w:pStyle w:val="BodyText"/>
        <w:spacing w:before="5"/>
        <w:rPr>
          <w:sz w:val="18"/>
        </w:rPr>
      </w:pPr>
    </w:p>
    <w:p>
      <w:pPr>
        <w:pStyle w:val="ListParagraph"/>
        <w:numPr>
          <w:ilvl w:val="0"/>
          <w:numId w:val="1"/>
        </w:numPr>
        <w:tabs>
          <w:tab w:pos="590" w:val="left" w:leader="none"/>
        </w:tabs>
        <w:spacing w:line="240" w:lineRule="auto" w:before="1" w:after="0"/>
        <w:ind w:left="589" w:right="0" w:hanging="469"/>
        <w:jc w:val="left"/>
        <w:rPr>
          <w:sz w:val="19"/>
        </w:rPr>
      </w:pPr>
      <w:r>
        <w:rPr>
          <w:w w:val="110"/>
          <w:sz w:val="19"/>
        </w:rPr>
        <w:t>Minimum</w:t>
      </w:r>
      <w:r>
        <w:rPr>
          <w:spacing w:val="-40"/>
          <w:w w:val="110"/>
          <w:sz w:val="19"/>
        </w:rPr>
        <w:t> </w:t>
      </w:r>
      <w:r>
        <w:rPr>
          <w:w w:val="110"/>
          <w:sz w:val="19"/>
        </w:rPr>
        <w:t>Policy</w:t>
      </w:r>
      <w:r>
        <w:rPr>
          <w:spacing w:val="-41"/>
          <w:w w:val="110"/>
          <w:sz w:val="19"/>
        </w:rPr>
        <w:t> </w:t>
      </w:r>
      <w:r>
        <w:rPr>
          <w:w w:val="110"/>
          <w:sz w:val="19"/>
        </w:rPr>
        <w:t>Premium</w:t>
      </w:r>
    </w:p>
    <w:p>
      <w:pPr>
        <w:spacing w:before="111"/>
        <w:ind w:left="120" w:right="0" w:firstLine="0"/>
        <w:jc w:val="left"/>
        <w:rPr>
          <w:sz w:val="18"/>
        </w:rPr>
      </w:pPr>
      <w:r>
        <w:rPr/>
        <w:br w:type="column"/>
      </w:r>
      <w:r>
        <w:rPr>
          <w:sz w:val="18"/>
        </w:rPr>
        <w:t>25%</w:t>
      </w:r>
    </w:p>
    <w:p>
      <w:pPr>
        <w:spacing w:after="0"/>
        <w:jc w:val="left"/>
        <w:rPr>
          <w:sz w:val="18"/>
        </w:rPr>
        <w:sectPr>
          <w:type w:val="continuous"/>
          <w:pgSz w:w="12240" w:h="15840"/>
          <w:pgMar w:top="1300" w:bottom="1620" w:left="1500" w:right="0"/>
          <w:cols w:num="2" w:equalWidth="0">
            <w:col w:w="2757" w:space="1129"/>
            <w:col w:w="6854"/>
          </w:cols>
        </w:sectPr>
      </w:pPr>
    </w:p>
    <w:p>
      <w:pPr>
        <w:pStyle w:val="BodyText"/>
        <w:spacing w:before="1"/>
        <w:rPr>
          <w:sz w:val="13"/>
        </w:rPr>
      </w:pPr>
    </w:p>
    <w:p>
      <w:pPr>
        <w:spacing w:after="0"/>
        <w:rPr>
          <w:sz w:val="13"/>
        </w:rPr>
        <w:sectPr>
          <w:type w:val="continuous"/>
          <w:pgSz w:w="12240" w:h="15840"/>
          <w:pgMar w:top="1300" w:bottom="1620" w:left="1500" w:right="0"/>
        </w:sectPr>
      </w:pPr>
    </w:p>
    <w:p>
      <w:pPr>
        <w:pStyle w:val="Heading2"/>
        <w:spacing w:before="92"/>
        <w:ind w:left="1078" w:right="10"/>
        <w:rPr>
          <w:i/>
        </w:rPr>
      </w:pPr>
      <w:r>
        <w:rPr>
          <w:i/>
          <w:u w:val="single"/>
        </w:rPr>
        <w:t>Limit</w:t>
      </w:r>
    </w:p>
    <w:p>
      <w:pPr>
        <w:pStyle w:val="BodyText"/>
        <w:spacing w:before="19"/>
        <w:ind w:left="1076" w:right="14"/>
        <w:jc w:val="center"/>
      </w:pPr>
      <w:r>
        <w:rPr>
          <w:w w:val="95"/>
        </w:rPr>
        <w:t>$1,000,000/$2,000,000</w:t>
      </w:r>
    </w:p>
    <w:p>
      <w:pPr>
        <w:spacing w:before="21"/>
        <w:ind w:left="1078" w:right="6" w:firstLine="0"/>
        <w:jc w:val="center"/>
        <w:rPr>
          <w:sz w:val="18"/>
        </w:rPr>
      </w:pPr>
      <w:r>
        <w:rPr>
          <w:sz w:val="18"/>
        </w:rPr>
        <w:t>$1,000,000/$3,000,000</w:t>
      </w:r>
    </w:p>
    <w:p>
      <w:pPr>
        <w:pStyle w:val="Heading2"/>
        <w:spacing w:before="111"/>
        <w:jc w:val="left"/>
        <w:rPr>
          <w:i/>
        </w:rPr>
      </w:pPr>
      <w:r>
        <w:rPr>
          <w:i w:val="0"/>
        </w:rPr>
        <w:br w:type="column"/>
      </w:r>
      <w:r>
        <w:rPr>
          <w:i/>
          <w:w w:val="75"/>
        </w:rPr>
        <w:t>Premi11111</w:t>
      </w:r>
    </w:p>
    <w:p>
      <w:pPr>
        <w:pStyle w:val="BodyText"/>
        <w:spacing w:before="19"/>
        <w:ind w:left="1115"/>
      </w:pPr>
      <w:r>
        <w:rPr/>
        <w:t>$1,500</w:t>
      </w:r>
    </w:p>
    <w:p>
      <w:pPr>
        <w:pStyle w:val="BodyText"/>
        <w:spacing w:before="12"/>
        <w:ind w:left="1115"/>
      </w:pPr>
      <w:r>
        <w:rPr/>
        <w:t>$2,000</w:t>
      </w:r>
    </w:p>
    <w:p>
      <w:pPr>
        <w:spacing w:after="0"/>
        <w:sectPr>
          <w:type w:val="continuous"/>
          <w:pgSz w:w="12240" w:h="15840"/>
          <w:pgMar w:top="1300" w:bottom="1620" w:left="1500" w:right="0"/>
          <w:cols w:num="2" w:equalWidth="0">
            <w:col w:w="2810" w:space="1563"/>
            <w:col w:w="6367"/>
          </w:cols>
        </w:sect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2240" w:h="15840"/>
          <w:pgMar w:top="1300" w:bottom="1620" w:left="1500" w:right="0"/>
        </w:sectPr>
      </w:pPr>
    </w:p>
    <w:p>
      <w:pPr>
        <w:pStyle w:val="BodyText"/>
        <w:spacing w:before="7"/>
        <w:rPr>
          <w:sz w:val="18"/>
        </w:rPr>
      </w:pPr>
    </w:p>
    <w:p>
      <w:pPr>
        <w:pStyle w:val="BodyText"/>
        <w:ind w:left="109"/>
      </w:pPr>
      <w:r>
        <w:rPr>
          <w:w w:val="105"/>
          <w:u w:val="single"/>
        </w:rPr>
        <w:t>Property</w:t>
      </w:r>
    </w:p>
    <w:p>
      <w:pPr>
        <w:pStyle w:val="BodyText"/>
        <w:spacing w:before="31"/>
        <w:ind w:left="264"/>
      </w:pPr>
      <w:r>
        <w:rPr>
          <w:w w:val="105"/>
        </w:rPr>
        <w:t>Special Property Coverage</w:t>
      </w:r>
      <w:r>
        <w:rPr>
          <w:spacing w:val="-7"/>
          <w:w w:val="105"/>
        </w:rPr>
        <w:t> </w:t>
      </w:r>
      <w:r>
        <w:rPr>
          <w:w w:val="105"/>
        </w:rPr>
        <w:t>Form</w:t>
      </w:r>
    </w:p>
    <w:p>
      <w:pPr>
        <w:pStyle w:val="BodyText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3"/>
        </w:rPr>
      </w:pPr>
    </w:p>
    <w:p>
      <w:pPr>
        <w:spacing w:before="1"/>
        <w:ind w:left="1741" w:right="0" w:firstLine="0"/>
        <w:jc w:val="left"/>
        <w:rPr>
          <w:rFonts w:ascii="Arial"/>
          <w:i/>
          <w:sz w:val="18"/>
        </w:rPr>
      </w:pPr>
      <w:r>
        <w:rPr/>
        <w:pict>
          <v:line style="position:absolute;mso-position-horizontal-relative:page;mso-position-vertical-relative:paragraph;z-index:-7960" from="374.880005pt,8.731898pt" to="377.760005pt,8.731898pt" stroked="true" strokeweight=".48pt" strokecolor="#000000">
            <v:stroke dashstyle="solid"/>
            <w10:wrap type="none"/>
          </v:line>
        </w:pict>
      </w:r>
      <w:r>
        <w:rPr>
          <w:rFonts w:ascii="Arial"/>
          <w:i/>
          <w:sz w:val="18"/>
        </w:rPr>
        <w:t>Premium</w:t>
      </w:r>
    </w:p>
    <w:p>
      <w:pPr>
        <w:pStyle w:val="BodyText"/>
        <w:spacing w:before="15"/>
        <w:ind w:left="109"/>
      </w:pPr>
      <w:r>
        <w:rPr>
          <w:w w:val="105"/>
        </w:rPr>
        <w:t>7% of Property Premium subject to a $200 minimum premium</w:t>
      </w:r>
    </w:p>
    <w:sectPr>
      <w:type w:val="continuous"/>
      <w:pgSz w:w="12240" w:h="15840"/>
      <w:pgMar w:top="1300" w:bottom="1620" w:left="1500" w:right="0"/>
      <w:cols w:num="2" w:equalWidth="0">
        <w:col w:w="2881" w:space="792"/>
        <w:col w:w="706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ourier New">
    <w:altName w:val="Courier New"/>
    <w:charset w:val="0"/>
    <w:family w:val="modern"/>
    <w:pitch w:val="fixed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8008" from="608.400024pt,789.599985pt" to="608.400024pt,711.359985pt" stroked="true" strokeweight=".96pt" strokecolor="#000000">
          <v:stroke dashstyle="solid"/>
          <w10:wrap type="none"/>
        </v:lin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4"/>
      <w:numFmt w:val="upperRoman"/>
      <w:lvlText w:val="%1."/>
      <w:lvlJc w:val="left"/>
      <w:pPr>
        <w:ind w:left="426" w:hanging="300"/>
        <w:jc w:val="right"/>
      </w:pPr>
      <w:rPr>
        <w:rFonts w:hint="default" w:ascii="Times New Roman" w:hAnsi="Times New Roman" w:eastAsia="Times New Roman" w:cs="Times New Roman"/>
        <w:w w:val="106"/>
        <w:sz w:val="19"/>
        <w:szCs w:val="19"/>
      </w:rPr>
    </w:lvl>
    <w:lvl w:ilvl="1">
      <w:start w:val="0"/>
      <w:numFmt w:val="bullet"/>
      <w:lvlText w:val="•"/>
      <w:lvlJc w:val="left"/>
      <w:pPr>
        <w:ind w:left="1880" w:hanging="30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927" w:hanging="30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975" w:hanging="30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023" w:hanging="30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71" w:hanging="30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118" w:hanging="30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166" w:hanging="30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2214" w:hanging="3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9"/>
      <w:szCs w:val="19"/>
    </w:rPr>
  </w:style>
  <w:style w:styleId="Heading1" w:type="paragraph">
    <w:name w:val="Heading 1"/>
    <w:basedOn w:val="Normal"/>
    <w:uiPriority w:val="1"/>
    <w:qFormat/>
    <w:pPr>
      <w:spacing w:before="70"/>
      <w:ind w:left="1012" w:right="1818"/>
      <w:jc w:val="center"/>
      <w:outlineLvl w:val="1"/>
    </w:pPr>
    <w:rPr>
      <w:rFonts w:ascii="Times New Roman" w:hAnsi="Times New Roman" w:eastAsia="Times New Roman" w:cs="Times New Roman"/>
      <w:sz w:val="25"/>
      <w:szCs w:val="25"/>
    </w:rPr>
  </w:style>
  <w:style w:styleId="Heading2" w:type="paragraph">
    <w:name w:val="Heading 2"/>
    <w:basedOn w:val="Normal"/>
    <w:uiPriority w:val="1"/>
    <w:qFormat/>
    <w:pPr>
      <w:ind w:left="1072"/>
      <w:jc w:val="center"/>
      <w:outlineLvl w:val="2"/>
    </w:pPr>
    <w:rPr>
      <w:rFonts w:ascii="Times New Roman" w:hAnsi="Times New Roman" w:eastAsia="Times New Roman" w:cs="Times New Roman"/>
      <w:i/>
      <w:sz w:val="20"/>
      <w:szCs w:val="20"/>
    </w:rPr>
  </w:style>
  <w:style w:styleId="ListParagraph" w:type="paragraph">
    <w:name w:val="List Paragraph"/>
    <w:basedOn w:val="Normal"/>
    <w:uiPriority w:val="1"/>
    <w:qFormat/>
    <w:pPr>
      <w:ind w:left="378" w:hanging="469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2017-09-08T09:42:33Z</dcterms:created>
  <dcterms:modified xsi:type="dcterms:W3CDTF">2017-09-08T09:42:33Z</dcterms:modified>
</cp:coreProperties>
</file>