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 xml:space="preserve">This </w:t>
      </w:r>
      <w:r w:rsidR="00D0492E">
        <w:rPr>
          <w:rFonts w:ascii="Arial" w:hAnsi="Arial" w:cs="Arial"/>
          <w:b w:val="0"/>
          <w:sz w:val="20"/>
        </w:rPr>
        <w:t>endorsement, effective 12:01 A.M.</w:t>
      </w:r>
      <w:bookmarkStart w:id="0" w:name="_GoBack"/>
      <w:bookmarkEnd w:id="0"/>
      <w:r w:rsidRPr="001A73E7">
        <w:rPr>
          <w:rFonts w:ascii="Arial" w:hAnsi="Arial" w:cs="Arial"/>
          <w:b w:val="0"/>
          <w:sz w:val="20"/>
        </w:rPr>
        <w:t>.,</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rPr>
          <w:rFonts w:ascii="Arial" w:hAnsi="Arial" w:cs="Arial"/>
          <w:sz w:val="20"/>
          <w:szCs w:val="20"/>
        </w:rPr>
      </w:pPr>
    </w:p>
    <w:p w:rsidR="00152B15" w:rsidRPr="001A73E7" w:rsidRDefault="00152B15" w:rsidP="00152B15">
      <w:pPr>
        <w:pStyle w:val="Subtitle"/>
        <w:rPr>
          <w:rFonts w:cs="Arial"/>
          <w:sz w:val="20"/>
        </w:rPr>
      </w:pPr>
    </w:p>
    <w:p w:rsidR="00B03E50" w:rsidRPr="00FC58D4" w:rsidRDefault="00B03E50" w:rsidP="00B03E50">
      <w:pPr>
        <w:pStyle w:val="Subtitle"/>
        <w:rPr>
          <w:rFonts w:cs="Arial"/>
          <w:sz w:val="24"/>
          <w:szCs w:val="24"/>
        </w:rPr>
      </w:pPr>
      <w:r w:rsidRPr="00FC58D4">
        <w:rPr>
          <w:rFonts w:cs="Arial"/>
          <w:sz w:val="24"/>
          <w:szCs w:val="24"/>
        </w:rPr>
        <w:t>UPGRADE TO GREEN®</w:t>
      </w:r>
      <w:r w:rsidRPr="00FC58D4">
        <w:rPr>
          <w:rFonts w:cs="Arial"/>
          <w:sz w:val="24"/>
          <w:szCs w:val="24"/>
          <w:vertAlign w:val="superscript"/>
        </w:rPr>
        <w:t xml:space="preserve"> </w:t>
      </w:r>
      <w:r w:rsidRPr="00FC58D4">
        <w:rPr>
          <w:rFonts w:cs="Arial"/>
          <w:sz w:val="24"/>
          <w:szCs w:val="24"/>
        </w:rPr>
        <w:t>– PROGRAMS</w:t>
      </w:r>
    </w:p>
    <w:p w:rsidR="00B03E50" w:rsidRPr="00FC58D4" w:rsidRDefault="00B03E50" w:rsidP="00B03E50">
      <w:pPr>
        <w:pStyle w:val="Subtitle"/>
        <w:rPr>
          <w:rFonts w:cs="Arial"/>
          <w:sz w:val="24"/>
          <w:szCs w:val="24"/>
        </w:rPr>
      </w:pPr>
      <w:r w:rsidRPr="00FC58D4">
        <w:rPr>
          <w:rFonts w:cs="Arial"/>
          <w:sz w:val="24"/>
          <w:szCs w:val="24"/>
        </w:rPr>
        <w:t>ENDORSEMENT</w:t>
      </w:r>
    </w:p>
    <w:p w:rsidR="00152B15" w:rsidRDefault="00152B15" w:rsidP="00152B15">
      <w:pPr>
        <w:rPr>
          <w:rFonts w:ascii="Arial" w:hAnsi="Arial" w:cs="Arial"/>
          <w:sz w:val="20"/>
          <w:szCs w:val="20"/>
        </w:rPr>
      </w:pPr>
    </w:p>
    <w:p w:rsidR="0087372E" w:rsidRPr="001A73E7" w:rsidRDefault="0087372E" w:rsidP="00152B15">
      <w:pPr>
        <w:rPr>
          <w:rFonts w:ascii="Arial" w:hAnsi="Arial" w:cs="Arial"/>
          <w:sz w:val="20"/>
          <w:szCs w:val="20"/>
        </w:rPr>
      </w:pPr>
    </w:p>
    <w:p w:rsidR="004A3C05" w:rsidRPr="001A73E7" w:rsidRDefault="00152B15" w:rsidP="00B42E8E">
      <w:pPr>
        <w:rPr>
          <w:rFonts w:ascii="Arial" w:hAnsi="Arial" w:cs="Arial"/>
          <w:b/>
          <w:sz w:val="20"/>
          <w:szCs w:val="20"/>
        </w:rPr>
      </w:pPr>
      <w:r w:rsidRPr="001A73E7">
        <w:rPr>
          <w:rFonts w:ascii="Arial" w:hAnsi="Arial" w:cs="Arial"/>
          <w:sz w:val="20"/>
          <w:szCs w:val="20"/>
        </w:rPr>
        <w:t>This endorsement modifies insuran</w:t>
      </w:r>
      <w:r w:rsidR="00B42E8E">
        <w:rPr>
          <w:rFonts w:ascii="Arial" w:hAnsi="Arial" w:cs="Arial"/>
          <w:sz w:val="20"/>
          <w:szCs w:val="20"/>
        </w:rPr>
        <w:t>ce provided by the policy.</w:t>
      </w:r>
    </w:p>
    <w:p w:rsidR="004A3C05" w:rsidRPr="001A73E7" w:rsidRDefault="004A3C05" w:rsidP="004A3C05">
      <w:pPr>
        <w:jc w:val="both"/>
        <w:rPr>
          <w:rFonts w:ascii="Arial" w:hAnsi="Arial" w:cs="Arial"/>
          <w:sz w:val="20"/>
          <w:szCs w:val="20"/>
        </w:rPr>
      </w:pPr>
    </w:p>
    <w:p w:rsidR="00B03E50" w:rsidRPr="00B03E50" w:rsidRDefault="00B03E50" w:rsidP="00B03E50">
      <w:pPr>
        <w:jc w:val="both"/>
        <w:rPr>
          <w:rFonts w:ascii="Arial" w:hAnsi="Arial" w:cs="Arial"/>
          <w:sz w:val="20"/>
          <w:szCs w:val="20"/>
        </w:rPr>
      </w:pPr>
      <w:r w:rsidRPr="00B03E50">
        <w:rPr>
          <w:rFonts w:ascii="Arial" w:hAnsi="Arial" w:cs="Arial"/>
          <w:sz w:val="20"/>
          <w:szCs w:val="20"/>
        </w:rPr>
        <w:t>The coverages and valuation provision provided by this endorsement only apply if direct physical loss or damage to covered real and/or personal property is caused by a Covered Cause of Loss, and if this policy provides replacement cost for real and/or personal property.  This coverage does not apply to: (1) personal property of others in your care, custody, and control, (2) leased personal property, and/or (3) finished or unfinished stock.</w:t>
      </w:r>
    </w:p>
    <w:p w:rsidR="00B03E50" w:rsidRPr="00B03E50" w:rsidRDefault="00B03E50" w:rsidP="00B03E50">
      <w:pPr>
        <w:jc w:val="both"/>
        <w:rPr>
          <w:rFonts w:ascii="Arial" w:hAnsi="Arial" w:cs="Arial"/>
          <w:sz w:val="20"/>
          <w:szCs w:val="20"/>
        </w:rPr>
      </w:pPr>
    </w:p>
    <w:p w:rsidR="00B03E50" w:rsidRPr="00B03E50" w:rsidRDefault="00B03E50" w:rsidP="00B03E50">
      <w:pPr>
        <w:jc w:val="both"/>
        <w:rPr>
          <w:rFonts w:ascii="Arial" w:hAnsi="Arial" w:cs="Arial"/>
          <w:sz w:val="20"/>
          <w:szCs w:val="20"/>
        </w:rPr>
      </w:pPr>
      <w:r w:rsidRPr="00B03E50">
        <w:rPr>
          <w:rFonts w:ascii="Arial" w:hAnsi="Arial" w:cs="Arial"/>
          <w:sz w:val="20"/>
          <w:szCs w:val="20"/>
        </w:rPr>
        <w:t>In no event, does this endorsement increase or change the Limits of Insurance shown in the Declarations or the annual aggregate for specified Causes of Loss.</w:t>
      </w:r>
    </w:p>
    <w:p w:rsidR="00B03E50" w:rsidRPr="00B03E50" w:rsidRDefault="00B03E50" w:rsidP="00B03E50">
      <w:pPr>
        <w:numPr>
          <w:ilvl w:val="0"/>
          <w:numId w:val="1"/>
        </w:numPr>
        <w:spacing w:before="220"/>
        <w:jc w:val="both"/>
        <w:rPr>
          <w:rFonts w:ascii="Arial" w:hAnsi="Arial" w:cs="Arial"/>
          <w:sz w:val="20"/>
          <w:szCs w:val="20"/>
        </w:rPr>
      </w:pPr>
      <w:r w:rsidRPr="00B03E50">
        <w:rPr>
          <w:rFonts w:ascii="Arial" w:hAnsi="Arial" w:cs="Arial"/>
          <w:sz w:val="20"/>
          <w:szCs w:val="20"/>
        </w:rPr>
        <w:t>Notwithstanding the Valuation Provision of this policy or the Limits of Insurance applicable to specific premises, buildings, or Causes of Loss, if this policy provides replacement cost for real and/or personal property, then our</w:t>
      </w:r>
      <w:r w:rsidRPr="00B03E50">
        <w:rPr>
          <w:rFonts w:ascii="Arial" w:hAnsi="Arial" w:cs="Arial"/>
          <w:b/>
          <w:sz w:val="20"/>
          <w:szCs w:val="20"/>
        </w:rPr>
        <w:t xml:space="preserve"> </w:t>
      </w:r>
      <w:r w:rsidRPr="00B03E50">
        <w:rPr>
          <w:rFonts w:ascii="Arial" w:hAnsi="Arial" w:cs="Arial"/>
          <w:sz w:val="20"/>
          <w:szCs w:val="20"/>
        </w:rPr>
        <w:t>liability for loss applicable to this endorsement shall be the cost to repair or replace the covered damaged property, subject to the applicable Limit of Insurance, plus the least of the following amounts:</w:t>
      </w:r>
    </w:p>
    <w:p w:rsidR="00B03E50" w:rsidRPr="00B03E50" w:rsidRDefault="00B03E50" w:rsidP="00B03E50">
      <w:pPr>
        <w:numPr>
          <w:ilvl w:val="1"/>
          <w:numId w:val="1"/>
        </w:numPr>
        <w:tabs>
          <w:tab w:val="left" w:pos="360"/>
        </w:tabs>
        <w:spacing w:before="220"/>
        <w:jc w:val="both"/>
        <w:rPr>
          <w:rFonts w:ascii="Arial" w:hAnsi="Arial" w:cs="Arial"/>
          <w:sz w:val="20"/>
          <w:szCs w:val="20"/>
        </w:rPr>
      </w:pPr>
      <w:r w:rsidRPr="00B03E50">
        <w:rPr>
          <w:rFonts w:ascii="Arial" w:hAnsi="Arial" w:cs="Arial"/>
          <w:sz w:val="20"/>
          <w:szCs w:val="20"/>
        </w:rPr>
        <w:t>The reasonable and necessary amount to upgrade to green the covered damaged property as described in Coverage Section A – Non-LEED</w:t>
      </w:r>
      <w:r w:rsidRPr="00B03E50">
        <w:rPr>
          <w:rFonts w:ascii="Arial" w:hAnsi="Arial" w:cs="Arial"/>
          <w:sz w:val="20"/>
          <w:szCs w:val="20"/>
          <w:vertAlign w:val="superscript"/>
        </w:rPr>
        <w:t>®</w:t>
      </w:r>
      <w:r w:rsidRPr="00B03E50">
        <w:rPr>
          <w:rFonts w:ascii="Arial" w:hAnsi="Arial" w:cs="Arial"/>
          <w:sz w:val="20"/>
          <w:szCs w:val="20"/>
        </w:rPr>
        <w:t xml:space="preserve"> Certified Coverage </w:t>
      </w:r>
      <w:r w:rsidRPr="00B03E50">
        <w:rPr>
          <w:rFonts w:ascii="Arial" w:hAnsi="Arial" w:cs="Arial"/>
          <w:i/>
          <w:sz w:val="20"/>
          <w:szCs w:val="20"/>
          <w:u w:val="single"/>
        </w:rPr>
        <w:t>or</w:t>
      </w:r>
      <w:r w:rsidRPr="00B03E50">
        <w:rPr>
          <w:rFonts w:ascii="Arial" w:hAnsi="Arial" w:cs="Arial"/>
          <w:sz w:val="20"/>
          <w:szCs w:val="20"/>
        </w:rPr>
        <w:t xml:space="preserve"> as described in Coverage Section B – LEED</w:t>
      </w:r>
      <w:r w:rsidRPr="00B03E50">
        <w:rPr>
          <w:rFonts w:ascii="Arial" w:hAnsi="Arial" w:cs="Arial"/>
          <w:sz w:val="20"/>
          <w:szCs w:val="20"/>
          <w:vertAlign w:val="superscript"/>
        </w:rPr>
        <w:t>®</w:t>
      </w:r>
      <w:r w:rsidRPr="00B03E50">
        <w:rPr>
          <w:rFonts w:ascii="Arial" w:hAnsi="Arial" w:cs="Arial"/>
          <w:sz w:val="20"/>
          <w:szCs w:val="20"/>
        </w:rPr>
        <w:t xml:space="preserve"> Certified Coverage, whichever is applicable; or</w:t>
      </w:r>
    </w:p>
    <w:p w:rsidR="00B03E50" w:rsidRPr="00B03E50" w:rsidRDefault="00B03E50" w:rsidP="00B03E50">
      <w:pPr>
        <w:numPr>
          <w:ilvl w:val="1"/>
          <w:numId w:val="1"/>
        </w:numPr>
        <w:tabs>
          <w:tab w:val="left" w:pos="360"/>
        </w:tabs>
        <w:spacing w:before="220"/>
        <w:jc w:val="both"/>
        <w:rPr>
          <w:rFonts w:ascii="Arial" w:hAnsi="Arial" w:cs="Arial"/>
          <w:sz w:val="20"/>
          <w:szCs w:val="20"/>
        </w:rPr>
      </w:pPr>
      <w:r w:rsidRPr="00B03E50">
        <w:rPr>
          <w:rFonts w:ascii="Arial" w:hAnsi="Arial" w:cs="Arial"/>
          <w:sz w:val="20"/>
          <w:szCs w:val="20"/>
        </w:rPr>
        <w:t>An additional 25% of the applicable Limit of Insurance for the building and/or business personal property shown in the Declarations, or similar schedule, to upgrade to green; or</w:t>
      </w:r>
    </w:p>
    <w:p w:rsidR="00B03E50" w:rsidRPr="00B03E50" w:rsidRDefault="00B03E50" w:rsidP="00B03E50">
      <w:pPr>
        <w:numPr>
          <w:ilvl w:val="1"/>
          <w:numId w:val="1"/>
        </w:numPr>
        <w:tabs>
          <w:tab w:val="left" w:pos="360"/>
        </w:tabs>
        <w:spacing w:before="220"/>
        <w:jc w:val="both"/>
        <w:rPr>
          <w:rFonts w:ascii="Arial" w:hAnsi="Arial" w:cs="Arial"/>
          <w:sz w:val="20"/>
          <w:szCs w:val="20"/>
        </w:rPr>
      </w:pPr>
      <w:r w:rsidRPr="00B03E50">
        <w:rPr>
          <w:rFonts w:ascii="Arial" w:hAnsi="Arial" w:cs="Arial"/>
          <w:sz w:val="20"/>
          <w:szCs w:val="20"/>
        </w:rPr>
        <w:t>$2,000,000 (two-million dollars) to upgrade to green per occurrence.</w:t>
      </w:r>
    </w:p>
    <w:p w:rsidR="00B03E50" w:rsidRPr="00B03E50" w:rsidRDefault="00B03E50" w:rsidP="00B03E50">
      <w:pPr>
        <w:tabs>
          <w:tab w:val="left" w:pos="360"/>
        </w:tabs>
        <w:spacing w:before="220"/>
        <w:ind w:left="720"/>
        <w:jc w:val="both"/>
        <w:rPr>
          <w:rFonts w:ascii="Arial" w:hAnsi="Arial" w:cs="Arial"/>
          <w:sz w:val="20"/>
          <w:szCs w:val="20"/>
        </w:rPr>
      </w:pPr>
      <w:r w:rsidRPr="00B03E50">
        <w:rPr>
          <w:rFonts w:ascii="Arial" w:hAnsi="Arial" w:cs="Arial"/>
          <w:sz w:val="20"/>
          <w:szCs w:val="20"/>
        </w:rPr>
        <w:t>At your sole discretion, you may elect not to upgrade to green any or all property for which upgrade to green coverage is provided under this endorsement.  In such case, we will adjust the claim in accordance with the standard provisions of the policy, as modified by all other applicable endorsements.</w:t>
      </w:r>
    </w:p>
    <w:p w:rsidR="0087372E" w:rsidRDefault="00B03E50" w:rsidP="00B03E50">
      <w:pPr>
        <w:tabs>
          <w:tab w:val="left" w:pos="360"/>
        </w:tabs>
        <w:spacing w:before="220"/>
        <w:ind w:left="720"/>
        <w:jc w:val="both"/>
        <w:rPr>
          <w:rFonts w:ascii="Arial" w:hAnsi="Arial" w:cs="Arial"/>
          <w:sz w:val="20"/>
          <w:szCs w:val="20"/>
        </w:rPr>
      </w:pPr>
      <w:r w:rsidRPr="00B03E50">
        <w:rPr>
          <w:rFonts w:ascii="Arial" w:hAnsi="Arial" w:cs="Arial"/>
          <w:sz w:val="20"/>
          <w:szCs w:val="20"/>
        </w:rPr>
        <w:t>Subject to the least of A., B., or C. above, if business income coverage is provided as part of this policy and if necessary, the Period of Restoration shall be increased to allow for additional time to upgrade to green the damaged property plus up to an additional two week period to meet the requirements set forth in 4.B.</w:t>
      </w:r>
    </w:p>
    <w:p w:rsidR="0087372E" w:rsidRDefault="0087372E" w:rsidP="00B03E50">
      <w:pPr>
        <w:tabs>
          <w:tab w:val="left" w:pos="360"/>
        </w:tabs>
        <w:spacing w:before="220"/>
        <w:ind w:left="720"/>
        <w:jc w:val="both"/>
        <w:rPr>
          <w:rFonts w:ascii="Arial" w:hAnsi="Arial" w:cs="Arial"/>
          <w:sz w:val="20"/>
          <w:szCs w:val="20"/>
        </w:rPr>
      </w:pPr>
    </w:p>
    <w:p w:rsidR="0087372E" w:rsidRDefault="0087372E" w:rsidP="00B03E50">
      <w:pPr>
        <w:tabs>
          <w:tab w:val="left" w:pos="360"/>
        </w:tabs>
        <w:spacing w:before="220"/>
        <w:ind w:left="720"/>
        <w:jc w:val="both"/>
        <w:rPr>
          <w:rFonts w:ascii="Arial" w:hAnsi="Arial" w:cs="Arial"/>
          <w:sz w:val="20"/>
          <w:szCs w:val="20"/>
        </w:rPr>
      </w:pPr>
    </w:p>
    <w:p w:rsidR="0087372E" w:rsidRDefault="0087372E" w:rsidP="00B03E50">
      <w:pPr>
        <w:tabs>
          <w:tab w:val="left" w:pos="360"/>
        </w:tabs>
        <w:spacing w:before="220"/>
        <w:ind w:left="720"/>
        <w:jc w:val="both"/>
        <w:rPr>
          <w:rFonts w:ascii="Arial" w:hAnsi="Arial" w:cs="Arial"/>
          <w:sz w:val="20"/>
          <w:szCs w:val="20"/>
        </w:rPr>
      </w:pPr>
    </w:p>
    <w:p w:rsidR="00B03E50" w:rsidRPr="00B03E50" w:rsidRDefault="00B03E50" w:rsidP="00B03E50">
      <w:pPr>
        <w:numPr>
          <w:ilvl w:val="0"/>
          <w:numId w:val="1"/>
        </w:numPr>
        <w:tabs>
          <w:tab w:val="left" w:pos="720"/>
        </w:tabs>
        <w:spacing w:before="220"/>
        <w:jc w:val="both"/>
        <w:rPr>
          <w:rFonts w:ascii="Arial" w:hAnsi="Arial" w:cs="Arial"/>
          <w:b/>
          <w:sz w:val="20"/>
          <w:szCs w:val="20"/>
        </w:rPr>
      </w:pPr>
      <w:r w:rsidRPr="00B03E50">
        <w:rPr>
          <w:rFonts w:ascii="Arial" w:hAnsi="Arial" w:cs="Arial"/>
          <w:b/>
          <w:sz w:val="20"/>
          <w:szCs w:val="20"/>
        </w:rPr>
        <w:lastRenderedPageBreak/>
        <w:t>COVERAGE SECTION A:  NON-LEED CERTIFIED COVERAGE</w:t>
      </w:r>
    </w:p>
    <w:p w:rsidR="00B03E50" w:rsidRPr="00B03E50" w:rsidRDefault="00B03E50" w:rsidP="00B03E50">
      <w:pPr>
        <w:tabs>
          <w:tab w:val="left" w:pos="720"/>
        </w:tabs>
        <w:spacing w:before="220"/>
        <w:ind w:left="720"/>
        <w:jc w:val="both"/>
        <w:rPr>
          <w:rFonts w:ascii="Arial" w:hAnsi="Arial" w:cs="Arial"/>
          <w:sz w:val="20"/>
          <w:szCs w:val="20"/>
        </w:rPr>
      </w:pPr>
      <w:r w:rsidRPr="00B03E50">
        <w:rPr>
          <w:rFonts w:ascii="Arial" w:hAnsi="Arial" w:cs="Arial"/>
          <w:sz w:val="20"/>
          <w:szCs w:val="20"/>
        </w:rPr>
        <w:t>In the event of direct physical loss or damage by a Covered Cause of Loss to a building that is not LEED certified at the time of the loss, or to the personal property within such a building, we</w:t>
      </w:r>
      <w:r w:rsidRPr="00B03E50">
        <w:rPr>
          <w:rFonts w:ascii="Arial" w:hAnsi="Arial" w:cs="Arial"/>
          <w:b/>
          <w:sz w:val="20"/>
          <w:szCs w:val="20"/>
        </w:rPr>
        <w:t xml:space="preserve"> </w:t>
      </w:r>
      <w:r w:rsidRPr="00B03E50">
        <w:rPr>
          <w:rFonts w:ascii="Arial" w:hAnsi="Arial" w:cs="Arial"/>
          <w:sz w:val="20"/>
          <w:szCs w:val="20"/>
        </w:rPr>
        <w:t>will pay to repair or replace damaged or destroyed:</w:t>
      </w:r>
    </w:p>
    <w:p w:rsidR="00B03E50" w:rsidRPr="00B03E50" w:rsidRDefault="00B03E50" w:rsidP="00B03E50">
      <w:pPr>
        <w:tabs>
          <w:tab w:val="left" w:pos="720"/>
        </w:tabs>
        <w:spacing w:before="220"/>
        <w:ind w:left="720"/>
        <w:jc w:val="both"/>
        <w:rPr>
          <w:rFonts w:ascii="Arial" w:hAnsi="Arial" w:cs="Arial"/>
          <w:sz w:val="20"/>
          <w:szCs w:val="20"/>
        </w:rPr>
      </w:pPr>
      <w:r w:rsidRPr="00B03E50">
        <w:rPr>
          <w:rFonts w:ascii="Arial" w:hAnsi="Arial" w:cs="Arial"/>
          <w:b/>
          <w:sz w:val="20"/>
          <w:szCs w:val="20"/>
        </w:rPr>
        <w:t>A.</w:t>
      </w:r>
      <w:r w:rsidRPr="00B03E50">
        <w:rPr>
          <w:rFonts w:ascii="Arial" w:hAnsi="Arial" w:cs="Arial"/>
          <w:b/>
          <w:sz w:val="20"/>
          <w:szCs w:val="20"/>
        </w:rPr>
        <w:tab/>
        <w:t>Loss Settlement for Personal Property</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“Appliances” or “Office Equipment” with products of like kind and quality that have been identified as “ENERGY STAR</w:t>
      </w:r>
      <w:r w:rsidRPr="00B03E50">
        <w:rPr>
          <w:rFonts w:ascii="Arial" w:hAnsi="Arial" w:cs="Arial"/>
          <w:sz w:val="20"/>
          <w:szCs w:val="20"/>
          <w:vertAlign w:val="superscript"/>
        </w:rPr>
        <w:t>®</w:t>
      </w:r>
      <w:r w:rsidRPr="00B03E50">
        <w:rPr>
          <w:rFonts w:ascii="Arial" w:hAnsi="Arial" w:cs="Arial"/>
          <w:sz w:val="20"/>
          <w:szCs w:val="20"/>
        </w:rPr>
        <w:t>” or equivalent products of such energy efficiency.  If there are no such products available at the time of the loss, this upgrade to green coverage does not apply.</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 xml:space="preserve">“Systems Furniture” or “Seating”, with products of like kind and quality that are certified as </w:t>
      </w:r>
      <w:proofErr w:type="spellStart"/>
      <w:r w:rsidRPr="00B03E50">
        <w:rPr>
          <w:rFonts w:ascii="Arial" w:hAnsi="Arial" w:cs="Arial"/>
          <w:sz w:val="20"/>
          <w:szCs w:val="20"/>
        </w:rPr>
        <w:t>GREENGUARD</w:t>
      </w:r>
      <w:proofErr w:type="spellEnd"/>
      <w:r w:rsidRPr="00B03E50">
        <w:rPr>
          <w:rFonts w:ascii="Arial" w:hAnsi="Arial" w:cs="Arial"/>
          <w:sz w:val="20"/>
          <w:szCs w:val="20"/>
        </w:rPr>
        <w:t xml:space="preserve"> Indoor Air Quality Certified</w:t>
      </w:r>
      <w:r w:rsidRPr="00B03E50">
        <w:rPr>
          <w:rFonts w:ascii="Arial" w:hAnsi="Arial" w:cs="Arial"/>
          <w:sz w:val="20"/>
          <w:szCs w:val="20"/>
          <w:vertAlign w:val="superscript"/>
        </w:rPr>
        <w:t>®</w:t>
      </w:r>
      <w:r w:rsidRPr="00B03E50">
        <w:rPr>
          <w:rFonts w:ascii="Arial" w:hAnsi="Arial" w:cs="Arial"/>
          <w:sz w:val="20"/>
          <w:szCs w:val="20"/>
        </w:rPr>
        <w:t xml:space="preserve"> or products with similar emissions characteristics.  If there are no such products available at the time of the loss, this upgrade to green coverage does not apply.</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b/>
          <w:sz w:val="20"/>
          <w:szCs w:val="20"/>
        </w:rPr>
        <w:t>Loss Settlement for Your Building</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b/>
          <w:sz w:val="20"/>
          <w:szCs w:val="20"/>
        </w:rPr>
        <w:t>Interior Finish Materials Upgrade</w:t>
      </w:r>
    </w:p>
    <w:p w:rsidR="00B03E50" w:rsidRPr="00B03E50" w:rsidRDefault="00B03E50" w:rsidP="00B03E50">
      <w:pPr>
        <w:numPr>
          <w:ilvl w:val="3"/>
          <w:numId w:val="1"/>
        </w:numPr>
        <w:tabs>
          <w:tab w:val="left" w:pos="720"/>
        </w:tabs>
        <w:spacing w:before="220"/>
        <w:jc w:val="both"/>
        <w:rPr>
          <w:rFonts w:ascii="Arial" w:hAnsi="Arial" w:cs="Arial"/>
          <w:sz w:val="20"/>
          <w:szCs w:val="20"/>
        </w:rPr>
      </w:pPr>
      <w:r w:rsidRPr="00B03E50">
        <w:rPr>
          <w:rFonts w:ascii="Arial" w:hAnsi="Arial" w:cs="Arial"/>
          <w:b/>
          <w:color w:val="000000"/>
          <w:sz w:val="20"/>
          <w:szCs w:val="20"/>
        </w:rPr>
        <w:t>Lower Emissions Products Upgrade Coverage</w:t>
      </w:r>
    </w:p>
    <w:p w:rsidR="00B03E50" w:rsidRPr="00B03E50" w:rsidRDefault="00B03E50" w:rsidP="00B03E50">
      <w:pPr>
        <w:spacing w:before="200"/>
        <w:ind w:left="2880"/>
        <w:jc w:val="both"/>
        <w:rPr>
          <w:rFonts w:ascii="Arial" w:hAnsi="Arial" w:cs="Arial"/>
          <w:color w:val="000000"/>
          <w:sz w:val="20"/>
          <w:szCs w:val="20"/>
        </w:rPr>
      </w:pPr>
      <w:r w:rsidRPr="00B03E50">
        <w:rPr>
          <w:rFonts w:ascii="Arial" w:hAnsi="Arial" w:cs="Arial"/>
          <w:color w:val="000000"/>
          <w:sz w:val="20"/>
          <w:szCs w:val="20"/>
        </w:rPr>
        <w:t xml:space="preserve">“Defined Building Materials” with products of like kind and quality that have “Lower Emissions”.  </w:t>
      </w:r>
      <w:r w:rsidRPr="00B03E50">
        <w:rPr>
          <w:rFonts w:ascii="Arial" w:hAnsi="Arial" w:cs="Arial"/>
          <w:sz w:val="20"/>
          <w:szCs w:val="20"/>
        </w:rPr>
        <w:t>If there are no such products available at the time of the loss, this upgrade to green coverage does not apply.</w:t>
      </w:r>
    </w:p>
    <w:p w:rsidR="00B03E50" w:rsidRPr="00B03E50" w:rsidRDefault="00B03E50" w:rsidP="00B03E50">
      <w:pPr>
        <w:numPr>
          <w:ilvl w:val="3"/>
          <w:numId w:val="1"/>
        </w:numPr>
        <w:tabs>
          <w:tab w:val="left" w:pos="720"/>
        </w:tabs>
        <w:spacing w:before="220"/>
        <w:jc w:val="both"/>
        <w:rPr>
          <w:rFonts w:ascii="Arial" w:hAnsi="Arial" w:cs="Arial"/>
          <w:color w:val="000000"/>
          <w:sz w:val="20"/>
          <w:szCs w:val="20"/>
        </w:rPr>
      </w:pPr>
      <w:r w:rsidRPr="00B03E50">
        <w:rPr>
          <w:rFonts w:ascii="Arial" w:hAnsi="Arial" w:cs="Arial"/>
          <w:b/>
          <w:color w:val="000000"/>
          <w:sz w:val="20"/>
          <w:szCs w:val="20"/>
        </w:rPr>
        <w:t>Environmentally Preferable Products Upgrade Coverage</w:t>
      </w:r>
    </w:p>
    <w:p w:rsidR="00B03E50" w:rsidRPr="00B03E50" w:rsidRDefault="00B03E50" w:rsidP="00B03E50">
      <w:pPr>
        <w:spacing w:before="200"/>
        <w:ind w:left="2880"/>
        <w:jc w:val="both"/>
        <w:rPr>
          <w:rFonts w:ascii="Arial" w:hAnsi="Arial" w:cs="Arial"/>
          <w:color w:val="000000"/>
          <w:sz w:val="20"/>
          <w:szCs w:val="20"/>
        </w:rPr>
      </w:pPr>
      <w:r w:rsidRPr="00B03E50">
        <w:rPr>
          <w:rFonts w:ascii="Arial" w:hAnsi="Arial" w:cs="Arial"/>
          <w:color w:val="000000"/>
          <w:sz w:val="20"/>
          <w:szCs w:val="20"/>
        </w:rPr>
        <w:t xml:space="preserve">Interior wood, carpeting and flooring with products of like kind and quality that have “Lower Emissions”, are “Sustainably Produced”, are “Rapidly Renewable” or include “Recycled Content”.  </w:t>
      </w:r>
      <w:r w:rsidRPr="00B03E50">
        <w:rPr>
          <w:rFonts w:ascii="Arial" w:hAnsi="Arial" w:cs="Arial"/>
          <w:sz w:val="20"/>
          <w:szCs w:val="20"/>
        </w:rPr>
        <w:t>If there are no such products available at the time of the loss, this upgrade to green coverage does not apply.</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b/>
          <w:sz w:val="20"/>
          <w:szCs w:val="20"/>
        </w:rPr>
        <w:t>Interior Plumbing Systems Upgrade Coverage</w:t>
      </w:r>
    </w:p>
    <w:p w:rsidR="00B03E50" w:rsidRDefault="00B03E50" w:rsidP="00B03E50">
      <w:pPr>
        <w:spacing w:before="200"/>
        <w:ind w:left="2160"/>
        <w:jc w:val="both"/>
        <w:rPr>
          <w:rFonts w:ascii="Arial" w:hAnsi="Arial" w:cs="Arial"/>
          <w:sz w:val="20"/>
          <w:szCs w:val="20"/>
        </w:rPr>
      </w:pPr>
      <w:r w:rsidRPr="00B03E50">
        <w:rPr>
          <w:rFonts w:ascii="Arial" w:hAnsi="Arial" w:cs="Arial"/>
          <w:sz w:val="20"/>
          <w:szCs w:val="20"/>
        </w:rPr>
        <w:t>Interior plumbing fixtures including, but not limited to, toilets, shower heads, and lavatory faucets</w:t>
      </w:r>
      <w:r w:rsidRPr="00B03E50">
        <w:rPr>
          <w:rFonts w:ascii="Arial" w:hAnsi="Arial" w:cs="Arial"/>
          <w:color w:val="000000"/>
          <w:sz w:val="20"/>
          <w:szCs w:val="20"/>
        </w:rPr>
        <w:t xml:space="preserve"> with products of like kind and quality that</w:t>
      </w:r>
      <w:r w:rsidRPr="00B03E50">
        <w:rPr>
          <w:rFonts w:ascii="Arial" w:hAnsi="Arial" w:cs="Arial"/>
          <w:sz w:val="20"/>
          <w:szCs w:val="20"/>
        </w:rPr>
        <w:t xml:space="preserve"> are more “Water Efficient”.  If there are no such products available at the time of the loss, this upgrade to green coverage does not apply.  For damaged or destroyed faucets, we will also pay to install occupant sensors to reduce the potable water demand.</w:t>
      </w:r>
    </w:p>
    <w:p w:rsidR="00B03E50" w:rsidRPr="00B03E50" w:rsidRDefault="00B03E50" w:rsidP="00B03E50">
      <w:pPr>
        <w:numPr>
          <w:ilvl w:val="2"/>
          <w:numId w:val="1"/>
        </w:numPr>
        <w:tabs>
          <w:tab w:val="left" w:pos="720"/>
        </w:tabs>
        <w:spacing w:before="220"/>
        <w:jc w:val="both"/>
        <w:rPr>
          <w:rFonts w:ascii="Arial" w:hAnsi="Arial" w:cs="Arial"/>
          <w:b/>
          <w:sz w:val="20"/>
          <w:szCs w:val="20"/>
        </w:rPr>
      </w:pPr>
      <w:r w:rsidRPr="00B03E50">
        <w:rPr>
          <w:rFonts w:ascii="Arial" w:hAnsi="Arial" w:cs="Arial"/>
          <w:b/>
          <w:sz w:val="20"/>
          <w:szCs w:val="20"/>
        </w:rPr>
        <w:t>Lighting Systems Upgrade Coverage</w:t>
      </w:r>
    </w:p>
    <w:p w:rsidR="00B03E50" w:rsidRDefault="00B03E50" w:rsidP="00B03E50">
      <w:pPr>
        <w:spacing w:before="200"/>
        <w:ind w:left="2160"/>
        <w:jc w:val="both"/>
        <w:rPr>
          <w:rFonts w:ascii="Arial" w:hAnsi="Arial" w:cs="Arial"/>
          <w:sz w:val="20"/>
          <w:szCs w:val="20"/>
        </w:rPr>
      </w:pPr>
      <w:r w:rsidRPr="00B03E50">
        <w:rPr>
          <w:rFonts w:ascii="Arial" w:hAnsi="Arial" w:cs="Arial"/>
          <w:color w:val="000000"/>
          <w:sz w:val="20"/>
          <w:szCs w:val="20"/>
        </w:rPr>
        <w:t xml:space="preserve">Lighting systems, with products of like kind and quality that have been identified as “ENERGY STAR” </w:t>
      </w:r>
      <w:r w:rsidRPr="00B03E50">
        <w:rPr>
          <w:rFonts w:ascii="Arial" w:hAnsi="Arial" w:cs="Arial"/>
          <w:sz w:val="20"/>
          <w:szCs w:val="20"/>
        </w:rPr>
        <w:t>or equivalent products of such energy efficiency</w:t>
      </w:r>
      <w:r w:rsidRPr="00B03E50">
        <w:rPr>
          <w:rFonts w:ascii="Arial" w:hAnsi="Arial" w:cs="Arial"/>
          <w:color w:val="000000"/>
          <w:sz w:val="20"/>
          <w:szCs w:val="20"/>
        </w:rPr>
        <w:t xml:space="preserve">.  </w:t>
      </w:r>
      <w:r w:rsidRPr="00B03E50">
        <w:rPr>
          <w:rFonts w:ascii="Arial" w:hAnsi="Arial" w:cs="Arial"/>
          <w:sz w:val="20"/>
          <w:szCs w:val="20"/>
        </w:rPr>
        <w:t>If there are no such products available at the time of the loss, this upgrade to green coverage does not apply.  We will also pay to repair or replace damaged light bulbs with light bulbs which have low mercury content.</w:t>
      </w:r>
    </w:p>
    <w:p w:rsidR="00945D8D" w:rsidRDefault="00945D8D" w:rsidP="00B03E50">
      <w:pPr>
        <w:spacing w:before="200"/>
        <w:ind w:left="2160"/>
        <w:jc w:val="both"/>
        <w:rPr>
          <w:rFonts w:ascii="Arial" w:hAnsi="Arial" w:cs="Arial"/>
          <w:sz w:val="20"/>
          <w:szCs w:val="20"/>
        </w:rPr>
      </w:pPr>
    </w:p>
    <w:p w:rsidR="00945D8D" w:rsidRDefault="00945D8D" w:rsidP="00B03E50">
      <w:pPr>
        <w:spacing w:before="200"/>
        <w:ind w:left="2160"/>
        <w:jc w:val="both"/>
        <w:rPr>
          <w:rFonts w:ascii="Arial" w:hAnsi="Arial" w:cs="Arial"/>
          <w:sz w:val="20"/>
          <w:szCs w:val="20"/>
        </w:rPr>
      </w:pPr>
    </w:p>
    <w:p w:rsidR="00B03E50" w:rsidRPr="00B03E50" w:rsidRDefault="00B03E50" w:rsidP="00B03E50">
      <w:pPr>
        <w:spacing w:before="200"/>
        <w:ind w:left="720" w:firstLine="720"/>
        <w:jc w:val="both"/>
        <w:rPr>
          <w:rFonts w:ascii="Arial" w:hAnsi="Arial" w:cs="Arial"/>
          <w:sz w:val="20"/>
          <w:szCs w:val="20"/>
        </w:rPr>
      </w:pPr>
      <w:r w:rsidRPr="00B03E50">
        <w:rPr>
          <w:rFonts w:ascii="Arial" w:hAnsi="Arial" w:cs="Arial"/>
          <w:b/>
          <w:sz w:val="20"/>
          <w:szCs w:val="20"/>
        </w:rPr>
        <w:lastRenderedPageBreak/>
        <w:t>(4)</w:t>
      </w:r>
      <w:r w:rsidRPr="00B03E50">
        <w:rPr>
          <w:rFonts w:ascii="Arial" w:hAnsi="Arial" w:cs="Arial"/>
          <w:b/>
          <w:sz w:val="20"/>
          <w:szCs w:val="20"/>
        </w:rPr>
        <w:tab/>
        <w:t>Efficient Heating and Cooling Equipment Upgrade Coverage</w:t>
      </w:r>
    </w:p>
    <w:p w:rsidR="00B03E50" w:rsidRDefault="00B03E50" w:rsidP="00B03E50">
      <w:pPr>
        <w:spacing w:before="200"/>
        <w:ind w:left="2160"/>
        <w:jc w:val="both"/>
        <w:rPr>
          <w:rFonts w:ascii="Arial" w:hAnsi="Arial" w:cs="Arial"/>
          <w:sz w:val="20"/>
          <w:szCs w:val="20"/>
        </w:rPr>
      </w:pPr>
      <w:r w:rsidRPr="00B03E50">
        <w:rPr>
          <w:rFonts w:ascii="Arial" w:hAnsi="Arial" w:cs="Arial"/>
          <w:sz w:val="20"/>
          <w:szCs w:val="20"/>
        </w:rPr>
        <w:t xml:space="preserve">“Heating and cooling equipment” </w:t>
      </w:r>
      <w:r w:rsidRPr="00B03E50">
        <w:rPr>
          <w:rFonts w:ascii="Arial" w:hAnsi="Arial" w:cs="Arial"/>
          <w:color w:val="000000"/>
          <w:sz w:val="20"/>
          <w:szCs w:val="20"/>
        </w:rPr>
        <w:t xml:space="preserve">with products of like kind and quality that have been identified as “ENERGY STAR” </w:t>
      </w:r>
      <w:r w:rsidRPr="00B03E50">
        <w:rPr>
          <w:rFonts w:ascii="Arial" w:hAnsi="Arial" w:cs="Arial"/>
          <w:sz w:val="20"/>
          <w:szCs w:val="20"/>
        </w:rPr>
        <w:t>or equivalent products of such energy efficiency</w:t>
      </w:r>
      <w:r w:rsidRPr="00B03E50">
        <w:rPr>
          <w:rFonts w:ascii="Arial" w:hAnsi="Arial" w:cs="Arial"/>
          <w:color w:val="000000"/>
          <w:sz w:val="20"/>
          <w:szCs w:val="20"/>
        </w:rPr>
        <w:t xml:space="preserve">.  </w:t>
      </w:r>
      <w:r w:rsidRPr="00B03E50">
        <w:rPr>
          <w:rFonts w:ascii="Arial" w:hAnsi="Arial" w:cs="Arial"/>
          <w:sz w:val="20"/>
          <w:szCs w:val="20"/>
        </w:rPr>
        <w:t>If there are no such products available at the time of the loss, this upgrade to green coverage does not apply.</w:t>
      </w:r>
    </w:p>
    <w:p w:rsidR="00B03E50" w:rsidRPr="00B03E50" w:rsidRDefault="00B03E50" w:rsidP="00B03E50">
      <w:pPr>
        <w:spacing w:before="220"/>
        <w:ind w:left="1440"/>
        <w:jc w:val="both"/>
        <w:rPr>
          <w:rFonts w:ascii="Arial" w:hAnsi="Arial" w:cs="Arial"/>
          <w:sz w:val="20"/>
          <w:szCs w:val="20"/>
        </w:rPr>
      </w:pPr>
      <w:r w:rsidRPr="00B03E50">
        <w:rPr>
          <w:rFonts w:ascii="Arial" w:hAnsi="Arial" w:cs="Arial"/>
          <w:b/>
          <w:sz w:val="20"/>
          <w:szCs w:val="20"/>
        </w:rPr>
        <w:t>5)</w:t>
      </w:r>
      <w:r w:rsidRPr="00B03E50">
        <w:rPr>
          <w:rFonts w:ascii="Arial" w:hAnsi="Arial" w:cs="Arial"/>
          <w:b/>
          <w:sz w:val="20"/>
          <w:szCs w:val="20"/>
        </w:rPr>
        <w:tab/>
        <w:t>Building Reconstruction Following Total Loss</w:t>
      </w:r>
    </w:p>
    <w:p w:rsidR="00B03E50" w:rsidRPr="00B03E50" w:rsidRDefault="00B03E50" w:rsidP="00B03E50">
      <w:pPr>
        <w:numPr>
          <w:ilvl w:val="3"/>
          <w:numId w:val="1"/>
        </w:numPr>
        <w:tabs>
          <w:tab w:val="left" w:pos="720"/>
        </w:tabs>
        <w:spacing w:before="220"/>
        <w:jc w:val="both"/>
        <w:rPr>
          <w:rFonts w:ascii="Arial" w:hAnsi="Arial" w:cs="Arial"/>
          <w:sz w:val="20"/>
          <w:szCs w:val="20"/>
        </w:rPr>
      </w:pPr>
      <w:r w:rsidRPr="00B03E50">
        <w:rPr>
          <w:rFonts w:ascii="Arial" w:hAnsi="Arial" w:cs="Arial"/>
          <w:sz w:val="20"/>
          <w:szCs w:val="20"/>
        </w:rPr>
        <w:t>Solely with respect to a</w:t>
      </w:r>
      <w:r w:rsidRPr="00B03E50">
        <w:rPr>
          <w:rFonts w:ascii="Arial" w:hAnsi="Arial" w:cs="Arial"/>
          <w:b/>
          <w:sz w:val="20"/>
          <w:szCs w:val="20"/>
        </w:rPr>
        <w:t xml:space="preserve"> “</w:t>
      </w:r>
      <w:r w:rsidRPr="00B03E50">
        <w:rPr>
          <w:rFonts w:ascii="Arial" w:hAnsi="Arial" w:cs="Arial"/>
          <w:sz w:val="20"/>
          <w:szCs w:val="20"/>
        </w:rPr>
        <w:t>Total Loss” to a building, we</w:t>
      </w:r>
      <w:r w:rsidRPr="00B03E50">
        <w:rPr>
          <w:rFonts w:ascii="Arial" w:hAnsi="Arial" w:cs="Arial"/>
          <w:b/>
          <w:sz w:val="20"/>
          <w:szCs w:val="20"/>
        </w:rPr>
        <w:t xml:space="preserve"> </w:t>
      </w:r>
      <w:r w:rsidRPr="00B03E50">
        <w:rPr>
          <w:rFonts w:ascii="Arial" w:hAnsi="Arial" w:cs="Arial"/>
          <w:sz w:val="20"/>
          <w:szCs w:val="20"/>
        </w:rPr>
        <w:t>will pay to replace the building on its existing foundation using the most cost effective techniques, products and materials that should satisfy the prerequisites and earn the minimum number of points required to qualify for LEED Silver certification using the LEED New Construction (LEED NC</w:t>
      </w:r>
      <w:r w:rsidRPr="00B03E50">
        <w:rPr>
          <w:rFonts w:ascii="Arial" w:hAnsi="Arial" w:cs="Arial"/>
          <w:sz w:val="20"/>
          <w:szCs w:val="20"/>
          <w:vertAlign w:val="superscript"/>
        </w:rPr>
        <w:t>®</w:t>
      </w:r>
      <w:r w:rsidRPr="00B03E50">
        <w:rPr>
          <w:rFonts w:ascii="Arial" w:hAnsi="Arial" w:cs="Arial"/>
          <w:sz w:val="20"/>
          <w:szCs w:val="20"/>
        </w:rPr>
        <w:t>) Rating System.</w:t>
      </w:r>
    </w:p>
    <w:p w:rsidR="00B03E50" w:rsidRPr="00B03E50" w:rsidRDefault="00B03E50" w:rsidP="00B03E50">
      <w:pPr>
        <w:numPr>
          <w:ilvl w:val="3"/>
          <w:numId w:val="1"/>
        </w:numPr>
        <w:tabs>
          <w:tab w:val="left" w:pos="720"/>
        </w:tabs>
        <w:spacing w:before="220"/>
        <w:jc w:val="both"/>
        <w:rPr>
          <w:rFonts w:ascii="Arial" w:hAnsi="Arial" w:cs="Arial"/>
          <w:b/>
          <w:sz w:val="20"/>
          <w:szCs w:val="20"/>
        </w:rPr>
      </w:pPr>
      <w:r w:rsidRPr="00B03E50">
        <w:rPr>
          <w:rFonts w:ascii="Arial" w:hAnsi="Arial" w:cs="Arial"/>
          <w:b/>
          <w:sz w:val="20"/>
          <w:szCs w:val="20"/>
        </w:rPr>
        <w:t>Certification Expenses</w:t>
      </w:r>
    </w:p>
    <w:p w:rsidR="00B03E50" w:rsidRPr="00B03E50" w:rsidRDefault="00B03E50" w:rsidP="00B03E50">
      <w:pPr>
        <w:numPr>
          <w:ilvl w:val="4"/>
          <w:numId w:val="1"/>
        </w:numPr>
        <w:tabs>
          <w:tab w:val="left" w:pos="720"/>
        </w:tabs>
        <w:spacing w:before="220"/>
        <w:jc w:val="both"/>
        <w:rPr>
          <w:rFonts w:ascii="Arial" w:hAnsi="Arial" w:cs="Arial"/>
          <w:sz w:val="20"/>
          <w:szCs w:val="20"/>
        </w:rPr>
      </w:pPr>
      <w:r w:rsidRPr="00B03E50">
        <w:rPr>
          <w:rFonts w:ascii="Arial" w:hAnsi="Arial" w:cs="Arial"/>
          <w:sz w:val="20"/>
          <w:szCs w:val="20"/>
        </w:rPr>
        <w:t>We</w:t>
      </w:r>
      <w:r w:rsidRPr="00B03E50">
        <w:rPr>
          <w:rFonts w:ascii="Arial" w:hAnsi="Arial" w:cs="Arial"/>
          <w:b/>
          <w:sz w:val="20"/>
          <w:szCs w:val="20"/>
        </w:rPr>
        <w:t xml:space="preserve"> </w:t>
      </w:r>
      <w:r w:rsidRPr="00B03E50">
        <w:rPr>
          <w:rFonts w:ascii="Arial" w:hAnsi="Arial" w:cs="Arial"/>
          <w:sz w:val="20"/>
          <w:szCs w:val="20"/>
        </w:rPr>
        <w:t>will pay the reasonable and necessary registration and certification fees charged by the United States Green Building Council (USGBC) that you incur should you decide to seek LEED Silver certification.  However, we will not pay to modify the reconstructed structure if it is not certified.</w:t>
      </w:r>
    </w:p>
    <w:p w:rsidR="00B03E50" w:rsidRDefault="00B03E50" w:rsidP="00B03E50">
      <w:pPr>
        <w:numPr>
          <w:ilvl w:val="4"/>
          <w:numId w:val="1"/>
        </w:numPr>
        <w:tabs>
          <w:tab w:val="left" w:pos="720"/>
        </w:tabs>
        <w:spacing w:before="220"/>
        <w:jc w:val="both"/>
        <w:rPr>
          <w:rFonts w:ascii="Arial" w:hAnsi="Arial" w:cs="Arial"/>
          <w:sz w:val="20"/>
          <w:szCs w:val="20"/>
        </w:rPr>
      </w:pPr>
      <w:r w:rsidRPr="00B03E50">
        <w:rPr>
          <w:rFonts w:ascii="Arial" w:hAnsi="Arial" w:cs="Arial"/>
          <w:sz w:val="20"/>
          <w:szCs w:val="20"/>
        </w:rPr>
        <w:t>The Sublimit of Insurance for this coverage is $25,000.</w:t>
      </w:r>
    </w:p>
    <w:p w:rsidR="0087372E" w:rsidRPr="00B03E50" w:rsidRDefault="0087372E" w:rsidP="0087372E">
      <w:pPr>
        <w:spacing w:before="220"/>
        <w:ind w:left="2880"/>
        <w:jc w:val="both"/>
        <w:rPr>
          <w:rFonts w:ascii="Arial" w:hAnsi="Arial" w:cs="Arial"/>
          <w:sz w:val="20"/>
          <w:szCs w:val="20"/>
        </w:rPr>
      </w:pPr>
    </w:p>
    <w:p w:rsidR="00B03E50" w:rsidRPr="00B03E50" w:rsidRDefault="00B03E50" w:rsidP="00B03E50">
      <w:pPr>
        <w:numPr>
          <w:ilvl w:val="0"/>
          <w:numId w:val="1"/>
        </w:numPr>
        <w:tabs>
          <w:tab w:val="left" w:pos="720"/>
        </w:tabs>
        <w:spacing w:before="220"/>
        <w:jc w:val="both"/>
        <w:rPr>
          <w:rFonts w:ascii="Arial" w:hAnsi="Arial" w:cs="Arial"/>
          <w:b/>
          <w:sz w:val="20"/>
          <w:szCs w:val="20"/>
        </w:rPr>
      </w:pPr>
      <w:r w:rsidRPr="00B03E50">
        <w:rPr>
          <w:rFonts w:ascii="Arial" w:hAnsi="Arial" w:cs="Arial"/>
          <w:b/>
          <w:sz w:val="20"/>
          <w:szCs w:val="20"/>
        </w:rPr>
        <w:t>COVERAGE SECTION B:  LEED CERTIFIED COVERAGE</w:t>
      </w:r>
    </w:p>
    <w:p w:rsidR="00B03E50" w:rsidRPr="00B03E50" w:rsidRDefault="00B03E50" w:rsidP="00B03E50">
      <w:pPr>
        <w:spacing w:before="220"/>
        <w:ind w:left="720"/>
        <w:jc w:val="both"/>
        <w:rPr>
          <w:rFonts w:ascii="Arial" w:hAnsi="Arial" w:cs="Arial"/>
          <w:sz w:val="20"/>
          <w:szCs w:val="20"/>
        </w:rPr>
      </w:pPr>
      <w:r w:rsidRPr="00B03E50">
        <w:rPr>
          <w:rFonts w:ascii="Arial" w:hAnsi="Arial" w:cs="Arial"/>
          <w:sz w:val="20"/>
          <w:szCs w:val="20"/>
        </w:rPr>
        <w:t>In addition to all Coverages provided in Coverage Section A (with the exception of 2.B.(5) Building Reconstruction Following a Total Loss) and in the event of direct physical loss or damage by a Covered Cause of Loss to a building that is LEED certified at the time of the loss, or to the personal property within such building, we</w:t>
      </w:r>
      <w:r w:rsidRPr="00B03E50" w:rsidDel="002541E5">
        <w:rPr>
          <w:rFonts w:ascii="Arial" w:hAnsi="Arial" w:cs="Arial"/>
          <w:sz w:val="20"/>
          <w:szCs w:val="20"/>
        </w:rPr>
        <w:t xml:space="preserve"> </w:t>
      </w:r>
      <w:r w:rsidRPr="00B03E50">
        <w:rPr>
          <w:rFonts w:ascii="Arial" w:hAnsi="Arial" w:cs="Arial"/>
          <w:sz w:val="20"/>
          <w:szCs w:val="20"/>
        </w:rPr>
        <w:t>will pay to repair or replace damaged or destroyed:</w:t>
      </w:r>
    </w:p>
    <w:p w:rsidR="00B03E50" w:rsidRPr="00B03E50" w:rsidRDefault="00B03E50" w:rsidP="00B03E50">
      <w:pPr>
        <w:numPr>
          <w:ilvl w:val="1"/>
          <w:numId w:val="1"/>
        </w:numPr>
        <w:tabs>
          <w:tab w:val="left" w:pos="720"/>
        </w:tabs>
        <w:spacing w:before="220"/>
        <w:jc w:val="both"/>
        <w:rPr>
          <w:rFonts w:ascii="Arial" w:hAnsi="Arial" w:cs="Arial"/>
          <w:b/>
          <w:sz w:val="20"/>
          <w:szCs w:val="20"/>
        </w:rPr>
      </w:pPr>
      <w:r w:rsidRPr="00B03E50">
        <w:rPr>
          <w:rFonts w:ascii="Arial" w:hAnsi="Arial" w:cs="Arial"/>
          <w:b/>
          <w:sz w:val="20"/>
          <w:szCs w:val="20"/>
        </w:rPr>
        <w:t>Loss Settlement for Trees, Shrubs, and Vegetative Roofs</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Trees and shrubs planted specifically to secure the Heat Island Effect: Non-Roof point as described in LEED NC.  For the purposes of this coverage only, notwithstanding any other provision of the policy to the contrary, trees and shrubs are Covered Property.  The sublimit of insurance for this coverage is $3,000 per tree or $3,000 per shrub up to a maximum of $25,000.</w:t>
      </w:r>
    </w:p>
    <w:p w:rsid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Vegetative roofs on LEED</w:t>
      </w:r>
      <w:r w:rsidRPr="00B03E50">
        <w:rPr>
          <w:rFonts w:ascii="Arial" w:hAnsi="Arial" w:cs="Arial"/>
          <w:sz w:val="20"/>
          <w:szCs w:val="20"/>
          <w:vertAlign w:val="superscript"/>
        </w:rPr>
        <w:t xml:space="preserve"> </w:t>
      </w:r>
      <w:r w:rsidRPr="00B03E50">
        <w:rPr>
          <w:rFonts w:ascii="Arial" w:hAnsi="Arial" w:cs="Arial"/>
          <w:sz w:val="20"/>
          <w:szCs w:val="20"/>
        </w:rPr>
        <w:t>certified buildings.  Notwithstanding any other provision of the policy to the contrary, vegetative roofs are Covered Property.</w:t>
      </w:r>
    </w:p>
    <w:p w:rsidR="0087372E" w:rsidRDefault="0087372E" w:rsidP="0087372E">
      <w:pPr>
        <w:spacing w:before="220"/>
        <w:jc w:val="both"/>
        <w:rPr>
          <w:rFonts w:ascii="Arial" w:hAnsi="Arial" w:cs="Arial"/>
          <w:sz w:val="20"/>
          <w:szCs w:val="20"/>
        </w:rPr>
      </w:pPr>
    </w:p>
    <w:p w:rsidR="0087372E" w:rsidRDefault="0087372E" w:rsidP="0087372E">
      <w:pPr>
        <w:spacing w:before="220"/>
        <w:jc w:val="both"/>
        <w:rPr>
          <w:rFonts w:ascii="Arial" w:hAnsi="Arial" w:cs="Arial"/>
          <w:sz w:val="20"/>
          <w:szCs w:val="20"/>
        </w:rPr>
      </w:pPr>
    </w:p>
    <w:p w:rsidR="0008450A" w:rsidRDefault="0008450A" w:rsidP="0087372E">
      <w:pPr>
        <w:spacing w:before="220"/>
        <w:jc w:val="both"/>
        <w:rPr>
          <w:rFonts w:ascii="Arial" w:hAnsi="Arial" w:cs="Arial"/>
          <w:sz w:val="20"/>
          <w:szCs w:val="20"/>
        </w:rPr>
      </w:pPr>
    </w:p>
    <w:p w:rsidR="0087372E" w:rsidRDefault="0087372E" w:rsidP="0087372E">
      <w:pPr>
        <w:spacing w:before="220"/>
        <w:jc w:val="both"/>
        <w:rPr>
          <w:rFonts w:ascii="Arial" w:hAnsi="Arial" w:cs="Arial"/>
          <w:sz w:val="20"/>
          <w:szCs w:val="20"/>
        </w:rPr>
      </w:pPr>
    </w:p>
    <w:p w:rsidR="0087372E" w:rsidRPr="00B03E50" w:rsidRDefault="0087372E" w:rsidP="0087372E">
      <w:pPr>
        <w:spacing w:before="220"/>
        <w:jc w:val="both"/>
        <w:rPr>
          <w:rFonts w:ascii="Arial" w:hAnsi="Arial" w:cs="Arial"/>
          <w:sz w:val="20"/>
          <w:szCs w:val="20"/>
        </w:rPr>
      </w:pPr>
    </w:p>
    <w:p w:rsidR="00B03E50" w:rsidRPr="00B03E50" w:rsidRDefault="00B03E50" w:rsidP="00B03E50">
      <w:pPr>
        <w:numPr>
          <w:ilvl w:val="1"/>
          <w:numId w:val="1"/>
        </w:numPr>
        <w:tabs>
          <w:tab w:val="left" w:pos="720"/>
        </w:tabs>
        <w:spacing w:before="220"/>
        <w:jc w:val="both"/>
        <w:rPr>
          <w:rFonts w:ascii="Arial" w:hAnsi="Arial" w:cs="Arial"/>
          <w:b/>
          <w:sz w:val="20"/>
          <w:szCs w:val="20"/>
        </w:rPr>
      </w:pPr>
      <w:r w:rsidRPr="00B03E50">
        <w:rPr>
          <w:rFonts w:ascii="Arial" w:hAnsi="Arial" w:cs="Arial"/>
          <w:b/>
          <w:sz w:val="20"/>
          <w:szCs w:val="20"/>
        </w:rPr>
        <w:t>Loss Settlement for Your Building</w:t>
      </w:r>
    </w:p>
    <w:p w:rsidR="00B03E50" w:rsidRPr="00B03E50" w:rsidRDefault="00B03E50" w:rsidP="00B03E50">
      <w:pPr>
        <w:numPr>
          <w:ilvl w:val="2"/>
          <w:numId w:val="1"/>
        </w:numPr>
        <w:tabs>
          <w:tab w:val="left" w:pos="720"/>
        </w:tabs>
        <w:spacing w:before="220"/>
        <w:jc w:val="both"/>
        <w:rPr>
          <w:rFonts w:ascii="Arial" w:hAnsi="Arial" w:cs="Arial"/>
          <w:b/>
          <w:sz w:val="20"/>
          <w:szCs w:val="20"/>
        </w:rPr>
      </w:pPr>
      <w:r w:rsidRPr="00B03E50">
        <w:rPr>
          <w:rFonts w:ascii="Arial" w:hAnsi="Arial" w:cs="Arial"/>
          <w:b/>
          <w:sz w:val="20"/>
          <w:szCs w:val="20"/>
        </w:rPr>
        <w:t>Recertification Expenses</w:t>
      </w:r>
    </w:p>
    <w:p w:rsidR="0087372E" w:rsidRPr="0087372E" w:rsidRDefault="00B03E50" w:rsidP="00B03E50">
      <w:pPr>
        <w:numPr>
          <w:ilvl w:val="3"/>
          <w:numId w:val="1"/>
        </w:numPr>
        <w:tabs>
          <w:tab w:val="left" w:pos="720"/>
        </w:tabs>
        <w:spacing w:before="220"/>
        <w:jc w:val="both"/>
        <w:rPr>
          <w:rFonts w:ascii="Arial" w:hAnsi="Arial" w:cs="Arial"/>
          <w:b/>
          <w:sz w:val="20"/>
          <w:szCs w:val="20"/>
        </w:rPr>
      </w:pPr>
      <w:r w:rsidRPr="0087372E">
        <w:rPr>
          <w:rFonts w:ascii="Arial" w:hAnsi="Arial" w:cs="Arial"/>
          <w:sz w:val="20"/>
          <w:szCs w:val="20"/>
        </w:rPr>
        <w:t>In the event of direct physical loss or damage by a Covered Cause of Loss that necessitates recertification of the damaged building, we</w:t>
      </w:r>
      <w:r w:rsidRPr="0087372E" w:rsidDel="002541E5">
        <w:rPr>
          <w:rFonts w:ascii="Arial" w:hAnsi="Arial" w:cs="Arial"/>
          <w:sz w:val="20"/>
          <w:szCs w:val="20"/>
        </w:rPr>
        <w:t xml:space="preserve"> </w:t>
      </w:r>
      <w:r w:rsidRPr="0087372E">
        <w:rPr>
          <w:rFonts w:ascii="Arial" w:hAnsi="Arial" w:cs="Arial"/>
          <w:sz w:val="20"/>
          <w:szCs w:val="20"/>
        </w:rPr>
        <w:t>will pay the reasonable and necessary registration and certification fees charged by the USGBC that you</w:t>
      </w:r>
      <w:r w:rsidRPr="0087372E" w:rsidDel="002541E5">
        <w:rPr>
          <w:rFonts w:ascii="Arial" w:hAnsi="Arial" w:cs="Arial"/>
          <w:sz w:val="20"/>
          <w:szCs w:val="20"/>
        </w:rPr>
        <w:t xml:space="preserve"> </w:t>
      </w:r>
      <w:r w:rsidRPr="0087372E">
        <w:rPr>
          <w:rFonts w:ascii="Arial" w:hAnsi="Arial" w:cs="Arial"/>
          <w:sz w:val="20"/>
          <w:szCs w:val="20"/>
        </w:rPr>
        <w:t>incur as a result of the recertification process.</w:t>
      </w:r>
    </w:p>
    <w:p w:rsidR="00B03E50" w:rsidRPr="0087372E" w:rsidRDefault="00B03E50" w:rsidP="00B03E50">
      <w:pPr>
        <w:numPr>
          <w:ilvl w:val="3"/>
          <w:numId w:val="1"/>
        </w:numPr>
        <w:tabs>
          <w:tab w:val="left" w:pos="720"/>
        </w:tabs>
        <w:spacing w:before="220"/>
        <w:jc w:val="both"/>
        <w:rPr>
          <w:rFonts w:ascii="Arial" w:hAnsi="Arial" w:cs="Arial"/>
          <w:b/>
          <w:sz w:val="20"/>
          <w:szCs w:val="20"/>
        </w:rPr>
      </w:pPr>
      <w:r w:rsidRPr="0087372E">
        <w:rPr>
          <w:rFonts w:ascii="Arial" w:hAnsi="Arial" w:cs="Arial"/>
          <w:sz w:val="20"/>
          <w:szCs w:val="20"/>
        </w:rPr>
        <w:t>The Sublimit of Insurance for this coverage is $25,000.</w:t>
      </w:r>
    </w:p>
    <w:p w:rsidR="00B03E50" w:rsidRPr="00B03E50" w:rsidRDefault="00B03E50" w:rsidP="00B03E50">
      <w:pPr>
        <w:numPr>
          <w:ilvl w:val="2"/>
          <w:numId w:val="1"/>
        </w:numPr>
        <w:spacing w:before="200"/>
        <w:jc w:val="both"/>
        <w:rPr>
          <w:rFonts w:ascii="Arial" w:hAnsi="Arial" w:cs="Arial"/>
          <w:b/>
          <w:sz w:val="20"/>
          <w:szCs w:val="20"/>
        </w:rPr>
      </w:pPr>
      <w:r w:rsidRPr="00B03E50">
        <w:rPr>
          <w:rFonts w:ascii="Arial" w:hAnsi="Arial" w:cs="Arial"/>
          <w:b/>
          <w:sz w:val="20"/>
          <w:szCs w:val="20"/>
        </w:rPr>
        <w:t>Building Reconstruction Following Total Loss</w:t>
      </w:r>
    </w:p>
    <w:p w:rsidR="00B03E50" w:rsidRPr="00B03E50" w:rsidRDefault="00B03E50" w:rsidP="00B03E50">
      <w:pPr>
        <w:numPr>
          <w:ilvl w:val="3"/>
          <w:numId w:val="1"/>
        </w:numPr>
        <w:tabs>
          <w:tab w:val="left" w:pos="720"/>
        </w:tabs>
        <w:spacing w:before="220"/>
        <w:jc w:val="both"/>
        <w:rPr>
          <w:rFonts w:ascii="Arial" w:hAnsi="Arial" w:cs="Arial"/>
          <w:sz w:val="20"/>
          <w:szCs w:val="20"/>
        </w:rPr>
      </w:pPr>
      <w:r w:rsidRPr="00B03E50">
        <w:rPr>
          <w:rFonts w:ascii="Arial" w:hAnsi="Arial" w:cs="Arial"/>
          <w:sz w:val="20"/>
          <w:szCs w:val="20"/>
        </w:rPr>
        <w:t>Solely with respect to a</w:t>
      </w:r>
      <w:r w:rsidRPr="00B03E50">
        <w:rPr>
          <w:rFonts w:ascii="Arial" w:hAnsi="Arial" w:cs="Arial"/>
          <w:b/>
          <w:sz w:val="20"/>
          <w:szCs w:val="20"/>
        </w:rPr>
        <w:t xml:space="preserve"> “</w:t>
      </w:r>
      <w:r w:rsidRPr="00B03E50">
        <w:rPr>
          <w:rFonts w:ascii="Arial" w:hAnsi="Arial" w:cs="Arial"/>
          <w:sz w:val="20"/>
          <w:szCs w:val="20"/>
        </w:rPr>
        <w:t>Total Loss” to a building that is LEED certified at the time of the loss, we</w:t>
      </w:r>
      <w:r w:rsidRPr="00B03E50" w:rsidDel="002541E5">
        <w:rPr>
          <w:rFonts w:ascii="Arial" w:hAnsi="Arial" w:cs="Arial"/>
          <w:sz w:val="20"/>
          <w:szCs w:val="20"/>
        </w:rPr>
        <w:t xml:space="preserve"> </w:t>
      </w:r>
      <w:r w:rsidRPr="00B03E50">
        <w:rPr>
          <w:rFonts w:ascii="Arial" w:hAnsi="Arial" w:cs="Arial"/>
          <w:sz w:val="20"/>
          <w:szCs w:val="20"/>
        </w:rPr>
        <w:t>will pay to replace the building on its existing foundation using the most cost effective techniques, products and materials that would satisfy the prerequisites and should earn the minimum number of points required to qualify for LEED</w:t>
      </w:r>
      <w:r w:rsidRPr="00B03E50">
        <w:rPr>
          <w:rFonts w:ascii="Arial" w:hAnsi="Arial" w:cs="Arial"/>
          <w:sz w:val="20"/>
          <w:szCs w:val="20"/>
          <w:vertAlign w:val="superscript"/>
        </w:rPr>
        <w:t xml:space="preserve"> </w:t>
      </w:r>
      <w:r w:rsidRPr="00B03E50">
        <w:rPr>
          <w:rFonts w:ascii="Arial" w:hAnsi="Arial" w:cs="Arial"/>
          <w:sz w:val="20"/>
          <w:szCs w:val="20"/>
        </w:rPr>
        <w:t>certification at one level above the certification in effect at the time of the loss using the LEED</w:t>
      </w:r>
      <w:r w:rsidRPr="00B03E50">
        <w:rPr>
          <w:rFonts w:ascii="Arial" w:hAnsi="Arial" w:cs="Arial"/>
          <w:sz w:val="20"/>
          <w:szCs w:val="20"/>
          <w:vertAlign w:val="superscript"/>
        </w:rPr>
        <w:t xml:space="preserve"> </w:t>
      </w:r>
      <w:r w:rsidRPr="00B03E50">
        <w:rPr>
          <w:rFonts w:ascii="Arial" w:hAnsi="Arial" w:cs="Arial"/>
          <w:sz w:val="20"/>
          <w:szCs w:val="20"/>
        </w:rPr>
        <w:t>NC Rating System.</w:t>
      </w:r>
    </w:p>
    <w:p w:rsidR="00B03E50" w:rsidRPr="00B03E50" w:rsidRDefault="00B03E50" w:rsidP="00B03E50">
      <w:pPr>
        <w:numPr>
          <w:ilvl w:val="3"/>
          <w:numId w:val="1"/>
        </w:numPr>
        <w:tabs>
          <w:tab w:val="left" w:pos="720"/>
        </w:tabs>
        <w:spacing w:before="220"/>
        <w:jc w:val="both"/>
        <w:rPr>
          <w:rFonts w:ascii="Arial" w:hAnsi="Arial" w:cs="Arial"/>
          <w:b/>
          <w:sz w:val="20"/>
          <w:szCs w:val="20"/>
        </w:rPr>
      </w:pPr>
      <w:r w:rsidRPr="00B03E50">
        <w:rPr>
          <w:rFonts w:ascii="Arial" w:hAnsi="Arial" w:cs="Arial"/>
          <w:b/>
          <w:sz w:val="20"/>
          <w:szCs w:val="20"/>
        </w:rPr>
        <w:t>Certification Expenses</w:t>
      </w:r>
    </w:p>
    <w:p w:rsidR="00B03E50" w:rsidRPr="00B03E50" w:rsidRDefault="00B03E50" w:rsidP="00B03E50">
      <w:pPr>
        <w:numPr>
          <w:ilvl w:val="4"/>
          <w:numId w:val="1"/>
        </w:numPr>
        <w:tabs>
          <w:tab w:val="left" w:pos="720"/>
        </w:tabs>
        <w:spacing w:before="220"/>
        <w:jc w:val="both"/>
        <w:rPr>
          <w:rFonts w:ascii="Arial" w:hAnsi="Arial" w:cs="Arial"/>
          <w:b/>
          <w:sz w:val="20"/>
          <w:szCs w:val="20"/>
        </w:rPr>
      </w:pPr>
      <w:r w:rsidRPr="00B03E50">
        <w:rPr>
          <w:rFonts w:ascii="Arial" w:hAnsi="Arial" w:cs="Arial"/>
          <w:sz w:val="20"/>
          <w:szCs w:val="20"/>
        </w:rPr>
        <w:t>We</w:t>
      </w:r>
      <w:r w:rsidRPr="00B03E50" w:rsidDel="002541E5">
        <w:rPr>
          <w:rFonts w:ascii="Arial" w:hAnsi="Arial" w:cs="Arial"/>
          <w:sz w:val="20"/>
          <w:szCs w:val="20"/>
        </w:rPr>
        <w:t xml:space="preserve"> </w:t>
      </w:r>
      <w:r w:rsidRPr="00B03E50">
        <w:rPr>
          <w:rFonts w:ascii="Arial" w:hAnsi="Arial" w:cs="Arial"/>
          <w:sz w:val="20"/>
          <w:szCs w:val="20"/>
        </w:rPr>
        <w:t>will pay the reasonable and necessary registration and certification fees charged by the USGBC that you incur should you decide to seek LEED</w:t>
      </w:r>
      <w:r w:rsidRPr="00B03E50">
        <w:rPr>
          <w:rFonts w:ascii="Arial" w:hAnsi="Arial" w:cs="Arial"/>
          <w:sz w:val="20"/>
          <w:szCs w:val="20"/>
          <w:vertAlign w:val="superscript"/>
        </w:rPr>
        <w:t xml:space="preserve"> </w:t>
      </w:r>
      <w:r w:rsidRPr="00B03E50">
        <w:rPr>
          <w:rFonts w:ascii="Arial" w:hAnsi="Arial" w:cs="Arial"/>
          <w:sz w:val="20"/>
          <w:szCs w:val="20"/>
        </w:rPr>
        <w:t>certification.  However, we will not pay to modify the reconstructed structure if it is not certified.</w:t>
      </w:r>
    </w:p>
    <w:p w:rsidR="00B03E50" w:rsidRPr="00B03E50" w:rsidRDefault="00B03E50" w:rsidP="00B03E50">
      <w:pPr>
        <w:numPr>
          <w:ilvl w:val="4"/>
          <w:numId w:val="1"/>
        </w:numPr>
        <w:tabs>
          <w:tab w:val="left" w:pos="720"/>
        </w:tabs>
        <w:spacing w:before="220"/>
        <w:jc w:val="both"/>
        <w:rPr>
          <w:rFonts w:ascii="Arial" w:hAnsi="Arial" w:cs="Arial"/>
          <w:b/>
          <w:sz w:val="20"/>
          <w:szCs w:val="20"/>
        </w:rPr>
      </w:pPr>
      <w:r w:rsidRPr="00B03E50">
        <w:rPr>
          <w:rFonts w:ascii="Arial" w:hAnsi="Arial" w:cs="Arial"/>
          <w:sz w:val="20"/>
          <w:szCs w:val="20"/>
        </w:rPr>
        <w:t>The Sublimit of Insurance for this coverage is $25,000.</w:t>
      </w:r>
    </w:p>
    <w:p w:rsidR="00B03E50" w:rsidRPr="00B03E50" w:rsidRDefault="00B03E50" w:rsidP="00B03E50">
      <w:pPr>
        <w:numPr>
          <w:ilvl w:val="1"/>
          <w:numId w:val="1"/>
        </w:numPr>
        <w:tabs>
          <w:tab w:val="left" w:pos="720"/>
        </w:tabs>
        <w:spacing w:before="220"/>
        <w:jc w:val="both"/>
        <w:rPr>
          <w:rFonts w:ascii="Arial" w:hAnsi="Arial" w:cs="Arial"/>
          <w:b/>
          <w:sz w:val="20"/>
          <w:szCs w:val="20"/>
        </w:rPr>
      </w:pPr>
      <w:r w:rsidRPr="00B03E50">
        <w:rPr>
          <w:rFonts w:ascii="Arial" w:hAnsi="Arial" w:cs="Arial"/>
          <w:b/>
          <w:sz w:val="20"/>
          <w:szCs w:val="20"/>
        </w:rPr>
        <w:t>Loss Settlement for Alternative Water System</w:t>
      </w:r>
    </w:p>
    <w:p w:rsidR="00B03E50" w:rsidRPr="00B03E50" w:rsidRDefault="00B03E50" w:rsidP="00B03E50">
      <w:pPr>
        <w:spacing w:before="220"/>
        <w:ind w:left="1440"/>
        <w:jc w:val="both"/>
        <w:rPr>
          <w:rFonts w:ascii="Arial" w:hAnsi="Arial" w:cs="Arial"/>
          <w:sz w:val="20"/>
          <w:szCs w:val="20"/>
        </w:rPr>
      </w:pPr>
      <w:r w:rsidRPr="00B03E50">
        <w:rPr>
          <w:rFonts w:ascii="Arial" w:hAnsi="Arial" w:cs="Arial"/>
          <w:sz w:val="20"/>
          <w:szCs w:val="20"/>
        </w:rPr>
        <w:t>Notwithstanding any policy provisions to the contrary, building coverage is extended to include your “Alternative Water System”.</w:t>
      </w:r>
    </w:p>
    <w:p w:rsidR="00B03E50" w:rsidRPr="00B03E50" w:rsidRDefault="00B03E50" w:rsidP="00B03E50">
      <w:pPr>
        <w:numPr>
          <w:ilvl w:val="0"/>
          <w:numId w:val="1"/>
        </w:numPr>
        <w:tabs>
          <w:tab w:val="left" w:pos="720"/>
        </w:tabs>
        <w:spacing w:before="220"/>
        <w:jc w:val="both"/>
        <w:rPr>
          <w:rFonts w:ascii="Arial" w:hAnsi="Arial" w:cs="Arial"/>
          <w:b/>
          <w:sz w:val="20"/>
          <w:szCs w:val="20"/>
        </w:rPr>
      </w:pPr>
      <w:r w:rsidRPr="00B03E50">
        <w:rPr>
          <w:rFonts w:ascii="Arial" w:hAnsi="Arial" w:cs="Arial"/>
          <w:b/>
          <w:sz w:val="20"/>
          <w:szCs w:val="20"/>
        </w:rPr>
        <w:t>COVERAGES INCLUDED WITHIN COVERAGE SECTIONS A OR B AND APPLICABLE TO LEED</w:t>
      </w:r>
      <w:r w:rsidRPr="00B03E50">
        <w:rPr>
          <w:rFonts w:ascii="Arial" w:hAnsi="Arial" w:cs="Arial"/>
          <w:b/>
          <w:sz w:val="20"/>
          <w:szCs w:val="20"/>
          <w:vertAlign w:val="superscript"/>
        </w:rPr>
        <w:t>®</w:t>
      </w:r>
      <w:r w:rsidRPr="00B03E50">
        <w:rPr>
          <w:rFonts w:ascii="Arial" w:hAnsi="Arial" w:cs="Arial"/>
          <w:b/>
          <w:sz w:val="20"/>
          <w:szCs w:val="20"/>
        </w:rPr>
        <w:t xml:space="preserve"> AND NON-LEED</w:t>
      </w:r>
      <w:r w:rsidRPr="00B03E50">
        <w:rPr>
          <w:rFonts w:ascii="Arial" w:hAnsi="Arial" w:cs="Arial"/>
          <w:b/>
          <w:sz w:val="20"/>
          <w:szCs w:val="20"/>
          <w:vertAlign w:val="superscript"/>
        </w:rPr>
        <w:t>®</w:t>
      </w:r>
      <w:r w:rsidRPr="00B03E50">
        <w:rPr>
          <w:rFonts w:ascii="Arial" w:hAnsi="Arial" w:cs="Arial"/>
          <w:b/>
          <w:sz w:val="20"/>
          <w:szCs w:val="20"/>
        </w:rPr>
        <w:t xml:space="preserve"> CERTIFIED BUILDINGS</w:t>
      </w:r>
    </w:p>
    <w:p w:rsidR="00B03E50" w:rsidRPr="00B03E50" w:rsidRDefault="00B03E50" w:rsidP="00B03E50">
      <w:pPr>
        <w:spacing w:before="220"/>
        <w:ind w:left="720"/>
        <w:jc w:val="both"/>
        <w:rPr>
          <w:rFonts w:ascii="Arial" w:hAnsi="Arial" w:cs="Arial"/>
          <w:sz w:val="20"/>
          <w:szCs w:val="20"/>
        </w:rPr>
      </w:pPr>
      <w:r w:rsidRPr="00B03E50">
        <w:rPr>
          <w:rFonts w:ascii="Arial" w:hAnsi="Arial" w:cs="Arial"/>
          <w:sz w:val="20"/>
          <w:szCs w:val="20"/>
        </w:rPr>
        <w:t>In the event of direct physical loss or damage by a Covered Cause of Loss to a LEED or Non-LEED certified building:</w:t>
      </w:r>
    </w:p>
    <w:p w:rsidR="00B03E50" w:rsidRPr="00B03E50" w:rsidRDefault="00B03E50" w:rsidP="00B03E50">
      <w:pPr>
        <w:numPr>
          <w:ilvl w:val="1"/>
          <w:numId w:val="1"/>
        </w:numPr>
        <w:tabs>
          <w:tab w:val="left" w:pos="720"/>
        </w:tabs>
        <w:spacing w:before="220"/>
        <w:jc w:val="both"/>
        <w:rPr>
          <w:rFonts w:ascii="Arial" w:hAnsi="Arial" w:cs="Arial"/>
          <w:b/>
          <w:sz w:val="20"/>
          <w:szCs w:val="20"/>
        </w:rPr>
      </w:pPr>
      <w:r w:rsidRPr="00B03E50">
        <w:rPr>
          <w:rFonts w:ascii="Arial" w:hAnsi="Arial" w:cs="Arial"/>
          <w:b/>
          <w:sz w:val="20"/>
          <w:szCs w:val="20"/>
        </w:rPr>
        <w:t>Recycling Expenses</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We</w:t>
      </w:r>
      <w:r w:rsidRPr="00B03E50" w:rsidDel="002541E5">
        <w:rPr>
          <w:rFonts w:ascii="Arial" w:hAnsi="Arial" w:cs="Arial"/>
          <w:sz w:val="20"/>
          <w:szCs w:val="20"/>
        </w:rPr>
        <w:t xml:space="preserve"> </w:t>
      </w:r>
      <w:r w:rsidRPr="00B03E50">
        <w:rPr>
          <w:rFonts w:ascii="Arial" w:hAnsi="Arial" w:cs="Arial"/>
          <w:sz w:val="20"/>
          <w:szCs w:val="20"/>
        </w:rPr>
        <w:t>will pay your</w:t>
      </w:r>
      <w:r w:rsidRPr="00B03E50" w:rsidDel="002541E5">
        <w:rPr>
          <w:rFonts w:ascii="Arial" w:hAnsi="Arial" w:cs="Arial"/>
          <w:sz w:val="20"/>
          <w:szCs w:val="20"/>
        </w:rPr>
        <w:t xml:space="preserve"> </w:t>
      </w:r>
      <w:r w:rsidRPr="00B03E50">
        <w:rPr>
          <w:rFonts w:ascii="Arial" w:hAnsi="Arial" w:cs="Arial"/>
          <w:sz w:val="20"/>
          <w:szCs w:val="20"/>
        </w:rPr>
        <w:t>expenses to clean-up, sort, segregate, and transport debris from your</w:t>
      </w:r>
      <w:r w:rsidRPr="00B03E50" w:rsidDel="002541E5">
        <w:rPr>
          <w:rFonts w:ascii="Arial" w:hAnsi="Arial" w:cs="Arial"/>
          <w:sz w:val="20"/>
          <w:szCs w:val="20"/>
        </w:rPr>
        <w:t xml:space="preserve"> </w:t>
      </w:r>
      <w:r w:rsidRPr="00B03E50">
        <w:rPr>
          <w:rFonts w:ascii="Arial" w:hAnsi="Arial" w:cs="Arial"/>
          <w:sz w:val="20"/>
          <w:szCs w:val="20"/>
        </w:rPr>
        <w:t>damaged building to recycling facilities, if such debris can be recycled.</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The Sublimit of Insurance for this coverage is $25,000 and is in addition to the debris removal expense sublimit provided by the policy, if any.</w:t>
      </w:r>
    </w:p>
    <w:p w:rsid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Any income or remuneration derived from this recycling shall be used to reduce the loss.</w:t>
      </w:r>
    </w:p>
    <w:p w:rsidR="0087372E" w:rsidRPr="00B03E50" w:rsidRDefault="0087372E" w:rsidP="0087372E">
      <w:pPr>
        <w:spacing w:before="220"/>
        <w:jc w:val="both"/>
        <w:rPr>
          <w:rFonts w:ascii="Arial" w:hAnsi="Arial" w:cs="Arial"/>
          <w:sz w:val="20"/>
          <w:szCs w:val="20"/>
        </w:rPr>
      </w:pPr>
    </w:p>
    <w:p w:rsidR="00B03E50" w:rsidRPr="00B03E50" w:rsidRDefault="00B03E50" w:rsidP="00B03E50">
      <w:pPr>
        <w:numPr>
          <w:ilvl w:val="1"/>
          <w:numId w:val="1"/>
        </w:numPr>
        <w:tabs>
          <w:tab w:val="left" w:pos="720"/>
        </w:tabs>
        <w:spacing w:before="220"/>
        <w:jc w:val="both"/>
        <w:rPr>
          <w:rFonts w:ascii="Arial" w:hAnsi="Arial" w:cs="Arial"/>
          <w:b/>
          <w:sz w:val="20"/>
          <w:szCs w:val="20"/>
        </w:rPr>
      </w:pPr>
      <w:r w:rsidRPr="00B03E50">
        <w:rPr>
          <w:rFonts w:ascii="Arial" w:hAnsi="Arial" w:cs="Arial"/>
          <w:b/>
          <w:bCs/>
          <w:sz w:val="20"/>
          <w:szCs w:val="20"/>
        </w:rPr>
        <w:t>Air Testing and Outdoor Air Ventilation of the Reconstructed Space</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 xml:space="preserve">In accordance with the requirements for the Construction </w:t>
      </w:r>
      <w:proofErr w:type="spellStart"/>
      <w:r w:rsidRPr="00B03E50">
        <w:rPr>
          <w:rFonts w:ascii="Arial" w:hAnsi="Arial" w:cs="Arial"/>
          <w:sz w:val="20"/>
          <w:szCs w:val="20"/>
        </w:rPr>
        <w:t>IAQ</w:t>
      </w:r>
      <w:proofErr w:type="spellEnd"/>
      <w:r w:rsidRPr="00B03E50">
        <w:rPr>
          <w:rFonts w:ascii="Arial" w:hAnsi="Arial" w:cs="Arial"/>
          <w:sz w:val="20"/>
          <w:szCs w:val="20"/>
        </w:rPr>
        <w:t xml:space="preserve"> Management Plan: Before Occupancy Credit as described in the LEED NC rating system (hereinafter, “Construction </w:t>
      </w:r>
      <w:proofErr w:type="spellStart"/>
      <w:r w:rsidRPr="00B03E50">
        <w:rPr>
          <w:rFonts w:ascii="Arial" w:hAnsi="Arial" w:cs="Arial"/>
          <w:sz w:val="20"/>
          <w:szCs w:val="20"/>
        </w:rPr>
        <w:t>IAQ</w:t>
      </w:r>
      <w:proofErr w:type="spellEnd"/>
      <w:r w:rsidRPr="00B03E50">
        <w:rPr>
          <w:rFonts w:ascii="Arial" w:hAnsi="Arial" w:cs="Arial"/>
          <w:sz w:val="20"/>
          <w:szCs w:val="20"/>
        </w:rPr>
        <w:t>”), we</w:t>
      </w:r>
      <w:r w:rsidRPr="00B03E50" w:rsidDel="002541E5">
        <w:rPr>
          <w:rFonts w:ascii="Arial" w:hAnsi="Arial" w:cs="Arial"/>
          <w:sz w:val="20"/>
          <w:szCs w:val="20"/>
        </w:rPr>
        <w:t xml:space="preserve"> </w:t>
      </w:r>
      <w:r w:rsidRPr="00B03E50">
        <w:rPr>
          <w:rFonts w:ascii="Arial" w:hAnsi="Arial" w:cs="Arial"/>
          <w:sz w:val="20"/>
          <w:szCs w:val="20"/>
        </w:rPr>
        <w:t xml:space="preserve">will pay to conduct air testing and a building flush-out (if required because of a failure to meet air quality standards set forth in the Construction </w:t>
      </w:r>
      <w:proofErr w:type="spellStart"/>
      <w:r w:rsidRPr="00B03E50">
        <w:rPr>
          <w:rFonts w:ascii="Arial" w:hAnsi="Arial" w:cs="Arial"/>
          <w:sz w:val="20"/>
          <w:szCs w:val="20"/>
        </w:rPr>
        <w:t>IAQ</w:t>
      </w:r>
      <w:proofErr w:type="spellEnd"/>
      <w:r w:rsidRPr="00B03E50">
        <w:rPr>
          <w:rFonts w:ascii="Arial" w:hAnsi="Arial" w:cs="Arial"/>
          <w:sz w:val="20"/>
          <w:szCs w:val="20"/>
        </w:rPr>
        <w:t>) and follow-up air testing for a total period of time not to exceed two weeks.</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After the two week period of increased outdoor air ventilation of the reconstructed space, we</w:t>
      </w:r>
      <w:r w:rsidRPr="00B03E50" w:rsidDel="002541E5">
        <w:rPr>
          <w:rFonts w:ascii="Arial" w:hAnsi="Arial" w:cs="Arial"/>
          <w:sz w:val="20"/>
          <w:szCs w:val="20"/>
        </w:rPr>
        <w:t xml:space="preserve"> </w:t>
      </w:r>
      <w:r w:rsidRPr="00B03E50">
        <w:rPr>
          <w:rFonts w:ascii="Arial" w:hAnsi="Arial" w:cs="Arial"/>
          <w:sz w:val="20"/>
          <w:szCs w:val="20"/>
        </w:rPr>
        <w:t>will pay to replace the filtration media with new media.</w:t>
      </w:r>
    </w:p>
    <w:p w:rsid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The Sublimit of Insurance for this coverage is $25,000.</w:t>
      </w:r>
    </w:p>
    <w:p w:rsidR="00B03E50" w:rsidRPr="00B03E50" w:rsidRDefault="00B03E50" w:rsidP="00B03E50">
      <w:pPr>
        <w:numPr>
          <w:ilvl w:val="1"/>
          <w:numId w:val="1"/>
        </w:numPr>
        <w:tabs>
          <w:tab w:val="left" w:pos="720"/>
        </w:tabs>
        <w:spacing w:before="220"/>
        <w:jc w:val="both"/>
        <w:rPr>
          <w:rFonts w:ascii="Arial" w:hAnsi="Arial" w:cs="Arial"/>
          <w:b/>
          <w:sz w:val="20"/>
          <w:szCs w:val="20"/>
        </w:rPr>
      </w:pPr>
      <w:r w:rsidRPr="00B03E50">
        <w:rPr>
          <w:rFonts w:ascii="Arial" w:hAnsi="Arial" w:cs="Arial"/>
          <w:b/>
          <w:sz w:val="20"/>
          <w:szCs w:val="20"/>
        </w:rPr>
        <w:t>Professional Services</w:t>
      </w:r>
    </w:p>
    <w:p w:rsidR="00B03E50" w:rsidRPr="00B03E50" w:rsidRDefault="00B03E50" w:rsidP="00B03E50">
      <w:pPr>
        <w:tabs>
          <w:tab w:val="left" w:pos="720"/>
        </w:tabs>
        <w:spacing w:before="220"/>
        <w:ind w:left="1440"/>
        <w:jc w:val="both"/>
        <w:rPr>
          <w:rFonts w:ascii="Arial" w:hAnsi="Arial" w:cs="Arial"/>
          <w:sz w:val="20"/>
          <w:szCs w:val="20"/>
        </w:rPr>
      </w:pPr>
      <w:r w:rsidRPr="00B03E50">
        <w:rPr>
          <w:rFonts w:ascii="Arial" w:hAnsi="Arial" w:cs="Arial"/>
          <w:sz w:val="20"/>
          <w:szCs w:val="20"/>
        </w:rPr>
        <w:t>We</w:t>
      </w:r>
      <w:r w:rsidRPr="00B03E50" w:rsidDel="002541E5">
        <w:rPr>
          <w:rFonts w:ascii="Arial" w:hAnsi="Arial" w:cs="Arial"/>
          <w:sz w:val="20"/>
          <w:szCs w:val="20"/>
        </w:rPr>
        <w:t xml:space="preserve"> </w:t>
      </w:r>
      <w:r w:rsidRPr="00B03E50">
        <w:rPr>
          <w:rFonts w:ascii="Arial" w:hAnsi="Arial" w:cs="Arial"/>
          <w:sz w:val="20"/>
          <w:szCs w:val="20"/>
        </w:rPr>
        <w:t>will pay reasonable and necessary expenses to hire a LEED</w:t>
      </w:r>
      <w:r w:rsidRPr="00B03E50">
        <w:rPr>
          <w:rFonts w:ascii="Arial" w:hAnsi="Arial" w:cs="Arial"/>
          <w:b/>
          <w:sz w:val="20"/>
          <w:szCs w:val="20"/>
          <w:vertAlign w:val="superscript"/>
        </w:rPr>
        <w:t>®</w:t>
      </w:r>
      <w:r w:rsidRPr="00B03E50">
        <w:rPr>
          <w:rFonts w:ascii="Arial" w:hAnsi="Arial" w:cs="Arial"/>
          <w:b/>
          <w:sz w:val="20"/>
          <w:szCs w:val="20"/>
        </w:rPr>
        <w:t xml:space="preserve"> </w:t>
      </w:r>
      <w:r w:rsidRPr="00B03E50">
        <w:rPr>
          <w:rFonts w:ascii="Arial" w:hAnsi="Arial" w:cs="Arial"/>
          <w:sz w:val="20"/>
          <w:szCs w:val="20"/>
        </w:rPr>
        <w:t xml:space="preserve">Accredited architect or engineer to participate in the design and/or construction administration of the damaged portion of the building or the entire building, whichever is applicable. </w:t>
      </w:r>
    </w:p>
    <w:p w:rsidR="00B03E50" w:rsidRPr="00B03E50" w:rsidRDefault="00B03E50" w:rsidP="00B03E50">
      <w:pPr>
        <w:tabs>
          <w:tab w:val="left" w:pos="720"/>
        </w:tabs>
        <w:spacing w:before="220"/>
        <w:ind w:left="1440"/>
        <w:jc w:val="both"/>
        <w:rPr>
          <w:rFonts w:ascii="Arial" w:hAnsi="Arial" w:cs="Arial"/>
          <w:sz w:val="20"/>
          <w:szCs w:val="20"/>
        </w:rPr>
      </w:pPr>
      <w:r w:rsidRPr="00B03E50">
        <w:rPr>
          <w:rFonts w:ascii="Arial" w:hAnsi="Arial" w:cs="Arial"/>
          <w:sz w:val="20"/>
          <w:szCs w:val="20"/>
        </w:rPr>
        <w:t>The Sublimit for this coverage is $50,000.</w:t>
      </w:r>
    </w:p>
    <w:p w:rsidR="00B03E50" w:rsidRPr="00B03E50" w:rsidRDefault="00B03E50" w:rsidP="00B03E50">
      <w:pPr>
        <w:numPr>
          <w:ilvl w:val="1"/>
          <w:numId w:val="1"/>
        </w:numPr>
        <w:tabs>
          <w:tab w:val="left" w:pos="720"/>
        </w:tabs>
        <w:spacing w:before="220"/>
        <w:jc w:val="both"/>
        <w:rPr>
          <w:rFonts w:ascii="Arial" w:hAnsi="Arial" w:cs="Arial"/>
          <w:b/>
          <w:sz w:val="20"/>
          <w:szCs w:val="20"/>
        </w:rPr>
      </w:pPr>
      <w:r w:rsidRPr="00B03E50">
        <w:rPr>
          <w:rFonts w:ascii="Arial" w:hAnsi="Arial" w:cs="Arial"/>
          <w:b/>
          <w:sz w:val="20"/>
          <w:szCs w:val="20"/>
        </w:rPr>
        <w:t>Building Commissioning Expenses</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In the event of direct physical loss or damage to mechanical, electrical, or electronic building systems, by a Covered Cause of Loss which necessitates the commissioning or re-commissioning of those systems, we</w:t>
      </w:r>
      <w:r w:rsidRPr="00B03E50" w:rsidDel="002541E5">
        <w:rPr>
          <w:rFonts w:ascii="Arial" w:hAnsi="Arial" w:cs="Arial"/>
          <w:sz w:val="20"/>
          <w:szCs w:val="20"/>
        </w:rPr>
        <w:t xml:space="preserve"> </w:t>
      </w:r>
      <w:r w:rsidRPr="00B03E50">
        <w:rPr>
          <w:rFonts w:ascii="Arial" w:hAnsi="Arial" w:cs="Arial"/>
          <w:sz w:val="20"/>
          <w:szCs w:val="20"/>
        </w:rPr>
        <w:t>will pay reasonable and necessary expenses of a Professional Engineer to commission or re-commission those damaged systems in accordance with LEED protocols.</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The Sublimit of Insurance for this coverage is $25,000.</w:t>
      </w:r>
    </w:p>
    <w:p w:rsidR="00B03E50" w:rsidRPr="00B03E50" w:rsidRDefault="00B03E50" w:rsidP="00B03E50">
      <w:pPr>
        <w:numPr>
          <w:ilvl w:val="0"/>
          <w:numId w:val="1"/>
        </w:numPr>
        <w:tabs>
          <w:tab w:val="left" w:pos="720"/>
        </w:tabs>
        <w:spacing w:before="220"/>
        <w:jc w:val="both"/>
        <w:rPr>
          <w:rFonts w:ascii="Arial" w:hAnsi="Arial" w:cs="Arial"/>
          <w:b/>
          <w:sz w:val="20"/>
          <w:szCs w:val="20"/>
        </w:rPr>
      </w:pPr>
      <w:r w:rsidRPr="00B03E50">
        <w:rPr>
          <w:rFonts w:ascii="Arial" w:hAnsi="Arial" w:cs="Arial"/>
          <w:b/>
          <w:sz w:val="20"/>
          <w:szCs w:val="20"/>
        </w:rPr>
        <w:t>Additional Definitions</w:t>
      </w:r>
    </w:p>
    <w:p w:rsidR="00B03E50" w:rsidRPr="00B03E50" w:rsidRDefault="00B03E50" w:rsidP="00B03E50">
      <w:pPr>
        <w:numPr>
          <w:ilvl w:val="1"/>
          <w:numId w:val="1"/>
        </w:numPr>
        <w:tabs>
          <w:tab w:val="left" w:pos="720"/>
        </w:tabs>
        <w:spacing w:before="220"/>
        <w:jc w:val="both"/>
        <w:rPr>
          <w:rFonts w:ascii="Arial" w:hAnsi="Arial" w:cs="Arial"/>
          <w:b/>
          <w:sz w:val="20"/>
          <w:szCs w:val="20"/>
        </w:rPr>
      </w:pPr>
      <w:r w:rsidRPr="00B03E50">
        <w:rPr>
          <w:rFonts w:ascii="Arial" w:hAnsi="Arial" w:cs="Arial"/>
          <w:sz w:val="20"/>
          <w:szCs w:val="20"/>
        </w:rPr>
        <w:t>“Alternative Water Systems” means below ground pipes and pumps, above or below ground cisterns, holding tanks, or other similar structures, situated within 1,000 feet of a covered building that collect ground water, rain water, or gray water for the building’s domestic, non-potable water supply or for circulation to an on site water treatment facility.  This does not include underground pipes and sprinkler heads intended solely for the purpose of landscape irrigation.</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sz w:val="20"/>
          <w:szCs w:val="20"/>
        </w:rPr>
        <w:t>“Appliances” means products including, but not limited to, dishwashers, refrigerators, freezers, ovens, microwave ovens, room air conditioners, room air cleaners and water heaters.</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sz w:val="20"/>
          <w:szCs w:val="20"/>
        </w:rPr>
        <w:t xml:space="preserve">“Defined Building Materials” means: (1) all carpet and floor coverings, including, adhesives to affix them to the floor, (2) all interior paints, architectural coatings, primers, </w:t>
      </w:r>
      <w:proofErr w:type="spellStart"/>
      <w:r w:rsidRPr="00B03E50">
        <w:rPr>
          <w:rFonts w:ascii="Arial" w:hAnsi="Arial" w:cs="Arial"/>
          <w:sz w:val="20"/>
          <w:szCs w:val="20"/>
        </w:rPr>
        <w:t>undercoatings</w:t>
      </w:r>
      <w:proofErr w:type="spellEnd"/>
      <w:r w:rsidRPr="00B03E50">
        <w:rPr>
          <w:rFonts w:ascii="Arial" w:hAnsi="Arial" w:cs="Arial"/>
          <w:sz w:val="20"/>
          <w:szCs w:val="20"/>
        </w:rPr>
        <w:t>, adhesives, sealants, and (3) permanently installed composite wood fixtures, including, counters, cabinets, and partitions.</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sz w:val="20"/>
          <w:szCs w:val="20"/>
        </w:rPr>
        <w:t>“ENERGY STAR” means any product that has been identified by the United States Government Department of Energy, Environmental Protection Agency as ENERGY STAR qualified at the time of the loss.</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sz w:val="20"/>
          <w:szCs w:val="20"/>
        </w:rPr>
        <w:lastRenderedPageBreak/>
        <w:t>“Heating and Cooling Equipment” means products including, but not limited to, heat pumps, boilers, central air conditioning, ceiling fans, dehumidifiers, exhaust fans, furnaces, thermostats, and ventilating fans.</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sz w:val="20"/>
          <w:szCs w:val="20"/>
        </w:rPr>
        <w:t>“Lower emissions” means:</w:t>
      </w:r>
    </w:p>
    <w:p w:rsidR="00B03E50" w:rsidRPr="00B03E50" w:rsidRDefault="00B03E50" w:rsidP="00B03E50">
      <w:pPr>
        <w:numPr>
          <w:ilvl w:val="2"/>
          <w:numId w:val="1"/>
        </w:numPr>
        <w:spacing w:before="200"/>
        <w:jc w:val="both"/>
        <w:rPr>
          <w:rFonts w:ascii="Arial" w:hAnsi="Arial" w:cs="Arial"/>
          <w:sz w:val="20"/>
          <w:szCs w:val="20"/>
        </w:rPr>
      </w:pPr>
      <w:r w:rsidRPr="00B03E50">
        <w:rPr>
          <w:rFonts w:ascii="Arial" w:hAnsi="Arial" w:cs="Arial"/>
          <w:color w:val="000000"/>
          <w:sz w:val="20"/>
          <w:szCs w:val="20"/>
        </w:rPr>
        <w:t>With respect to adhesive and sealant products, such as, general construction adhesives, flooring adhesives, fire-stopping sealants, caulking, duct sealants, plumbing adhesives, and cove base adhesives, products that meet the requirements of South Coast Air Quality Management District (</w:t>
      </w:r>
      <w:proofErr w:type="spellStart"/>
      <w:r w:rsidRPr="00B03E50">
        <w:rPr>
          <w:rFonts w:ascii="Arial" w:hAnsi="Arial" w:cs="Arial"/>
          <w:color w:val="000000"/>
          <w:sz w:val="20"/>
          <w:szCs w:val="20"/>
        </w:rPr>
        <w:t>SCAQMD</w:t>
      </w:r>
      <w:proofErr w:type="spellEnd"/>
      <w:r w:rsidRPr="00B03E50">
        <w:rPr>
          <w:rFonts w:ascii="Arial" w:hAnsi="Arial" w:cs="Arial"/>
          <w:color w:val="000000"/>
          <w:sz w:val="20"/>
          <w:szCs w:val="20"/>
        </w:rPr>
        <w:t>) Rule # 1168; with respect to aerosol adhesives, products that meet Green Seal Standard GS-36 requirements;</w:t>
      </w:r>
    </w:p>
    <w:p w:rsidR="00B03E50" w:rsidRPr="00B03E50" w:rsidRDefault="00B03E50" w:rsidP="00B03E50">
      <w:pPr>
        <w:numPr>
          <w:ilvl w:val="2"/>
          <w:numId w:val="1"/>
        </w:numPr>
        <w:spacing w:before="200"/>
        <w:jc w:val="both"/>
        <w:rPr>
          <w:rFonts w:ascii="Arial" w:hAnsi="Arial" w:cs="Arial"/>
          <w:sz w:val="20"/>
          <w:szCs w:val="20"/>
        </w:rPr>
      </w:pPr>
      <w:r w:rsidRPr="00B03E50">
        <w:rPr>
          <w:rFonts w:ascii="Arial" w:hAnsi="Arial" w:cs="Arial"/>
          <w:color w:val="000000"/>
          <w:sz w:val="20"/>
          <w:szCs w:val="20"/>
        </w:rPr>
        <w:t xml:space="preserve">With respect to architectural paints, coatings, and primers, products that do not exceed the volatile organic compound (VOC) content limits established in Green Seal Standard GS-11, with respect to anti-corrosive and anti-rust paints, products that do not exceed the VOC content limits established in Green Seal Standard GS-03; and with respect to clear wood finishes, floor coatings, stains, and shellacs, products that do not exceed the VOC content limits established by </w:t>
      </w:r>
      <w:proofErr w:type="spellStart"/>
      <w:r w:rsidRPr="00B03E50">
        <w:rPr>
          <w:rFonts w:ascii="Arial" w:hAnsi="Arial" w:cs="Arial"/>
          <w:color w:val="000000"/>
          <w:sz w:val="20"/>
          <w:szCs w:val="20"/>
        </w:rPr>
        <w:t>SCAQMD</w:t>
      </w:r>
      <w:proofErr w:type="spellEnd"/>
      <w:r w:rsidRPr="00B03E50">
        <w:rPr>
          <w:rFonts w:ascii="Arial" w:hAnsi="Arial" w:cs="Arial"/>
          <w:color w:val="000000"/>
          <w:sz w:val="20"/>
          <w:szCs w:val="20"/>
        </w:rPr>
        <w:t xml:space="preserve"> Rule # 1113;</w:t>
      </w:r>
    </w:p>
    <w:p w:rsidR="00B03E50" w:rsidRPr="00B03E50" w:rsidRDefault="00B03E50" w:rsidP="00B03E50">
      <w:pPr>
        <w:numPr>
          <w:ilvl w:val="2"/>
          <w:numId w:val="1"/>
        </w:numPr>
        <w:spacing w:before="200"/>
        <w:jc w:val="both"/>
        <w:rPr>
          <w:rFonts w:ascii="Arial" w:hAnsi="Arial" w:cs="Arial"/>
          <w:sz w:val="20"/>
          <w:szCs w:val="20"/>
        </w:rPr>
      </w:pPr>
      <w:r w:rsidRPr="00B03E50">
        <w:rPr>
          <w:rFonts w:ascii="Arial" w:hAnsi="Arial" w:cs="Arial"/>
          <w:color w:val="000000"/>
          <w:sz w:val="20"/>
          <w:szCs w:val="20"/>
        </w:rPr>
        <w:t xml:space="preserve">With respect to carpet and carpet cushion, products that meet the requirements of the Carpet and Rug Institute’s Green Label Plus Program; and </w:t>
      </w:r>
    </w:p>
    <w:p w:rsidR="00B03E50" w:rsidRPr="00B03E50" w:rsidRDefault="00B03E50" w:rsidP="00B03E50">
      <w:pPr>
        <w:numPr>
          <w:ilvl w:val="2"/>
          <w:numId w:val="1"/>
        </w:numPr>
        <w:spacing w:before="200"/>
        <w:jc w:val="both"/>
        <w:rPr>
          <w:rFonts w:ascii="Arial" w:hAnsi="Arial" w:cs="Arial"/>
          <w:sz w:val="20"/>
          <w:szCs w:val="20"/>
        </w:rPr>
      </w:pPr>
      <w:r w:rsidRPr="00B03E50">
        <w:rPr>
          <w:rFonts w:ascii="Arial" w:hAnsi="Arial" w:cs="Arial"/>
          <w:color w:val="000000"/>
          <w:sz w:val="20"/>
          <w:szCs w:val="20"/>
        </w:rPr>
        <w:t xml:space="preserve">With respect to composite wood and </w:t>
      </w:r>
      <w:proofErr w:type="spellStart"/>
      <w:r w:rsidRPr="00B03E50">
        <w:rPr>
          <w:rFonts w:ascii="Arial" w:hAnsi="Arial" w:cs="Arial"/>
          <w:color w:val="000000"/>
          <w:sz w:val="20"/>
          <w:szCs w:val="20"/>
        </w:rPr>
        <w:t>agrifiber</w:t>
      </w:r>
      <w:proofErr w:type="spellEnd"/>
      <w:r w:rsidRPr="00B03E50">
        <w:rPr>
          <w:rFonts w:ascii="Arial" w:hAnsi="Arial" w:cs="Arial"/>
          <w:color w:val="000000"/>
          <w:sz w:val="20"/>
          <w:szCs w:val="20"/>
        </w:rPr>
        <w:t xml:space="preserve"> products such as particleboard, medium density fiberboard (</w:t>
      </w:r>
      <w:proofErr w:type="spellStart"/>
      <w:r w:rsidRPr="00B03E50">
        <w:rPr>
          <w:rFonts w:ascii="Arial" w:hAnsi="Arial" w:cs="Arial"/>
          <w:color w:val="000000"/>
          <w:sz w:val="20"/>
          <w:szCs w:val="20"/>
        </w:rPr>
        <w:t>MDF</w:t>
      </w:r>
      <w:proofErr w:type="spellEnd"/>
      <w:r w:rsidRPr="00B03E50">
        <w:rPr>
          <w:rFonts w:ascii="Arial" w:hAnsi="Arial" w:cs="Arial"/>
          <w:color w:val="000000"/>
          <w:sz w:val="20"/>
          <w:szCs w:val="20"/>
        </w:rPr>
        <w:t xml:space="preserve">), plywood, </w:t>
      </w:r>
      <w:proofErr w:type="spellStart"/>
      <w:r w:rsidRPr="00B03E50">
        <w:rPr>
          <w:rFonts w:ascii="Arial" w:hAnsi="Arial" w:cs="Arial"/>
          <w:color w:val="000000"/>
          <w:sz w:val="20"/>
          <w:szCs w:val="20"/>
        </w:rPr>
        <w:t>wheatboard</w:t>
      </w:r>
      <w:proofErr w:type="spellEnd"/>
      <w:r w:rsidRPr="00B03E50">
        <w:rPr>
          <w:rFonts w:ascii="Arial" w:hAnsi="Arial" w:cs="Arial"/>
          <w:color w:val="000000"/>
          <w:sz w:val="20"/>
          <w:szCs w:val="20"/>
        </w:rPr>
        <w:t xml:space="preserve">, strawboard, panel substrates and door cores as well as laminating adhesives used to fabricate on-site and shop-applied composite wood and </w:t>
      </w:r>
      <w:proofErr w:type="spellStart"/>
      <w:r w:rsidRPr="00B03E50">
        <w:rPr>
          <w:rFonts w:ascii="Arial" w:hAnsi="Arial" w:cs="Arial"/>
          <w:color w:val="000000"/>
          <w:sz w:val="20"/>
          <w:szCs w:val="20"/>
        </w:rPr>
        <w:t>agrifiber</w:t>
      </w:r>
      <w:proofErr w:type="spellEnd"/>
      <w:r w:rsidRPr="00B03E50">
        <w:rPr>
          <w:rFonts w:ascii="Arial" w:hAnsi="Arial" w:cs="Arial"/>
          <w:color w:val="000000"/>
          <w:sz w:val="20"/>
          <w:szCs w:val="20"/>
        </w:rPr>
        <w:t xml:space="preserve"> assemblies, products that contain no added urea-formaldehyde resins.</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sz w:val="20"/>
          <w:szCs w:val="20"/>
        </w:rPr>
        <w:t>“Office Equipment” means electronic products including, but not limited to, desktop computers, laptop computers, monitors, printers, fax machines, scanners, copiers, and telephones.</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sz w:val="20"/>
          <w:szCs w:val="20"/>
        </w:rPr>
        <w:t>“Recycled Content” means those products that contain at least 20% post</w:t>
      </w:r>
      <w:r w:rsidRPr="00B03E50">
        <w:rPr>
          <w:rFonts w:ascii="Arial" w:hAnsi="Arial" w:cs="Arial"/>
          <w:sz w:val="20"/>
          <w:szCs w:val="20"/>
        </w:rPr>
        <w:noBreakHyphen/>
        <w:t>consumer recycled content.</w:t>
      </w:r>
    </w:p>
    <w:p w:rsid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color w:val="000000"/>
          <w:sz w:val="20"/>
          <w:szCs w:val="20"/>
        </w:rPr>
        <w:t>“Rapidly Renewable” means products</w:t>
      </w:r>
      <w:r w:rsidRPr="00B03E50">
        <w:rPr>
          <w:rFonts w:ascii="Arial" w:hAnsi="Arial" w:cs="Arial"/>
          <w:sz w:val="20"/>
          <w:szCs w:val="20"/>
        </w:rPr>
        <w:t xml:space="preserve"> that are made from plant resources that are harvested within a ten-year cycle or shorter, including, but not limited to, bamboo, eucalyptus, wheat straw, sunflower hulls, cork oak, </w:t>
      </w:r>
      <w:proofErr w:type="spellStart"/>
      <w:r w:rsidRPr="00B03E50">
        <w:rPr>
          <w:rFonts w:ascii="Arial" w:hAnsi="Arial" w:cs="Arial"/>
          <w:sz w:val="20"/>
          <w:szCs w:val="20"/>
        </w:rPr>
        <w:t>wheatboard</w:t>
      </w:r>
      <w:proofErr w:type="spellEnd"/>
      <w:r w:rsidRPr="00B03E50">
        <w:rPr>
          <w:rFonts w:ascii="Arial" w:hAnsi="Arial" w:cs="Arial"/>
          <w:sz w:val="20"/>
          <w:szCs w:val="20"/>
        </w:rPr>
        <w:t>, linoleum, and sorghum.</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sz w:val="20"/>
          <w:szCs w:val="20"/>
        </w:rPr>
        <w:t>“Seating” means task and guest chairs used with “System Furniture".</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sz w:val="20"/>
          <w:szCs w:val="20"/>
        </w:rPr>
        <w:t>“Sustainably Produced” means those products certified by the Forest Stewardship Council (“</w:t>
      </w:r>
      <w:proofErr w:type="spellStart"/>
      <w:r w:rsidRPr="00B03E50">
        <w:rPr>
          <w:rFonts w:ascii="Arial" w:hAnsi="Arial" w:cs="Arial"/>
          <w:sz w:val="20"/>
          <w:szCs w:val="20"/>
        </w:rPr>
        <w:t>FSC</w:t>
      </w:r>
      <w:proofErr w:type="spellEnd"/>
      <w:r w:rsidRPr="00B03E50">
        <w:rPr>
          <w:rFonts w:ascii="Arial" w:hAnsi="Arial" w:cs="Arial"/>
          <w:sz w:val="20"/>
          <w:szCs w:val="20"/>
        </w:rPr>
        <w:t>”).</w:t>
      </w:r>
    </w:p>
    <w:p w:rsid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sz w:val="20"/>
          <w:szCs w:val="20"/>
        </w:rPr>
        <w:t>“System Furniture” means either a panel-based workstation comprised of modular interconnecting panels, hang-on components and drawer/filing components of a freestanding grouping of furniture items and their components that have been designed to work in concert.</w:t>
      </w:r>
    </w:p>
    <w:p w:rsidR="0008450A" w:rsidRDefault="0008450A" w:rsidP="0008450A">
      <w:pPr>
        <w:spacing w:before="220"/>
        <w:jc w:val="both"/>
        <w:rPr>
          <w:rFonts w:ascii="Arial" w:hAnsi="Arial" w:cs="Arial"/>
          <w:sz w:val="20"/>
          <w:szCs w:val="20"/>
        </w:rPr>
      </w:pPr>
    </w:p>
    <w:p w:rsidR="0008450A" w:rsidRPr="00B03E50" w:rsidRDefault="0008450A" w:rsidP="0008450A">
      <w:pPr>
        <w:spacing w:before="220"/>
        <w:jc w:val="both"/>
        <w:rPr>
          <w:rFonts w:ascii="Arial" w:hAnsi="Arial" w:cs="Arial"/>
          <w:sz w:val="20"/>
          <w:szCs w:val="20"/>
        </w:rPr>
      </w:pP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color w:val="000000"/>
          <w:sz w:val="20"/>
          <w:szCs w:val="20"/>
        </w:rPr>
        <w:lastRenderedPageBreak/>
        <w:t>“</w:t>
      </w:r>
      <w:r w:rsidRPr="00B03E50">
        <w:rPr>
          <w:rFonts w:ascii="Arial" w:hAnsi="Arial" w:cs="Arial"/>
          <w:sz w:val="20"/>
          <w:szCs w:val="20"/>
        </w:rPr>
        <w:t>Total Loss” means:</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 xml:space="preserve">The </w:t>
      </w:r>
      <w:r w:rsidRPr="00B03E50">
        <w:rPr>
          <w:rFonts w:ascii="Arial" w:hAnsi="Arial" w:cs="Arial"/>
          <w:color w:val="000000"/>
          <w:sz w:val="20"/>
          <w:szCs w:val="20"/>
        </w:rPr>
        <w:t>covered building</w:t>
      </w:r>
      <w:r w:rsidRPr="00B03E50">
        <w:rPr>
          <w:rFonts w:ascii="Arial" w:hAnsi="Arial" w:cs="Arial"/>
          <w:sz w:val="20"/>
          <w:szCs w:val="20"/>
        </w:rPr>
        <w:t xml:space="preserve"> is completely destroyed regardless of whether any damage is done to the foundation or slab, or</w:t>
      </w:r>
    </w:p>
    <w:p w:rsidR="00B03E50" w:rsidRPr="00B03E50" w:rsidRDefault="00B03E50" w:rsidP="00B03E50">
      <w:pPr>
        <w:numPr>
          <w:ilvl w:val="2"/>
          <w:numId w:val="1"/>
        </w:numPr>
        <w:tabs>
          <w:tab w:val="left" w:pos="720"/>
        </w:tabs>
        <w:spacing w:before="220"/>
        <w:jc w:val="both"/>
        <w:rPr>
          <w:rFonts w:ascii="Arial" w:hAnsi="Arial" w:cs="Arial"/>
          <w:sz w:val="20"/>
          <w:szCs w:val="20"/>
        </w:rPr>
      </w:pPr>
      <w:r w:rsidRPr="00B03E50">
        <w:rPr>
          <w:rFonts w:ascii="Arial" w:hAnsi="Arial" w:cs="Arial"/>
          <w:sz w:val="20"/>
          <w:szCs w:val="20"/>
        </w:rPr>
        <w:t xml:space="preserve">The </w:t>
      </w:r>
      <w:r w:rsidRPr="00B03E50">
        <w:rPr>
          <w:rFonts w:ascii="Arial" w:hAnsi="Arial" w:cs="Arial"/>
          <w:color w:val="000000"/>
          <w:sz w:val="20"/>
          <w:szCs w:val="20"/>
        </w:rPr>
        <w:t>covered building</w:t>
      </w:r>
      <w:r w:rsidRPr="00B03E50">
        <w:rPr>
          <w:rFonts w:ascii="Arial" w:hAnsi="Arial" w:cs="Arial"/>
          <w:sz w:val="20"/>
          <w:szCs w:val="20"/>
        </w:rPr>
        <w:t xml:space="preserve"> is in such condition after the loss that the standard method of rebuilding or repairing the </w:t>
      </w:r>
      <w:r w:rsidRPr="00B03E50">
        <w:rPr>
          <w:rFonts w:ascii="Arial" w:hAnsi="Arial" w:cs="Arial"/>
          <w:color w:val="000000"/>
          <w:sz w:val="20"/>
          <w:szCs w:val="20"/>
        </w:rPr>
        <w:t>covered building</w:t>
      </w:r>
      <w:r w:rsidRPr="00B03E50">
        <w:rPr>
          <w:rFonts w:ascii="Arial" w:hAnsi="Arial" w:cs="Arial"/>
          <w:sz w:val="20"/>
          <w:szCs w:val="20"/>
        </w:rPr>
        <w:t xml:space="preserve"> is to raze the structure except for the foundation or slab or including all or part of the foundation or slab and rebuild the entire structure, whether such structure is actually rebuilt or not.</w:t>
      </w:r>
    </w:p>
    <w:p w:rsidR="00B03E50" w:rsidRPr="00B03E50" w:rsidRDefault="00B03E50" w:rsidP="00B03E50">
      <w:pPr>
        <w:numPr>
          <w:ilvl w:val="1"/>
          <w:numId w:val="1"/>
        </w:numPr>
        <w:tabs>
          <w:tab w:val="left" w:pos="720"/>
        </w:tabs>
        <w:spacing w:before="220"/>
        <w:jc w:val="both"/>
        <w:rPr>
          <w:rFonts w:ascii="Arial" w:hAnsi="Arial" w:cs="Arial"/>
          <w:sz w:val="20"/>
          <w:szCs w:val="20"/>
        </w:rPr>
      </w:pPr>
      <w:r w:rsidRPr="00B03E50">
        <w:rPr>
          <w:rFonts w:ascii="Arial" w:hAnsi="Arial" w:cs="Arial"/>
          <w:color w:val="000000"/>
          <w:sz w:val="20"/>
          <w:szCs w:val="20"/>
        </w:rPr>
        <w:t>“</w:t>
      </w:r>
      <w:r w:rsidRPr="00B03E50">
        <w:rPr>
          <w:rFonts w:ascii="Arial" w:hAnsi="Arial" w:cs="Arial"/>
          <w:sz w:val="20"/>
          <w:szCs w:val="20"/>
        </w:rPr>
        <w:t>Water Efficient</w:t>
      </w:r>
      <w:r w:rsidRPr="00B03E50">
        <w:rPr>
          <w:rFonts w:ascii="Arial" w:hAnsi="Arial" w:cs="Arial"/>
          <w:color w:val="000000"/>
          <w:sz w:val="20"/>
          <w:szCs w:val="20"/>
        </w:rPr>
        <w:t xml:space="preserve">” means dry fixtures such as composting toilet systems and non-water using urinals, </w:t>
      </w:r>
      <w:r w:rsidRPr="00B03E50">
        <w:rPr>
          <w:rFonts w:ascii="Arial" w:hAnsi="Arial" w:cs="Arial"/>
          <w:sz w:val="20"/>
          <w:szCs w:val="20"/>
        </w:rPr>
        <w:t>flush toilets</w:t>
      </w:r>
      <w:r w:rsidRPr="00B03E50">
        <w:rPr>
          <w:rFonts w:ascii="Arial" w:hAnsi="Arial" w:cs="Arial"/>
          <w:color w:val="000000"/>
          <w:sz w:val="20"/>
          <w:szCs w:val="20"/>
        </w:rPr>
        <w:t xml:space="preserve"> using no more </w:t>
      </w:r>
      <w:r w:rsidRPr="00B03E50">
        <w:rPr>
          <w:rFonts w:ascii="Arial" w:hAnsi="Arial" w:cs="Arial"/>
          <w:sz w:val="20"/>
          <w:szCs w:val="20"/>
        </w:rPr>
        <w:t>than 1.6 gallons of water per flush</w:t>
      </w:r>
      <w:r w:rsidRPr="00B03E50">
        <w:rPr>
          <w:rFonts w:ascii="Arial" w:hAnsi="Arial" w:cs="Arial"/>
          <w:color w:val="000000"/>
          <w:sz w:val="20"/>
          <w:szCs w:val="20"/>
        </w:rPr>
        <w:t xml:space="preserve">, and </w:t>
      </w:r>
      <w:r w:rsidRPr="00B03E50">
        <w:rPr>
          <w:rFonts w:ascii="Arial" w:hAnsi="Arial" w:cs="Arial"/>
          <w:sz w:val="20"/>
          <w:szCs w:val="20"/>
        </w:rPr>
        <w:t>shower heads and faucets</w:t>
      </w:r>
      <w:r w:rsidRPr="00B03E50">
        <w:rPr>
          <w:rFonts w:ascii="Arial" w:hAnsi="Arial" w:cs="Arial"/>
          <w:color w:val="000000"/>
          <w:sz w:val="20"/>
          <w:szCs w:val="20"/>
        </w:rPr>
        <w:t xml:space="preserve"> with a flow rate of no more than </w:t>
      </w:r>
      <w:r w:rsidRPr="00B03E50">
        <w:rPr>
          <w:rFonts w:ascii="Arial" w:hAnsi="Arial" w:cs="Arial"/>
          <w:sz w:val="20"/>
          <w:szCs w:val="20"/>
        </w:rPr>
        <w:t>2.2 gallons per minute.</w:t>
      </w:r>
    </w:p>
    <w:p w:rsidR="00B03E50" w:rsidRPr="00B03E50" w:rsidRDefault="00B03E50" w:rsidP="00B03E50">
      <w:pPr>
        <w:pStyle w:val="Title"/>
        <w:tabs>
          <w:tab w:val="left" w:pos="5040"/>
        </w:tabs>
        <w:jc w:val="left"/>
        <w:rPr>
          <w:rFonts w:ascii="Arial" w:hAnsi="Arial" w:cs="Arial"/>
          <w:b w:val="0"/>
          <w:sz w:val="20"/>
        </w:rPr>
      </w:pPr>
    </w:p>
    <w:p w:rsidR="00073B8E" w:rsidRPr="001A73E7" w:rsidRDefault="00073B8E" w:rsidP="004A3C05">
      <w:pPr>
        <w:rPr>
          <w:rFonts w:ascii="Arial" w:hAnsi="Arial" w:cs="Arial"/>
          <w:sz w:val="20"/>
          <w:szCs w:val="20"/>
        </w:rPr>
      </w:pPr>
    </w:p>
    <w:p w:rsidR="00152B15" w:rsidRPr="001A73E7" w:rsidRDefault="00152B15" w:rsidP="004A3C05">
      <w:pPr>
        <w:rPr>
          <w:rFonts w:ascii="Arial" w:hAnsi="Arial" w:cs="Arial"/>
          <w:sz w:val="20"/>
          <w:szCs w:val="20"/>
        </w:rPr>
      </w:pPr>
    </w:p>
    <w:p w:rsidR="00152B15" w:rsidRPr="001A73E7" w:rsidRDefault="00152B15" w:rsidP="00152B15">
      <w:pPr>
        <w:rPr>
          <w:rFonts w:ascii="Arial" w:hAnsi="Arial" w:cs="Arial"/>
          <w:sz w:val="20"/>
          <w:szCs w:val="20"/>
        </w:rPr>
      </w:pPr>
      <w:r w:rsidRPr="001A73E7">
        <w:rPr>
          <w:rFonts w:ascii="Arial" w:hAnsi="Arial" w:cs="Arial"/>
          <w:sz w:val="20"/>
          <w:szCs w:val="20"/>
        </w:rPr>
        <w:t>All other terms and conditions of the policy remain the same.</w:t>
      </w: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pStyle w:val="Title"/>
        <w:tabs>
          <w:tab w:val="left" w:pos="5040"/>
        </w:tabs>
        <w:jc w:val="left"/>
        <w:rPr>
          <w:rFonts w:ascii="Arial" w:hAnsi="Arial" w:cs="Arial"/>
          <w:b w:val="0"/>
          <w:sz w:val="20"/>
        </w:rPr>
      </w:pPr>
      <w:r w:rsidRPr="001A73E7">
        <w:rPr>
          <w:rFonts w:ascii="Arial" w:hAnsi="Arial" w:cs="Arial"/>
          <w:b w:val="0"/>
          <w:sz w:val="20"/>
        </w:rPr>
        <w:tab/>
        <w:t>__________________________</w:t>
      </w:r>
    </w:p>
    <w:p w:rsidR="00152B15" w:rsidRPr="001A73E7" w:rsidRDefault="00152B15" w:rsidP="00152B15">
      <w:pPr>
        <w:tabs>
          <w:tab w:val="left" w:pos="5040"/>
        </w:tabs>
        <w:rPr>
          <w:rFonts w:ascii="Arial" w:hAnsi="Arial" w:cs="Arial"/>
          <w:sz w:val="20"/>
          <w:szCs w:val="20"/>
        </w:rPr>
      </w:pPr>
      <w:r w:rsidRPr="001A73E7">
        <w:rPr>
          <w:rFonts w:ascii="Arial" w:hAnsi="Arial" w:cs="Arial"/>
          <w:sz w:val="20"/>
          <w:szCs w:val="20"/>
        </w:rPr>
        <w:tab/>
        <w:t>Authorized Representative</w:t>
      </w:r>
    </w:p>
    <w:p w:rsidR="00152B15" w:rsidRPr="001A73E7" w:rsidRDefault="00152B15" w:rsidP="00152B15">
      <w:pPr>
        <w:rPr>
          <w:rFonts w:ascii="Arial" w:hAnsi="Arial" w:cs="Arial"/>
        </w:rPr>
      </w:pPr>
    </w:p>
    <w:p w:rsidR="003F459C" w:rsidRPr="001A73E7" w:rsidRDefault="003F459C" w:rsidP="006436CC">
      <w:pPr>
        <w:rPr>
          <w:rFonts w:ascii="Arial" w:hAnsi="Arial" w:cs="Arial"/>
        </w:rPr>
      </w:pPr>
    </w:p>
    <w:sectPr w:rsidR="003F459C" w:rsidRPr="001A73E7" w:rsidSect="00A61E5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61E59" w:rsidRPr="001A73E7" w:rsidTr="000D333E">
      <w:trPr>
        <w:trHeight w:val="332"/>
      </w:trPr>
      <w:tc>
        <w:tcPr>
          <w:tcW w:w="1728" w:type="dxa"/>
        </w:tcPr>
        <w:p w:rsidR="00A61E59" w:rsidRPr="001A73E7" w:rsidRDefault="00A61E59" w:rsidP="000D333E">
          <w:pPr>
            <w:pStyle w:val="Footer"/>
            <w:rPr>
              <w:rFonts w:ascii="Arial" w:hAnsi="Arial" w:cs="Arial"/>
              <w:sz w:val="18"/>
              <w:szCs w:val="18"/>
            </w:rPr>
          </w:pPr>
          <w:proofErr w:type="spellStart"/>
          <w:r w:rsidRPr="001A73E7">
            <w:rPr>
              <w:rFonts w:ascii="Arial" w:hAnsi="Arial" w:cs="Arial"/>
              <w:sz w:val="18"/>
              <w:szCs w:val="18"/>
            </w:rPr>
            <w:t>XXXXXX</w:t>
          </w:r>
          <w:proofErr w:type="spellEnd"/>
          <w:r w:rsidRPr="001A73E7">
            <w:rPr>
              <w:rFonts w:ascii="Arial" w:hAnsi="Arial" w:cs="Arial"/>
              <w:sz w:val="18"/>
              <w:szCs w:val="18"/>
            </w:rPr>
            <w:t xml:space="preserve"> (X/XX)</w:t>
          </w:r>
        </w:p>
      </w:tc>
      <w:tc>
        <w:tcPr>
          <w:tcW w:w="5760" w:type="dxa"/>
        </w:tcPr>
        <w:p w:rsidR="00A61E59" w:rsidRPr="001A73E7" w:rsidRDefault="00A61E59" w:rsidP="000D333E">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A61E59" w:rsidRPr="001A73E7" w:rsidRDefault="00A61E59" w:rsidP="000D333E">
          <w:pPr>
            <w:pStyle w:val="isof1"/>
            <w:jc w:val="center"/>
            <w:rPr>
              <w:rFonts w:cs="Arial"/>
              <w:sz w:val="18"/>
              <w:szCs w:val="18"/>
            </w:rPr>
          </w:pPr>
          <w:r w:rsidRPr="001A73E7">
            <w:rPr>
              <w:rFonts w:cs="Arial"/>
              <w:sz w:val="18"/>
              <w:szCs w:val="18"/>
            </w:rPr>
            <w:t xml:space="preserve">Or </w:t>
          </w:r>
        </w:p>
        <w:p w:rsidR="00A61E59" w:rsidRPr="001A73E7" w:rsidRDefault="00A61E59" w:rsidP="000D333E">
          <w:pPr>
            <w:pStyle w:val="isof1"/>
            <w:jc w:val="center"/>
            <w:rPr>
              <w:rFonts w:cs="Arial"/>
              <w:sz w:val="18"/>
              <w:szCs w:val="18"/>
            </w:rPr>
          </w:pPr>
          <w:r w:rsidRPr="001A73E7">
            <w:rPr>
              <w:rFonts w:cs="Arial"/>
              <w:sz w:val="18"/>
              <w:szCs w:val="18"/>
            </w:rPr>
            <w:t>Contains copyrighted material of the American Association of Insurance Services.</w:t>
          </w:r>
        </w:p>
        <w:p w:rsidR="00A61E59" w:rsidRPr="001A73E7" w:rsidRDefault="00A61E59" w:rsidP="000D333E">
          <w:pPr>
            <w:pStyle w:val="isof1"/>
            <w:jc w:val="center"/>
            <w:rPr>
              <w:rFonts w:cs="Arial"/>
              <w:sz w:val="18"/>
              <w:szCs w:val="18"/>
            </w:rPr>
          </w:pPr>
          <w:r w:rsidRPr="001A73E7">
            <w:rPr>
              <w:rFonts w:cs="Arial"/>
              <w:sz w:val="18"/>
              <w:szCs w:val="18"/>
            </w:rPr>
            <w:t>Or</w:t>
          </w:r>
        </w:p>
        <w:p w:rsidR="00A61E59" w:rsidRPr="001A73E7" w:rsidRDefault="00A61E59" w:rsidP="000D333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61E59" w:rsidRPr="001A73E7" w:rsidRDefault="00A61E59" w:rsidP="000D333E">
          <w:pPr>
            <w:pStyle w:val="isof1"/>
            <w:jc w:val="center"/>
            <w:rPr>
              <w:rFonts w:cs="Arial"/>
              <w:sz w:val="18"/>
              <w:szCs w:val="18"/>
            </w:rPr>
          </w:pPr>
        </w:p>
        <w:p w:rsidR="00A61E59" w:rsidRPr="001A73E7" w:rsidRDefault="00A61E59" w:rsidP="000D333E">
          <w:pPr>
            <w:pStyle w:val="Footer"/>
            <w:jc w:val="center"/>
            <w:rPr>
              <w:rFonts w:ascii="Arial" w:hAnsi="Arial" w:cs="Arial"/>
              <w:sz w:val="18"/>
              <w:szCs w:val="18"/>
            </w:rPr>
          </w:pPr>
        </w:p>
      </w:tc>
      <w:tc>
        <w:tcPr>
          <w:tcW w:w="1980" w:type="dxa"/>
        </w:tcPr>
        <w:p w:rsidR="00A61E59" w:rsidRPr="001A73E7" w:rsidRDefault="00A61E59" w:rsidP="000D333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A61E59" w:rsidRPr="001A73E7" w:rsidRDefault="00A61E59" w:rsidP="000D333E">
          <w:pPr>
            <w:pStyle w:val="Footer"/>
            <w:rPr>
              <w:rFonts w:ascii="Arial" w:hAnsi="Arial" w:cs="Arial"/>
              <w:sz w:val="18"/>
              <w:szCs w:val="18"/>
            </w:rPr>
          </w:pPr>
        </w:p>
      </w:tc>
    </w:tr>
  </w:tbl>
  <w:p w:rsidR="00A61E59" w:rsidRDefault="00A61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D25B5C" w:rsidP="00D25B5C">
    <w:pPr>
      <w:pStyle w:val="Footer"/>
      <w:tabs>
        <w:tab w:val="clear" w:pos="4680"/>
        <w:tab w:val="clear" w:pos="9360"/>
        <w:tab w:val="left" w:pos="1230"/>
      </w:tabs>
    </w:pPr>
    <w:r>
      <w:tab/>
    </w:r>
  </w:p>
  <w:tbl>
    <w:tblPr>
      <w:tblStyle w:val="TableGrid"/>
      <w:tblW w:w="0" w:type="auto"/>
      <w:tblLook w:val="01E0" w:firstRow="1" w:lastRow="1" w:firstColumn="1" w:lastColumn="1" w:noHBand="0" w:noVBand="0"/>
    </w:tblPr>
    <w:tblGrid>
      <w:gridCol w:w="1728"/>
      <w:gridCol w:w="5760"/>
      <w:gridCol w:w="1980"/>
    </w:tblGrid>
    <w:tr w:rsidR="0006357F" w:rsidRPr="00AD5EDA" w:rsidTr="001905BD">
      <w:trPr>
        <w:trHeight w:val="332"/>
      </w:trPr>
      <w:tc>
        <w:tcPr>
          <w:tcW w:w="1728" w:type="dxa"/>
        </w:tcPr>
        <w:p w:rsidR="0006357F" w:rsidRPr="00AD5EDA" w:rsidRDefault="00B42E8E" w:rsidP="0006357F">
          <w:pPr>
            <w:pStyle w:val="Footer"/>
            <w:rPr>
              <w:rFonts w:ascii="Arial" w:hAnsi="Arial" w:cs="Arial"/>
              <w:sz w:val="18"/>
              <w:szCs w:val="18"/>
            </w:rPr>
          </w:pPr>
          <w:r>
            <w:rPr>
              <w:rFonts w:ascii="Arial" w:hAnsi="Arial" w:cs="Arial"/>
              <w:sz w:val="18"/>
              <w:szCs w:val="18"/>
            </w:rPr>
            <w:t>97036 (02-08</w:t>
          </w:r>
          <w:r w:rsidR="00D25B5C">
            <w:rPr>
              <w:rFonts w:ascii="Arial" w:hAnsi="Arial" w:cs="Arial"/>
              <w:sz w:val="18"/>
              <w:szCs w:val="18"/>
            </w:rPr>
            <w:t>)</w:t>
          </w:r>
        </w:p>
      </w:tc>
      <w:tc>
        <w:tcPr>
          <w:tcW w:w="5760" w:type="dxa"/>
        </w:tcPr>
        <w:p w:rsidR="0006357F" w:rsidRPr="00AD5EDA" w:rsidRDefault="0006357F" w:rsidP="009C7056">
          <w:pPr>
            <w:autoSpaceDE w:val="0"/>
            <w:autoSpaceDN w:val="0"/>
            <w:adjustRightInd w:val="0"/>
            <w:ind w:left="360"/>
            <w:jc w:val="center"/>
            <w:rPr>
              <w:rFonts w:ascii="Arial" w:hAnsi="Arial" w:cs="Arial"/>
              <w:sz w:val="18"/>
              <w:szCs w:val="18"/>
            </w:rPr>
          </w:pPr>
          <w:r w:rsidRPr="00AD5EDA">
            <w:rPr>
              <w:rFonts w:ascii="Arial" w:hAnsi="Arial" w:cs="Arial"/>
              <w:sz w:val="18"/>
              <w:szCs w:val="18"/>
            </w:rPr>
            <w:t>©All rights reserved.</w:t>
          </w:r>
        </w:p>
      </w:tc>
      <w:tc>
        <w:tcPr>
          <w:tcW w:w="1980" w:type="dxa"/>
        </w:tcPr>
        <w:p w:rsidR="0006357F" w:rsidRPr="00AD5EDA" w:rsidRDefault="0006357F"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00725A8F" w:rsidRPr="00AD5EDA">
            <w:rPr>
              <w:rStyle w:val="PageNumber"/>
              <w:rFonts w:ascii="Arial" w:hAnsi="Arial" w:cs="Arial"/>
              <w:sz w:val="18"/>
              <w:szCs w:val="18"/>
            </w:rPr>
            <w:fldChar w:fldCharType="separate"/>
          </w:r>
          <w:r w:rsidR="00D0492E">
            <w:rPr>
              <w:rStyle w:val="PageNumber"/>
              <w:rFonts w:ascii="Arial" w:hAnsi="Arial" w:cs="Arial"/>
              <w:noProof/>
              <w:sz w:val="18"/>
              <w:szCs w:val="18"/>
            </w:rPr>
            <w:t>1</w:t>
          </w:r>
          <w:r w:rsidR="00725A8F"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00725A8F" w:rsidRPr="00AD5EDA">
            <w:rPr>
              <w:rStyle w:val="PageNumber"/>
              <w:rFonts w:ascii="Arial" w:hAnsi="Arial" w:cs="Arial"/>
              <w:sz w:val="18"/>
              <w:szCs w:val="18"/>
            </w:rPr>
            <w:fldChar w:fldCharType="separate"/>
          </w:r>
          <w:r w:rsidR="00D0492E">
            <w:rPr>
              <w:rStyle w:val="PageNumber"/>
              <w:rFonts w:ascii="Arial" w:hAnsi="Arial" w:cs="Arial"/>
              <w:noProof/>
              <w:sz w:val="18"/>
              <w:szCs w:val="18"/>
            </w:rPr>
            <w:t>7</w:t>
          </w:r>
          <w:r w:rsidR="00725A8F" w:rsidRPr="00AD5EDA">
            <w:rPr>
              <w:rStyle w:val="PageNumber"/>
              <w:rFonts w:ascii="Arial" w:hAnsi="Arial" w:cs="Arial"/>
              <w:sz w:val="18"/>
              <w:szCs w:val="18"/>
            </w:rPr>
            <w:fldChar w:fldCharType="end"/>
          </w:r>
        </w:p>
        <w:p w:rsidR="0006357F" w:rsidRPr="00AD5EDA" w:rsidRDefault="0006357F" w:rsidP="0006357F">
          <w:pPr>
            <w:pStyle w:val="Footer"/>
            <w:rPr>
              <w:rFonts w:ascii="Arial" w:hAnsi="Arial" w:cs="Arial"/>
              <w:sz w:val="18"/>
              <w:szCs w:val="18"/>
            </w:rPr>
          </w:pPr>
        </w:p>
      </w:tc>
    </w:tr>
  </w:tbl>
  <w:p w:rsidR="0006357F" w:rsidRDefault="0006357F">
    <w:pPr>
      <w:pStyle w:val="Footer"/>
    </w:pPr>
  </w:p>
  <w:p w:rsidR="0006357F" w:rsidRDefault="00063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E3CFC" w:rsidRPr="001A73E7" w:rsidTr="000B7E98">
      <w:trPr>
        <w:trHeight w:val="332"/>
      </w:trPr>
      <w:tc>
        <w:tcPr>
          <w:tcW w:w="1728" w:type="dxa"/>
        </w:tcPr>
        <w:p w:rsidR="00BE3CFC" w:rsidRPr="001A73E7" w:rsidRDefault="00BE3CFC" w:rsidP="00BE3CFC">
          <w:pPr>
            <w:tabs>
              <w:tab w:val="center" w:pos="4680"/>
              <w:tab w:val="right" w:pos="9360"/>
            </w:tabs>
            <w:rPr>
              <w:rFonts w:ascii="Arial" w:hAnsi="Arial" w:cs="Arial"/>
              <w:sz w:val="18"/>
              <w:szCs w:val="18"/>
            </w:rPr>
          </w:pPr>
        </w:p>
      </w:tc>
      <w:tc>
        <w:tcPr>
          <w:tcW w:w="5760" w:type="dxa"/>
        </w:tcPr>
        <w:p w:rsidR="00BE3CFC" w:rsidRPr="001A73E7" w:rsidRDefault="00BE3CFC" w:rsidP="00BE3CFC">
          <w:pPr>
            <w:tabs>
              <w:tab w:val="center" w:pos="4680"/>
              <w:tab w:val="right" w:pos="9360"/>
            </w:tabs>
            <w:jc w:val="center"/>
            <w:rPr>
              <w:rFonts w:ascii="Arial" w:hAnsi="Arial" w:cs="Arial"/>
              <w:sz w:val="18"/>
              <w:szCs w:val="18"/>
            </w:rPr>
          </w:pPr>
        </w:p>
      </w:tc>
      <w:tc>
        <w:tcPr>
          <w:tcW w:w="1980" w:type="dxa"/>
        </w:tcPr>
        <w:p w:rsidR="00BE3CFC" w:rsidRPr="001A73E7" w:rsidRDefault="00BE3CFC" w:rsidP="00BE3CFC">
          <w:pPr>
            <w:tabs>
              <w:tab w:val="center" w:pos="4680"/>
              <w:tab w:val="right" w:pos="9360"/>
            </w:tabs>
            <w:rPr>
              <w:rFonts w:ascii="Arial" w:hAnsi="Arial" w:cs="Arial"/>
              <w:sz w:val="18"/>
              <w:szCs w:val="18"/>
            </w:rPr>
          </w:pPr>
        </w:p>
      </w:tc>
    </w:tr>
    <w:tr w:rsidR="003611E7"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3611E7" w:rsidRPr="001A73E7" w:rsidRDefault="003611E7" w:rsidP="00CC6446">
          <w:pPr>
            <w:pStyle w:val="Footer"/>
            <w:rPr>
              <w:rFonts w:ascii="Arial" w:hAnsi="Arial" w:cs="Arial"/>
              <w:sz w:val="18"/>
              <w:szCs w:val="18"/>
            </w:rPr>
          </w:pPr>
          <w:proofErr w:type="spellStart"/>
          <w:r w:rsidRPr="001A73E7">
            <w:rPr>
              <w:rFonts w:ascii="Arial" w:hAnsi="Arial" w:cs="Arial"/>
              <w:sz w:val="18"/>
              <w:szCs w:val="18"/>
            </w:rPr>
            <w:t>XXXXXX</w:t>
          </w:r>
          <w:proofErr w:type="spellEnd"/>
          <w:r w:rsidRPr="001A73E7">
            <w:rPr>
              <w:rFonts w:ascii="Arial" w:hAnsi="Arial" w:cs="Arial"/>
              <w:sz w:val="18"/>
              <w:szCs w:val="18"/>
            </w:rPr>
            <w:t xml:space="preserve"> (X/XX)</w:t>
          </w:r>
        </w:p>
      </w:tc>
      <w:tc>
        <w:tcPr>
          <w:tcW w:w="5760" w:type="dxa"/>
        </w:tcPr>
        <w:p w:rsidR="003611E7" w:rsidRPr="001A73E7" w:rsidRDefault="003611E7" w:rsidP="00CC6446">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3611E7" w:rsidRPr="001A73E7" w:rsidRDefault="003611E7" w:rsidP="00CC6446">
          <w:pPr>
            <w:pStyle w:val="isof1"/>
            <w:jc w:val="center"/>
            <w:rPr>
              <w:rFonts w:cs="Arial"/>
              <w:sz w:val="18"/>
              <w:szCs w:val="18"/>
            </w:rPr>
          </w:pPr>
          <w:r w:rsidRPr="001A73E7">
            <w:rPr>
              <w:rFonts w:cs="Arial"/>
              <w:sz w:val="18"/>
              <w:szCs w:val="18"/>
            </w:rPr>
            <w:t xml:space="preserve">Or </w:t>
          </w:r>
        </w:p>
        <w:p w:rsidR="003611E7" w:rsidRPr="001A73E7" w:rsidRDefault="003611E7" w:rsidP="00CC6446">
          <w:pPr>
            <w:pStyle w:val="isof1"/>
            <w:jc w:val="center"/>
            <w:rPr>
              <w:rFonts w:cs="Arial"/>
              <w:sz w:val="18"/>
              <w:szCs w:val="18"/>
            </w:rPr>
          </w:pPr>
          <w:r w:rsidRPr="001A73E7">
            <w:rPr>
              <w:rFonts w:cs="Arial"/>
              <w:sz w:val="18"/>
              <w:szCs w:val="18"/>
            </w:rPr>
            <w:t>Contains copyrighted material of the American Association of Insurance Services.</w:t>
          </w:r>
        </w:p>
        <w:p w:rsidR="003611E7" w:rsidRPr="001A73E7" w:rsidRDefault="003611E7" w:rsidP="00CC6446">
          <w:pPr>
            <w:pStyle w:val="isof1"/>
            <w:jc w:val="center"/>
            <w:rPr>
              <w:rFonts w:cs="Arial"/>
              <w:sz w:val="18"/>
              <w:szCs w:val="18"/>
            </w:rPr>
          </w:pPr>
          <w:r w:rsidRPr="001A73E7">
            <w:rPr>
              <w:rFonts w:cs="Arial"/>
              <w:sz w:val="18"/>
              <w:szCs w:val="18"/>
            </w:rPr>
            <w:t>Or</w:t>
          </w:r>
        </w:p>
        <w:p w:rsidR="003611E7" w:rsidRPr="001A73E7" w:rsidRDefault="003611E7" w:rsidP="00CC6446">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3611E7" w:rsidRPr="001A73E7" w:rsidRDefault="003611E7" w:rsidP="00CC6446">
          <w:pPr>
            <w:pStyle w:val="isof1"/>
            <w:jc w:val="center"/>
            <w:rPr>
              <w:rFonts w:cs="Arial"/>
              <w:sz w:val="18"/>
              <w:szCs w:val="18"/>
            </w:rPr>
          </w:pPr>
        </w:p>
        <w:p w:rsidR="003611E7" w:rsidRPr="001A73E7" w:rsidRDefault="003611E7" w:rsidP="00CC6446">
          <w:pPr>
            <w:pStyle w:val="Footer"/>
            <w:jc w:val="center"/>
            <w:rPr>
              <w:rFonts w:ascii="Arial" w:hAnsi="Arial" w:cs="Arial"/>
              <w:sz w:val="18"/>
              <w:szCs w:val="18"/>
            </w:rPr>
          </w:pPr>
        </w:p>
      </w:tc>
      <w:tc>
        <w:tcPr>
          <w:tcW w:w="1980" w:type="dxa"/>
        </w:tcPr>
        <w:p w:rsidR="003611E7" w:rsidRPr="001A73E7" w:rsidRDefault="003611E7" w:rsidP="00CC6446">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3</w:t>
          </w:r>
          <w:r w:rsidRPr="001A73E7">
            <w:rPr>
              <w:rStyle w:val="PageNumber"/>
              <w:rFonts w:ascii="Arial" w:hAnsi="Arial" w:cs="Arial"/>
              <w:sz w:val="18"/>
              <w:szCs w:val="18"/>
            </w:rPr>
            <w:fldChar w:fldCharType="end"/>
          </w:r>
        </w:p>
        <w:p w:rsidR="003611E7" w:rsidRPr="001A73E7" w:rsidRDefault="003611E7" w:rsidP="00CC6446">
          <w:pPr>
            <w:pStyle w:val="Footer"/>
            <w:rPr>
              <w:rFonts w:ascii="Arial" w:hAnsi="Arial" w:cs="Arial"/>
              <w:sz w:val="18"/>
              <w:szCs w:val="18"/>
            </w:rPr>
          </w:pPr>
        </w:p>
      </w:tc>
    </w:tr>
  </w:tbl>
  <w:p w:rsidR="00BE3CFC" w:rsidRPr="001A73E7" w:rsidRDefault="00BE3CF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056" w:rsidRDefault="009C70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056" w:rsidRDefault="009C70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FC" w:rsidRPr="00BE3CFC" w:rsidRDefault="00BE3CFC" w:rsidP="00BE3CFC">
    <w:pPr>
      <w:jc w:val="center"/>
      <w:rPr>
        <w:rFonts w:ascii="Univers ATT" w:hAnsi="Univers ATT"/>
        <w:b/>
        <w:bCs/>
        <w:sz w:val="20"/>
        <w:szCs w:val="20"/>
      </w:rPr>
    </w:pPr>
  </w:p>
  <w:p w:rsidR="00BE3CFC" w:rsidRPr="00BE3CFC" w:rsidRDefault="00BE3CFC" w:rsidP="00BE3CFC">
    <w:pPr>
      <w:tabs>
        <w:tab w:val="center" w:pos="4680"/>
        <w:tab w:val="right" w:pos="9360"/>
      </w:tabs>
    </w:pPr>
  </w:p>
  <w:p w:rsidR="004C739F" w:rsidRDefault="004C73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128ED"/>
    <w:multiLevelType w:val="multilevel"/>
    <w:tmpl w:val="777AE934"/>
    <w:lvl w:ilvl="0">
      <w:start w:val="1"/>
      <w:numFmt w:val="decimal"/>
      <w:lvlText w:val="%1."/>
      <w:lvlJc w:val="left"/>
      <w:pPr>
        <w:tabs>
          <w:tab w:val="num" w:pos="720"/>
        </w:tabs>
        <w:ind w:left="720" w:hanging="720"/>
      </w:pPr>
      <w:rPr>
        <w:rFonts w:ascii="Arial" w:hAnsi="Arial" w:hint="default"/>
        <w:b/>
        <w:i w:val="0"/>
        <w:caps w:val="0"/>
        <w:strike w:val="0"/>
        <w:dstrike w:val="0"/>
        <w:outline w:val="0"/>
        <w:shadow w:val="0"/>
        <w:emboss w:val="0"/>
        <w:imprint w:val="0"/>
        <w:vanish w:val="0"/>
        <w:sz w:val="20"/>
        <w:szCs w:val="20"/>
        <w:vertAlign w:val="baseline"/>
      </w:rPr>
    </w:lvl>
    <w:lvl w:ilvl="1">
      <w:start w:val="1"/>
      <w:numFmt w:val="upperLetter"/>
      <w:lvlText w:val="%2."/>
      <w:lvlJc w:val="left"/>
      <w:pPr>
        <w:tabs>
          <w:tab w:val="num" w:pos="1440"/>
        </w:tabs>
        <w:ind w:left="1440" w:hanging="720"/>
      </w:pPr>
      <w:rPr>
        <w:rFonts w:ascii="Arial" w:hAnsi="Arial" w:hint="default"/>
        <w:b/>
        <w:i w:val="0"/>
        <w:sz w:val="20"/>
        <w:szCs w:val="20"/>
      </w:rPr>
    </w:lvl>
    <w:lvl w:ilvl="2">
      <w:start w:val="1"/>
      <w:numFmt w:val="decimal"/>
      <w:lvlText w:val="(%3)"/>
      <w:lvlJc w:val="left"/>
      <w:pPr>
        <w:tabs>
          <w:tab w:val="num" w:pos="2160"/>
        </w:tabs>
        <w:ind w:left="2160" w:hanging="720"/>
      </w:pPr>
      <w:rPr>
        <w:rFonts w:ascii="Arial" w:hAnsi="Arial" w:hint="default"/>
        <w:b/>
        <w:i w:val="0"/>
        <w:sz w:val="22"/>
        <w:szCs w:val="22"/>
      </w:rPr>
    </w:lvl>
    <w:lvl w:ilvl="3">
      <w:start w:val="1"/>
      <w:numFmt w:val="lowerLetter"/>
      <w:lvlText w:val="%4."/>
      <w:lvlJc w:val="left"/>
      <w:pPr>
        <w:tabs>
          <w:tab w:val="num" w:pos="2880"/>
        </w:tabs>
        <w:ind w:left="2880" w:hanging="720"/>
      </w:pPr>
      <w:rPr>
        <w:rFonts w:ascii="Arial" w:hAnsi="Arial" w:hint="default"/>
        <w:b/>
        <w:i w:val="0"/>
        <w:sz w:val="22"/>
        <w:szCs w:val="22"/>
      </w:rPr>
    </w:lvl>
    <w:lvl w:ilvl="4">
      <w:start w:val="1"/>
      <w:numFmt w:val="lowerRoman"/>
      <w:lvlText w:val="(%5)"/>
      <w:lvlJc w:val="left"/>
      <w:pPr>
        <w:tabs>
          <w:tab w:val="num" w:pos="3600"/>
        </w:tabs>
        <w:ind w:left="3600" w:hanging="720"/>
      </w:pPr>
      <w:rPr>
        <w:rFonts w:ascii="Arial" w:hAnsi="Arial" w:hint="default"/>
        <w:b/>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8450A"/>
    <w:rsid w:val="000B7E98"/>
    <w:rsid w:val="000C6BC6"/>
    <w:rsid w:val="00152B15"/>
    <w:rsid w:val="001905BD"/>
    <w:rsid w:val="001939D8"/>
    <w:rsid w:val="001A73E7"/>
    <w:rsid w:val="001D5B9D"/>
    <w:rsid w:val="002D7A33"/>
    <w:rsid w:val="003611E7"/>
    <w:rsid w:val="003F459C"/>
    <w:rsid w:val="0049302F"/>
    <w:rsid w:val="004A3C05"/>
    <w:rsid w:val="004C739F"/>
    <w:rsid w:val="0056175F"/>
    <w:rsid w:val="0060212C"/>
    <w:rsid w:val="006436CC"/>
    <w:rsid w:val="00725A8F"/>
    <w:rsid w:val="007D0A44"/>
    <w:rsid w:val="007E6471"/>
    <w:rsid w:val="0087372E"/>
    <w:rsid w:val="00945D8D"/>
    <w:rsid w:val="009C7056"/>
    <w:rsid w:val="00A61E59"/>
    <w:rsid w:val="00AD5EDA"/>
    <w:rsid w:val="00B03E50"/>
    <w:rsid w:val="00B32E3D"/>
    <w:rsid w:val="00B42E8E"/>
    <w:rsid w:val="00BE3CFC"/>
    <w:rsid w:val="00CC421B"/>
    <w:rsid w:val="00D0492E"/>
    <w:rsid w:val="00D25B5C"/>
    <w:rsid w:val="00D315D4"/>
    <w:rsid w:val="00FC54BC"/>
    <w:rsid w:val="00FC5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03E50"/>
    <w:rPr>
      <w:sz w:val="16"/>
      <w:szCs w:val="16"/>
    </w:rPr>
  </w:style>
  <w:style w:type="paragraph" w:styleId="CommentText">
    <w:name w:val="annotation text"/>
    <w:basedOn w:val="Normal"/>
    <w:link w:val="CommentTextChar"/>
    <w:uiPriority w:val="99"/>
    <w:semiHidden/>
    <w:unhideWhenUsed/>
    <w:rsid w:val="00B03E50"/>
    <w:rPr>
      <w:sz w:val="20"/>
      <w:szCs w:val="20"/>
    </w:rPr>
  </w:style>
  <w:style w:type="character" w:customStyle="1" w:styleId="CommentTextChar">
    <w:name w:val="Comment Text Char"/>
    <w:basedOn w:val="DefaultParagraphFont"/>
    <w:link w:val="CommentText"/>
    <w:uiPriority w:val="99"/>
    <w:semiHidden/>
    <w:rsid w:val="00B03E5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03E50"/>
    <w:rPr>
      <w:b/>
      <w:bCs/>
    </w:rPr>
  </w:style>
  <w:style w:type="character" w:customStyle="1" w:styleId="CommentSubjectChar">
    <w:name w:val="Comment Subject Char"/>
    <w:basedOn w:val="CommentTextChar"/>
    <w:link w:val="CommentSubject"/>
    <w:uiPriority w:val="99"/>
    <w:semiHidden/>
    <w:rsid w:val="00B03E5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03E50"/>
    <w:rPr>
      <w:rFonts w:ascii="Tahoma" w:hAnsi="Tahoma" w:cs="Tahoma"/>
      <w:sz w:val="16"/>
      <w:szCs w:val="16"/>
    </w:rPr>
  </w:style>
  <w:style w:type="character" w:customStyle="1" w:styleId="BalloonTextChar">
    <w:name w:val="Balloon Text Char"/>
    <w:basedOn w:val="DefaultParagraphFont"/>
    <w:link w:val="BalloonText"/>
    <w:uiPriority w:val="99"/>
    <w:semiHidden/>
    <w:rsid w:val="00B03E5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03E50"/>
    <w:rPr>
      <w:sz w:val="16"/>
      <w:szCs w:val="16"/>
    </w:rPr>
  </w:style>
  <w:style w:type="paragraph" w:styleId="CommentText">
    <w:name w:val="annotation text"/>
    <w:basedOn w:val="Normal"/>
    <w:link w:val="CommentTextChar"/>
    <w:uiPriority w:val="99"/>
    <w:semiHidden/>
    <w:unhideWhenUsed/>
    <w:rsid w:val="00B03E50"/>
    <w:rPr>
      <w:sz w:val="20"/>
      <w:szCs w:val="20"/>
    </w:rPr>
  </w:style>
  <w:style w:type="character" w:customStyle="1" w:styleId="CommentTextChar">
    <w:name w:val="Comment Text Char"/>
    <w:basedOn w:val="DefaultParagraphFont"/>
    <w:link w:val="CommentText"/>
    <w:uiPriority w:val="99"/>
    <w:semiHidden/>
    <w:rsid w:val="00B03E5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03E50"/>
    <w:rPr>
      <w:b/>
      <w:bCs/>
    </w:rPr>
  </w:style>
  <w:style w:type="character" w:customStyle="1" w:styleId="CommentSubjectChar">
    <w:name w:val="Comment Subject Char"/>
    <w:basedOn w:val="CommentTextChar"/>
    <w:link w:val="CommentSubject"/>
    <w:uiPriority w:val="99"/>
    <w:semiHidden/>
    <w:rsid w:val="00B03E5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03E50"/>
    <w:rPr>
      <w:rFonts w:ascii="Tahoma" w:hAnsi="Tahoma" w:cs="Tahoma"/>
      <w:sz w:val="16"/>
      <w:szCs w:val="16"/>
    </w:rPr>
  </w:style>
  <w:style w:type="character" w:customStyle="1" w:styleId="BalloonTextChar">
    <w:name w:val="Balloon Text Char"/>
    <w:basedOn w:val="DefaultParagraphFont"/>
    <w:link w:val="BalloonText"/>
    <w:uiPriority w:val="99"/>
    <w:semiHidden/>
    <w:rsid w:val="00B03E5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859DC-7E0E-4CBA-A906-A3A9BCA58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2256</Words>
  <Characters>12862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2017-06-21T14:13:00Z</dcterms:created>
  <dcterms:modified xsi:type="dcterms:W3CDTF">2017-08-17T13:34:00Z</dcterms:modified>
</cp:coreProperties>
</file>