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exact" w:before="71"/>
        <w:ind w:left="1314" w:right="1331" w:firstLine="0"/>
        <w:jc w:val="center"/>
        <w:rPr>
          <w:b/>
          <w:sz w:val="24"/>
        </w:rPr>
      </w:pPr>
      <w:r>
        <w:rPr>
          <w:b/>
          <w:sz w:val="24"/>
        </w:rPr>
        <w:t>NATIONAL UNION FIRE INSURANCE COMPANY OF PITTSBURGH, PA</w:t>
      </w:r>
    </w:p>
    <w:p>
      <w:pPr>
        <w:spacing w:before="0"/>
        <w:ind w:left="3042" w:right="3064" w:firstLine="0"/>
        <w:jc w:val="center"/>
        <w:rPr>
          <w:b/>
          <w:sz w:val="22"/>
        </w:rPr>
      </w:pPr>
      <w:r>
        <w:rPr>
          <w:b/>
          <w:sz w:val="22"/>
        </w:rPr>
        <w:t>PSYCHIATRIST PROFESSIONAL LIABILITY </w:t>
      </w:r>
      <w:r>
        <w:rPr>
          <w:b/>
          <w:sz w:val="22"/>
          <w:u w:val="thick"/>
        </w:rPr>
        <w:t>WISCONSIN</w:t>
      </w:r>
    </w:p>
    <w:p>
      <w:pPr>
        <w:pStyle w:val="BodyText"/>
        <w:spacing w:before="9"/>
        <w:rPr>
          <w:b/>
          <w:sz w:val="11"/>
        </w:rPr>
      </w:pPr>
    </w:p>
    <w:p>
      <w:pPr>
        <w:pStyle w:val="BodyText"/>
        <w:spacing w:before="92"/>
        <w:ind w:left="2173" w:right="52"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212"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40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pPr>
    </w:p>
    <w:p>
      <w:pPr>
        <w:pStyle w:val="Heading1"/>
        <w:numPr>
          <w:ilvl w:val="0"/>
          <w:numId w:val="1"/>
        </w:numPr>
        <w:tabs>
          <w:tab w:pos="463" w:val="left" w:leader="none"/>
          <w:tab w:pos="464" w:val="left" w:leader="none"/>
        </w:tabs>
        <w:spacing w:line="230" w:lineRule="exact" w:before="0" w:after="0"/>
        <w:ind w:left="463" w:right="0" w:hanging="360"/>
        <w:jc w:val="left"/>
      </w:pPr>
      <w:r>
        <w:rPr/>
        <w:t>Additional Premium (AP) and Return Premium</w:t>
      </w:r>
      <w:r>
        <w:rPr>
          <w:spacing w:val="-8"/>
        </w:rPr>
        <w:t> </w:t>
      </w:r>
      <w:r>
        <w:rPr/>
        <w:t>(RP):</w:t>
      </w:r>
    </w:p>
    <w:p>
      <w:pPr>
        <w:pStyle w:val="BodyText"/>
        <w:spacing w:line="230" w:lineRule="exact"/>
        <w:ind w:left="463"/>
      </w:pPr>
      <w:r>
        <w:rPr/>
        <w:t>The additional premium charges will be calculated as follows:</w:t>
      </w:r>
    </w:p>
    <w:p>
      <w:pPr>
        <w:pStyle w:val="ListParagraph"/>
        <w:numPr>
          <w:ilvl w:val="1"/>
          <w:numId w:val="1"/>
        </w:numPr>
        <w:tabs>
          <w:tab w:pos="823" w:val="left" w:leader="none"/>
          <w:tab w:pos="824" w:val="left" w:leader="none"/>
        </w:tabs>
        <w:spacing w:line="240" w:lineRule="auto" w:before="0" w:after="0"/>
        <w:ind w:left="824" w:right="0" w:hanging="361"/>
        <w:jc w:val="left"/>
        <w:rPr>
          <w:sz w:val="20"/>
        </w:rPr>
      </w:pPr>
      <w:r>
        <w:rPr>
          <w:sz w:val="20"/>
        </w:rPr>
        <w:t>Pro-rate all changes requiring additional</w:t>
      </w:r>
      <w:r>
        <w:rPr>
          <w:spacing w:val="-27"/>
          <w:sz w:val="20"/>
        </w:rPr>
        <w:t> </w:t>
      </w:r>
      <w:r>
        <w:rPr>
          <w:sz w:val="20"/>
        </w:rPr>
        <w:t>premium.</w:t>
      </w:r>
    </w:p>
    <w:p>
      <w:pPr>
        <w:pStyle w:val="ListParagraph"/>
        <w:numPr>
          <w:ilvl w:val="1"/>
          <w:numId w:val="1"/>
        </w:numPr>
        <w:tabs>
          <w:tab w:pos="824"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5"/>
          <w:sz w:val="20"/>
        </w:rPr>
        <w:t> </w:t>
      </w:r>
      <w:r>
        <w:rPr>
          <w:sz w:val="20"/>
        </w:rPr>
        <w:t>change.</w:t>
      </w:r>
    </w:p>
    <w:p>
      <w:pPr>
        <w:pStyle w:val="ListParagraph"/>
        <w:numPr>
          <w:ilvl w:val="1"/>
          <w:numId w:val="1"/>
        </w:numPr>
        <w:tabs>
          <w:tab w:pos="824" w:val="left" w:leader="none"/>
        </w:tabs>
        <w:spacing w:line="240" w:lineRule="auto" w:before="0" w:after="0"/>
        <w:ind w:left="824" w:right="242" w:hanging="360"/>
        <w:jc w:val="left"/>
        <w:rPr>
          <w:rFonts w:ascii="Arial"/>
          <w:sz w:val="20"/>
        </w:rPr>
      </w:pPr>
      <w:r>
        <w:rPr>
          <w:sz w:val="20"/>
        </w:rPr>
        <w:t>Waive additional premium of $20.00 or less. The waiver only applies to cash exchange due on an endorsement effective date.</w:t>
      </w:r>
    </w:p>
    <w:p>
      <w:pPr>
        <w:pStyle w:val="BodyText"/>
        <w:ind w:left="463"/>
      </w:pPr>
      <w:r>
        <w:rPr/>
        <w:t>The return premium charges will be calculated as follows:</w:t>
      </w:r>
    </w:p>
    <w:p>
      <w:pPr>
        <w:pStyle w:val="ListParagraph"/>
        <w:numPr>
          <w:ilvl w:val="0"/>
          <w:numId w:val="2"/>
        </w:numPr>
        <w:tabs>
          <w:tab w:pos="823" w:val="left" w:leader="none"/>
          <w:tab w:pos="824"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5"/>
          <w:sz w:val="20"/>
        </w:rPr>
        <w:t> </w:t>
      </w:r>
      <w:r>
        <w:rPr>
          <w:sz w:val="20"/>
        </w:rPr>
        <w:t>mandatory</w:t>
      </w:r>
      <w:r>
        <w:rPr>
          <w:spacing w:val="-4"/>
          <w:sz w:val="20"/>
        </w:rPr>
        <w:t> </w:t>
      </w:r>
      <w:r>
        <w:rPr>
          <w:sz w:val="20"/>
        </w:rPr>
        <w:t>coverage</w:t>
      </w:r>
      <w:r>
        <w:rPr>
          <w:spacing w:val="-4"/>
          <w:sz w:val="20"/>
        </w:rPr>
        <w:t> </w:t>
      </w:r>
      <w:r>
        <w:rPr>
          <w:sz w:val="20"/>
        </w:rPr>
        <w:t>is</w:t>
      </w:r>
      <w:r>
        <w:rPr>
          <w:spacing w:val="-3"/>
          <w:sz w:val="20"/>
        </w:rPr>
        <w:t> </w:t>
      </w:r>
      <w:r>
        <w:rPr>
          <w:sz w:val="20"/>
        </w:rPr>
        <w:t>not</w:t>
      </w:r>
      <w:r>
        <w:rPr>
          <w:spacing w:val="-5"/>
          <w:sz w:val="20"/>
        </w:rPr>
        <w:t> </w:t>
      </w:r>
      <w:r>
        <w:rPr>
          <w:sz w:val="20"/>
        </w:rPr>
        <w:t>permitted</w:t>
      </w:r>
      <w:r>
        <w:rPr>
          <w:spacing w:val="-2"/>
          <w:sz w:val="20"/>
        </w:rPr>
        <w:t> </w:t>
      </w:r>
      <w:r>
        <w:rPr>
          <w:sz w:val="20"/>
        </w:rPr>
        <w:t>unless</w:t>
      </w:r>
      <w:r>
        <w:rPr>
          <w:spacing w:val="-4"/>
          <w:sz w:val="20"/>
        </w:rPr>
        <w:t> </w:t>
      </w:r>
      <w:r>
        <w:rPr>
          <w:sz w:val="20"/>
        </w:rPr>
        <w:t>the</w:t>
      </w:r>
      <w:r>
        <w:rPr>
          <w:spacing w:val="-3"/>
          <w:sz w:val="20"/>
        </w:rPr>
        <w:t> </w:t>
      </w:r>
      <w:r>
        <w:rPr>
          <w:sz w:val="20"/>
        </w:rPr>
        <w:t>entire</w:t>
      </w:r>
      <w:r>
        <w:rPr>
          <w:spacing w:val="-5"/>
          <w:sz w:val="20"/>
        </w:rPr>
        <w:t> </w:t>
      </w:r>
      <w:r>
        <w:rPr>
          <w:sz w:val="20"/>
        </w:rPr>
        <w:t>policy</w:t>
      </w:r>
      <w:r>
        <w:rPr>
          <w:spacing w:val="-3"/>
          <w:sz w:val="20"/>
        </w:rPr>
        <w:t> </w:t>
      </w:r>
      <w:r>
        <w:rPr>
          <w:sz w:val="20"/>
        </w:rPr>
        <w:t>is</w:t>
      </w:r>
      <w:r>
        <w:rPr>
          <w:spacing w:val="-3"/>
          <w:sz w:val="20"/>
        </w:rPr>
        <w:t> </w:t>
      </w:r>
      <w:r>
        <w:rPr>
          <w:sz w:val="20"/>
        </w:rPr>
        <w:t>canceled.</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3"/>
          <w:sz w:val="20"/>
        </w:rPr>
        <w:t> </w:t>
      </w:r>
      <w:r>
        <w:rPr>
          <w:sz w:val="20"/>
        </w:rPr>
        <w:t>return</w:t>
      </w:r>
      <w:r>
        <w:rPr>
          <w:spacing w:val="-4"/>
          <w:sz w:val="20"/>
        </w:rPr>
        <w:t> </w:t>
      </w:r>
      <w:r>
        <w:rPr>
          <w:sz w:val="20"/>
        </w:rPr>
        <w:t>premium</w:t>
      </w:r>
      <w:r>
        <w:rPr>
          <w:spacing w:val="-5"/>
          <w:sz w:val="20"/>
        </w:rPr>
        <w:t> </w:t>
      </w:r>
      <w:r>
        <w:rPr>
          <w:sz w:val="20"/>
        </w:rPr>
        <w:t>at</w:t>
      </w:r>
      <w:r>
        <w:rPr>
          <w:spacing w:val="-3"/>
          <w:sz w:val="20"/>
        </w:rPr>
        <w:t> </w:t>
      </w:r>
      <w:r>
        <w:rPr>
          <w:sz w:val="20"/>
        </w:rPr>
        <w:t>the</w:t>
      </w:r>
      <w:r>
        <w:rPr>
          <w:spacing w:val="-4"/>
          <w:sz w:val="20"/>
        </w:rPr>
        <w:t> </w:t>
      </w:r>
      <w:r>
        <w:rPr>
          <w:sz w:val="20"/>
        </w:rPr>
        <w:t>rate</w:t>
      </w:r>
      <w:r>
        <w:rPr>
          <w:spacing w:val="-2"/>
          <w:sz w:val="20"/>
        </w:rPr>
        <w:t> </w:t>
      </w:r>
      <w:r>
        <w:rPr>
          <w:sz w:val="20"/>
        </w:rPr>
        <w:t>used</w:t>
      </w:r>
      <w:r>
        <w:rPr>
          <w:spacing w:val="-2"/>
          <w:sz w:val="20"/>
        </w:rPr>
        <w:t> </w:t>
      </w:r>
      <w:r>
        <w:rPr>
          <w:sz w:val="20"/>
        </w:rPr>
        <w:t>to</w:t>
      </w:r>
      <w:r>
        <w:rPr>
          <w:spacing w:val="-4"/>
          <w:sz w:val="20"/>
        </w:rPr>
        <w:t> </w:t>
      </w:r>
      <w:r>
        <w:rPr>
          <w:sz w:val="20"/>
        </w:rPr>
        <w:t>calculate</w:t>
      </w:r>
      <w:r>
        <w:rPr>
          <w:spacing w:val="-4"/>
          <w:sz w:val="20"/>
        </w:rPr>
        <w:t> </w:t>
      </w:r>
      <w:r>
        <w:rPr>
          <w:sz w:val="20"/>
        </w:rPr>
        <w:t>the</w:t>
      </w:r>
      <w:r>
        <w:rPr>
          <w:spacing w:val="-5"/>
          <w:sz w:val="20"/>
        </w:rPr>
        <w:t> </w:t>
      </w:r>
      <w:r>
        <w:rPr>
          <w:sz w:val="20"/>
        </w:rPr>
        <w:t>policy</w:t>
      </w:r>
      <w:r>
        <w:rPr>
          <w:spacing w:val="-4"/>
          <w:sz w:val="20"/>
        </w:rPr>
        <w:t> </w:t>
      </w:r>
      <w:r>
        <w:rPr>
          <w:sz w:val="20"/>
        </w:rPr>
        <w:t>premium.</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2"/>
          <w:sz w:val="20"/>
        </w:rPr>
        <w:t> </w:t>
      </w:r>
      <w:r>
        <w:rPr>
          <w:sz w:val="20"/>
        </w:rPr>
        <w:t>return</w:t>
      </w:r>
      <w:r>
        <w:rPr>
          <w:spacing w:val="-3"/>
          <w:sz w:val="20"/>
        </w:rPr>
        <w:t> </w:t>
      </w:r>
      <w:r>
        <w:rPr>
          <w:sz w:val="20"/>
        </w:rPr>
        <w:t>premium</w:t>
      </w:r>
      <w:r>
        <w:rPr>
          <w:spacing w:val="-4"/>
          <w:sz w:val="20"/>
        </w:rPr>
        <w:t> </w:t>
      </w:r>
      <w:r>
        <w:rPr>
          <w:sz w:val="20"/>
        </w:rPr>
        <w:t>pro</w:t>
      </w:r>
      <w:r>
        <w:rPr>
          <w:spacing w:val="-3"/>
          <w:sz w:val="20"/>
        </w:rPr>
        <w:t> </w:t>
      </w:r>
      <w:r>
        <w:rPr>
          <w:sz w:val="20"/>
        </w:rPr>
        <w:t>rata</w:t>
      </w:r>
      <w:r>
        <w:rPr>
          <w:spacing w:val="-3"/>
          <w:sz w:val="20"/>
        </w:rPr>
        <w:t> </w:t>
      </w:r>
      <w:r>
        <w:rPr>
          <w:sz w:val="20"/>
        </w:rPr>
        <w:t>when</w:t>
      </w:r>
      <w:r>
        <w:rPr>
          <w:spacing w:val="-1"/>
          <w:sz w:val="20"/>
        </w:rPr>
        <w:t> </w:t>
      </w:r>
      <w:r>
        <w:rPr>
          <w:sz w:val="20"/>
        </w:rPr>
        <w:t>any</w:t>
      </w:r>
      <w:r>
        <w:rPr>
          <w:spacing w:val="-4"/>
          <w:sz w:val="20"/>
        </w:rPr>
        <w:t> </w:t>
      </w:r>
      <w:r>
        <w:rPr>
          <w:sz w:val="20"/>
        </w:rPr>
        <w:t>coverage</w:t>
      </w:r>
      <w:r>
        <w:rPr>
          <w:spacing w:val="-3"/>
          <w:sz w:val="20"/>
        </w:rPr>
        <w:t> </w:t>
      </w:r>
      <w:r>
        <w:rPr>
          <w:sz w:val="20"/>
        </w:rPr>
        <w:t>or</w:t>
      </w:r>
      <w:r>
        <w:rPr>
          <w:spacing w:val="-2"/>
          <w:sz w:val="20"/>
        </w:rPr>
        <w:t> </w:t>
      </w:r>
      <w:r>
        <w:rPr>
          <w:sz w:val="20"/>
        </w:rPr>
        <w:t>exposure</w:t>
      </w:r>
      <w:r>
        <w:rPr>
          <w:spacing w:val="-2"/>
          <w:sz w:val="20"/>
        </w:rPr>
        <w:t> </w:t>
      </w:r>
      <w:r>
        <w:rPr>
          <w:sz w:val="20"/>
        </w:rPr>
        <w:t>is</w:t>
      </w:r>
      <w:r>
        <w:rPr>
          <w:spacing w:val="-3"/>
          <w:sz w:val="20"/>
        </w:rPr>
        <w:t> </w:t>
      </w:r>
      <w:r>
        <w:rPr>
          <w:sz w:val="20"/>
        </w:rPr>
        <w:t>deleted</w:t>
      </w:r>
      <w:r>
        <w:rPr>
          <w:spacing w:val="-3"/>
          <w:sz w:val="20"/>
        </w:rPr>
        <w:t> </w:t>
      </w:r>
      <w:r>
        <w:rPr>
          <w:sz w:val="20"/>
        </w:rPr>
        <w:t>or</w:t>
      </w:r>
      <w:r>
        <w:rPr>
          <w:spacing w:val="-3"/>
          <w:sz w:val="20"/>
        </w:rPr>
        <w:t> </w:t>
      </w:r>
      <w:r>
        <w:rPr>
          <w:sz w:val="20"/>
        </w:rPr>
        <w:t>an</w:t>
      </w:r>
      <w:r>
        <w:rPr>
          <w:spacing w:val="-3"/>
          <w:sz w:val="20"/>
        </w:rPr>
        <w:t> </w:t>
      </w:r>
      <w:r>
        <w:rPr>
          <w:sz w:val="20"/>
        </w:rPr>
        <w:t>amount</w:t>
      </w:r>
      <w:r>
        <w:rPr>
          <w:spacing w:val="-3"/>
          <w:sz w:val="20"/>
        </w:rPr>
        <w:t> </w:t>
      </w:r>
      <w:r>
        <w:rPr>
          <w:sz w:val="20"/>
        </w:rPr>
        <w:t>of</w:t>
      </w:r>
      <w:r>
        <w:rPr>
          <w:spacing w:val="-2"/>
          <w:sz w:val="20"/>
        </w:rPr>
        <w:t> </w:t>
      </w:r>
      <w:r>
        <w:rPr>
          <w:sz w:val="20"/>
        </w:rPr>
        <w:t>insurance</w:t>
      </w:r>
      <w:r>
        <w:rPr>
          <w:spacing w:val="-3"/>
          <w:sz w:val="20"/>
        </w:rPr>
        <w:t> </w:t>
      </w:r>
      <w:r>
        <w:rPr>
          <w:sz w:val="20"/>
        </w:rPr>
        <w:t>is</w:t>
      </w:r>
      <w:r>
        <w:rPr>
          <w:spacing w:val="-2"/>
          <w:sz w:val="20"/>
        </w:rPr>
        <w:t> </w:t>
      </w:r>
      <w:r>
        <w:rPr>
          <w:sz w:val="20"/>
        </w:rPr>
        <w:t>reduced.</w:t>
      </w:r>
    </w:p>
    <w:p>
      <w:pPr>
        <w:pStyle w:val="ListParagraph"/>
        <w:numPr>
          <w:ilvl w:val="0"/>
          <w:numId w:val="2"/>
        </w:numPr>
        <w:tabs>
          <w:tab w:pos="824" w:val="left" w:leader="none"/>
        </w:tabs>
        <w:spacing w:line="240" w:lineRule="auto" w:before="0" w:after="0"/>
        <w:ind w:left="824" w:right="161" w:hanging="360"/>
        <w:jc w:val="left"/>
        <w:rPr>
          <w:rFonts w:ascii="Arial"/>
          <w:sz w:val="20"/>
        </w:rPr>
      </w:pPr>
      <w:r>
        <w:rPr>
          <w:sz w:val="20"/>
        </w:rPr>
        <w:t>Waive return premium of $20.00 or less. Grant any return premium if requested by the Insured.  This waiver only applies to cash exchanges due on the endorsement effective</w:t>
      </w:r>
      <w:r>
        <w:rPr>
          <w:spacing w:val="-15"/>
          <w:sz w:val="20"/>
        </w:rPr>
        <w:t> </w:t>
      </w:r>
      <w:r>
        <w:rPr>
          <w:sz w:val="20"/>
        </w:rPr>
        <w:t>date.</w:t>
      </w:r>
    </w:p>
    <w:p>
      <w:pPr>
        <w:pStyle w:val="BodyText"/>
        <w:spacing w:before="2"/>
        <w:rPr>
          <w:sz w:val="24"/>
        </w:rPr>
      </w:pPr>
    </w:p>
    <w:p>
      <w:pPr>
        <w:pStyle w:val="Heading1"/>
        <w:numPr>
          <w:ilvl w:val="0"/>
          <w:numId w:val="1"/>
        </w:numPr>
        <w:tabs>
          <w:tab w:pos="463" w:val="left" w:leader="none"/>
          <w:tab w:pos="464" w:val="left" w:leader="none"/>
        </w:tabs>
        <w:spacing w:line="229" w:lineRule="exact" w:before="0" w:after="0"/>
        <w:ind w:left="464" w:right="0" w:hanging="360"/>
        <w:jc w:val="left"/>
      </w:pPr>
      <w:r>
        <w:rPr/>
        <w:t>Limits of</w:t>
      </w:r>
      <w:r>
        <w:rPr>
          <w:spacing w:val="-11"/>
        </w:rPr>
        <w:t> </w:t>
      </w:r>
      <w:r>
        <w:rPr/>
        <w:t>Liability:</w:t>
      </w:r>
    </w:p>
    <w:p>
      <w:pPr>
        <w:pStyle w:val="BodyText"/>
        <w:ind w:left="463" w:right="52"/>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1" w:after="0"/>
        <w:ind w:left="824" w:right="0" w:hanging="360"/>
        <w:jc w:val="left"/>
        <w:rPr>
          <w:sz w:val="20"/>
        </w:rPr>
      </w:pPr>
      <w:r>
        <w:rPr>
          <w:sz w:val="20"/>
        </w:rPr>
        <w:t>$25,000 for Administrative Hearing</w:t>
      </w:r>
      <w:r>
        <w:rPr>
          <w:spacing w:val="-19"/>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$25,000 for Billing E&amp;O Claims Expense</w:t>
      </w:r>
      <w:r>
        <w:rPr>
          <w:spacing w:val="-21"/>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6"/>
          <w:sz w:val="20"/>
        </w:rPr>
        <w:t> </w:t>
      </w:r>
      <w:r>
        <w:rPr>
          <w:sz w:val="20"/>
        </w:rPr>
        <w:t>coverage</w:t>
      </w:r>
    </w:p>
    <w:p>
      <w:pPr>
        <w:pStyle w:val="ListParagraph"/>
        <w:numPr>
          <w:ilvl w:val="0"/>
          <w:numId w:val="3"/>
        </w:numPr>
        <w:tabs>
          <w:tab w:pos="823" w:val="left" w:leader="none"/>
          <w:tab w:pos="824" w:val="left" w:leader="none"/>
        </w:tabs>
        <w:spacing w:line="240" w:lineRule="auto" w:before="0" w:after="0"/>
        <w:ind w:left="824" w:right="0" w:hanging="360"/>
        <w:jc w:val="left"/>
        <w:rPr>
          <w:sz w:val="20"/>
        </w:rPr>
      </w:pPr>
      <w:r>
        <w:rPr>
          <w:sz w:val="20"/>
        </w:rPr>
        <w:t>$50,000 for HIPPA Defense only</w:t>
      </w:r>
      <w:r>
        <w:rPr>
          <w:spacing w:val="-19"/>
          <w:sz w:val="20"/>
        </w:rPr>
        <w:t> </w:t>
      </w:r>
      <w:r>
        <w:rPr>
          <w:sz w:val="20"/>
        </w:rPr>
        <w:t>coverage</w:t>
      </w:r>
    </w:p>
    <w:p>
      <w:pPr>
        <w:pStyle w:val="BodyText"/>
        <w:spacing w:before="2"/>
        <w:rPr>
          <w:sz w:val="24"/>
        </w:rPr>
      </w:pPr>
    </w:p>
    <w:p>
      <w:pPr>
        <w:pStyle w:val="Heading1"/>
        <w:numPr>
          <w:ilvl w:val="0"/>
          <w:numId w:val="1"/>
        </w:numPr>
        <w:tabs>
          <w:tab w:pos="462" w:val="left" w:leader="none"/>
          <w:tab w:pos="463" w:val="left" w:leader="none"/>
        </w:tabs>
        <w:spacing w:line="240" w:lineRule="auto" w:before="0" w:after="0"/>
        <w:ind w:left="462" w:right="0" w:hanging="358"/>
        <w:jc w:val="left"/>
      </w:pPr>
      <w:r>
        <w:rPr/>
        <w:t>Rating</w:t>
      </w:r>
      <w:r>
        <w:rPr>
          <w:spacing w:val="-13"/>
        </w:rPr>
        <w:t> </w:t>
      </w:r>
      <w:r>
        <w:rPr/>
        <w:t>Procedure:</w:t>
      </w:r>
    </w:p>
    <w:p>
      <w:pPr>
        <w:pStyle w:val="BodyText"/>
        <w:spacing w:before="8"/>
        <w:rPr>
          <w:b/>
          <w:sz w:val="19"/>
        </w:rPr>
      </w:pPr>
    </w:p>
    <w:p>
      <w:pPr>
        <w:pStyle w:val="BodyText"/>
        <w:ind w:left="2263" w:right="117"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9" w:val="left" w:leader="none"/>
        </w:tabs>
        <w:spacing w:before="2"/>
        <w:ind w:left="3704" w:right="0" w:firstLine="0"/>
        <w:jc w:val="left"/>
        <w:rPr>
          <w:b/>
          <w:sz w:val="18"/>
        </w:rPr>
      </w:pPr>
      <w:r>
        <w:rPr>
          <w:b/>
          <w:sz w:val="18"/>
          <w:u w:val="single"/>
        </w:rPr>
        <w:t>Professional</w:t>
      </w:r>
      <w:r>
        <w:rPr>
          <w:b/>
          <w:spacing w:val="-1"/>
          <w:sz w:val="18"/>
          <w:u w:val="single"/>
        </w:rPr>
        <w:t> </w:t>
      </w:r>
      <w:r>
        <w:rPr>
          <w:b/>
          <w:sz w:val="18"/>
          <w:u w:val="single"/>
        </w:rPr>
        <w:t>Type</w:t>
        <w:tab/>
        <w:t>Relativity to Psychiatrist</w:t>
      </w:r>
      <w:r>
        <w:rPr>
          <w:b/>
          <w:spacing w:val="-5"/>
          <w:sz w:val="18"/>
          <w:u w:val="single"/>
        </w:rPr>
        <w:t> </w:t>
      </w:r>
      <w:r>
        <w:rPr>
          <w:b/>
          <w:sz w:val="18"/>
          <w:u w:val="single"/>
        </w:rPr>
        <w:t>Rate</w:t>
      </w:r>
    </w:p>
    <w:p>
      <w:pPr>
        <w:tabs>
          <w:tab w:pos="7303" w:val="right" w:leader="dot"/>
        </w:tabs>
        <w:spacing w:before="115"/>
        <w:ind w:left="3703" w:right="0" w:firstLine="0"/>
        <w:jc w:val="left"/>
        <w:rPr>
          <w:sz w:val="18"/>
        </w:rPr>
      </w:pPr>
      <w:r>
        <w:rPr>
          <w:sz w:val="18"/>
        </w:rPr>
        <w:t>Psychologists</w:t>
        <w:tab/>
        <w:t>0.25</w:t>
      </w:r>
    </w:p>
    <w:p>
      <w:pPr>
        <w:tabs>
          <w:tab w:pos="7303" w:val="right" w:leader="dot"/>
        </w:tabs>
        <w:spacing w:before="118"/>
        <w:ind w:left="3703" w:right="0" w:firstLine="0"/>
        <w:jc w:val="left"/>
        <w:rPr>
          <w:sz w:val="18"/>
        </w:rPr>
      </w:pPr>
      <w:r>
        <w:rPr>
          <w:sz w:val="18"/>
        </w:rPr>
        <w:t>Social</w:t>
      </w:r>
      <w:r>
        <w:rPr>
          <w:spacing w:val="-2"/>
          <w:sz w:val="18"/>
        </w:rPr>
        <w:t> </w:t>
      </w:r>
      <w:r>
        <w:rPr>
          <w:sz w:val="18"/>
        </w:rPr>
        <w:t>Workers</w:t>
        <w:tab/>
        <w:t>0.03</w:t>
      </w:r>
    </w:p>
    <w:p>
      <w:pPr>
        <w:tabs>
          <w:tab w:pos="7302" w:val="right" w:leader="dot"/>
        </w:tabs>
        <w:spacing w:before="120"/>
        <w:ind w:left="3703" w:right="0" w:firstLine="0"/>
        <w:jc w:val="left"/>
        <w:rPr>
          <w:sz w:val="18"/>
        </w:rPr>
      </w:pPr>
      <w:r>
        <w:rPr>
          <w:sz w:val="18"/>
        </w:rPr>
        <w:t>Therapists</w:t>
        <w:tab/>
        <w:t>0.03</w:t>
      </w:r>
    </w:p>
    <w:p>
      <w:pPr>
        <w:tabs>
          <w:tab w:pos="7302" w:val="right" w:leader="dot"/>
        </w:tabs>
        <w:spacing w:before="119"/>
        <w:ind w:left="3703" w:right="0" w:firstLine="0"/>
        <w:jc w:val="left"/>
        <w:rPr>
          <w:sz w:val="18"/>
        </w:rPr>
      </w:pPr>
      <w:r>
        <w:rPr>
          <w:sz w:val="18"/>
        </w:rPr>
        <w:t>Nurses</w:t>
        <w:tab/>
        <w:t>0.05</w:t>
      </w:r>
    </w:p>
    <w:p>
      <w:pPr>
        <w:tabs>
          <w:tab w:pos="7303" w:val="right" w:leader="dot"/>
        </w:tabs>
        <w:spacing w:before="120"/>
        <w:ind w:left="3703" w:right="0" w:firstLine="0"/>
        <w:jc w:val="left"/>
        <w:rPr>
          <w:sz w:val="18"/>
        </w:rPr>
      </w:pPr>
      <w:r>
        <w:rPr>
          <w:sz w:val="18"/>
        </w:rPr>
        <w:t>Nurse</w:t>
      </w:r>
      <w:r>
        <w:rPr>
          <w:spacing w:val="-1"/>
          <w:sz w:val="18"/>
        </w:rPr>
        <w:t> </w:t>
      </w:r>
      <w:r>
        <w:rPr>
          <w:sz w:val="18"/>
        </w:rPr>
        <w:t>Practitioners/Physician</w:t>
      </w:r>
      <w:r>
        <w:rPr>
          <w:spacing w:val="-3"/>
          <w:sz w:val="18"/>
        </w:rPr>
        <w:t> </w:t>
      </w:r>
      <w:r>
        <w:rPr>
          <w:sz w:val="18"/>
        </w:rPr>
        <w:t>Assistant</w:t>
        <w:tab/>
        <w:t>0.25</w:t>
      </w:r>
    </w:p>
    <w:p>
      <w:pPr>
        <w:pStyle w:val="BodyText"/>
        <w:spacing w:before="1"/>
      </w:pPr>
    </w:p>
    <w:p>
      <w:pPr>
        <w:pStyle w:val="BodyText"/>
        <w:ind w:left="2263" w:right="122"/>
        <w:jc w:val="both"/>
      </w:pPr>
      <w:r>
        <w:rPr/>
        <w:t>When any professional (not eligible for the fund) is added to an individual’s policy with shared limits, there will be a 15% reduction in the calculated premium based on the above table or individual Psychiatrist base rate.</w:t>
      </w:r>
    </w:p>
    <w:p>
      <w:pPr>
        <w:pStyle w:val="BodyText"/>
        <w:spacing w:before="2"/>
      </w:pPr>
    </w:p>
    <w:p>
      <w:pPr>
        <w:pStyle w:val="Heading1"/>
        <w:spacing w:line="228" w:lineRule="exact"/>
        <w:ind w:left="463" w:firstLine="0"/>
      </w:pPr>
      <w:r>
        <w:rPr/>
        <w:t>Corporation/Group Account:</w:t>
      </w:r>
    </w:p>
    <w:p>
      <w:pPr>
        <w:pStyle w:val="BodyText"/>
        <w:ind w:left="2264" w:right="363"/>
      </w:pPr>
      <w:r>
        <w:rPr/>
        <w:t>A corporation/group account may be listed as the Named Insured on the Declarations Page. Premium calculation is as follows:</w:t>
      </w:r>
    </w:p>
    <w:p>
      <w:pPr>
        <w:spacing w:after="0"/>
        <w:sectPr>
          <w:footerReference w:type="default" r:id="rId5"/>
          <w:type w:val="continuous"/>
          <w:pgSz w:w="12240" w:h="15840"/>
          <w:pgMar w:footer="724" w:top="1080" w:bottom="920" w:left="760" w:right="740"/>
          <w:pgNumType w:start="1"/>
        </w:sectPr>
      </w:pPr>
    </w:p>
    <w:p>
      <w:pPr>
        <w:pStyle w:val="BodyText"/>
        <w:spacing w:line="230" w:lineRule="exact" w:before="79"/>
        <w:ind w:left="2263"/>
        <w:jc w:val="both"/>
      </w:pPr>
      <w:r>
        <w:rPr/>
        <w:t>When we insure all professional employees of an entity:</w:t>
      </w:r>
    </w:p>
    <w:p>
      <w:pPr>
        <w:pStyle w:val="BodyText"/>
        <w:ind w:left="2263" w:right="102"/>
      </w:pPr>
      <w:r>
        <w:rPr/>
        <w:t>Add individually derived premiums for each scheduled named insured.  The base rate for each individual will be reduced by the following factors when the insured is sharing the limit with the entity:</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3"/>
        <w:gridCol w:w="1601"/>
      </w:tblGrid>
      <w:tr>
        <w:trPr>
          <w:trHeight w:val="240" w:hRule="exact"/>
        </w:trPr>
        <w:tc>
          <w:tcPr>
            <w:tcW w:w="1883" w:type="dxa"/>
          </w:tcPr>
          <w:p>
            <w:pPr>
              <w:pStyle w:val="TableParagraph"/>
              <w:spacing w:line="227" w:lineRule="exact" w:before="0"/>
              <w:ind w:left="83" w:right="83"/>
              <w:rPr>
                <w:sz w:val="20"/>
              </w:rPr>
            </w:pPr>
            <w:r>
              <w:rPr>
                <w:sz w:val="20"/>
              </w:rPr>
              <w:t>Number of Insured’s</w:t>
            </w:r>
          </w:p>
        </w:tc>
        <w:tc>
          <w:tcPr>
            <w:tcW w:w="1601" w:type="dxa"/>
          </w:tcPr>
          <w:p>
            <w:pPr>
              <w:pStyle w:val="TableParagraph"/>
              <w:spacing w:line="227" w:lineRule="exact" w:before="0"/>
              <w:ind w:left="84" w:right="84"/>
              <w:rPr>
                <w:sz w:val="20"/>
              </w:rPr>
            </w:pPr>
            <w:r>
              <w:rPr>
                <w:sz w:val="20"/>
              </w:rPr>
              <w:t>Reduction Factor</w:t>
            </w:r>
          </w:p>
        </w:tc>
      </w:tr>
      <w:tr>
        <w:trPr>
          <w:trHeight w:val="240" w:hRule="exact"/>
        </w:trPr>
        <w:tc>
          <w:tcPr>
            <w:tcW w:w="1883" w:type="dxa"/>
          </w:tcPr>
          <w:p>
            <w:pPr>
              <w:pStyle w:val="TableParagraph"/>
              <w:spacing w:line="227" w:lineRule="exact" w:before="0"/>
              <w:ind w:left="82" w:right="83"/>
              <w:rPr>
                <w:sz w:val="20"/>
              </w:rPr>
            </w:pPr>
            <w:r>
              <w:rPr>
                <w:sz w:val="20"/>
              </w:rPr>
              <w:t>&lt; 5</w:t>
            </w:r>
          </w:p>
        </w:tc>
        <w:tc>
          <w:tcPr>
            <w:tcW w:w="1601" w:type="dxa"/>
          </w:tcPr>
          <w:p>
            <w:pPr>
              <w:pStyle w:val="TableParagraph"/>
              <w:spacing w:line="227" w:lineRule="exact" w:before="0"/>
              <w:ind w:left="83" w:right="84"/>
              <w:rPr>
                <w:sz w:val="20"/>
              </w:rPr>
            </w:pPr>
            <w:r>
              <w:rPr>
                <w:sz w:val="20"/>
              </w:rPr>
              <w:t>5%</w:t>
            </w:r>
          </w:p>
        </w:tc>
      </w:tr>
      <w:tr>
        <w:trPr>
          <w:trHeight w:val="241" w:hRule="exact"/>
        </w:trPr>
        <w:tc>
          <w:tcPr>
            <w:tcW w:w="1883" w:type="dxa"/>
          </w:tcPr>
          <w:p>
            <w:pPr>
              <w:pStyle w:val="TableParagraph"/>
              <w:spacing w:line="227" w:lineRule="exact" w:before="0"/>
              <w:ind w:left="82" w:right="83"/>
              <w:rPr>
                <w:sz w:val="20"/>
              </w:rPr>
            </w:pPr>
            <w:r>
              <w:rPr>
                <w:sz w:val="20"/>
              </w:rPr>
              <w:t>5 or more</w:t>
            </w:r>
          </w:p>
        </w:tc>
        <w:tc>
          <w:tcPr>
            <w:tcW w:w="1601" w:type="dxa"/>
          </w:tcPr>
          <w:p>
            <w:pPr>
              <w:pStyle w:val="TableParagraph"/>
              <w:spacing w:line="227" w:lineRule="exact" w:before="0"/>
              <w:ind w:left="84" w:right="84"/>
              <w:rPr>
                <w:sz w:val="20"/>
              </w:rPr>
            </w:pPr>
            <w:r>
              <w:rPr>
                <w:sz w:val="20"/>
              </w:rPr>
              <w:t>10%</w:t>
            </w:r>
          </w:p>
        </w:tc>
      </w:tr>
    </w:tbl>
    <w:p>
      <w:pPr>
        <w:pStyle w:val="BodyText"/>
        <w:spacing w:before="7"/>
        <w:rPr>
          <w:sz w:val="19"/>
        </w:rPr>
      </w:pPr>
    </w:p>
    <w:p>
      <w:pPr>
        <w:pStyle w:val="BodyText"/>
        <w:ind w:left="2263" w:right="101"/>
        <w:jc w:val="both"/>
      </w:pPr>
      <w:r>
        <w:rPr/>
        <w:t>When we do not insure all professional employees of an entity, including physicians and ancillary professionals, there will be a charge to account for the vicarious liability based on the number of uninsured employees as follows:</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76"/>
        <w:gridCol w:w="2154"/>
      </w:tblGrid>
      <w:tr>
        <w:trPr>
          <w:trHeight w:val="469" w:hRule="exact"/>
        </w:trPr>
        <w:tc>
          <w:tcPr>
            <w:tcW w:w="1576" w:type="dxa"/>
          </w:tcPr>
          <w:p>
            <w:pPr>
              <w:pStyle w:val="TableParagraph"/>
              <w:spacing w:line="230" w:lineRule="exact" w:before="0"/>
              <w:ind w:left="355" w:right="328" w:hanging="9"/>
              <w:jc w:val="left"/>
              <w:rPr>
                <w:sz w:val="20"/>
              </w:rPr>
            </w:pPr>
            <w:r>
              <w:rPr>
                <w:sz w:val="20"/>
              </w:rPr>
              <w:t>Number of employees</w:t>
            </w:r>
          </w:p>
        </w:tc>
        <w:tc>
          <w:tcPr>
            <w:tcW w:w="2154" w:type="dxa"/>
          </w:tcPr>
          <w:p>
            <w:pPr>
              <w:pStyle w:val="TableParagraph"/>
              <w:spacing w:line="230" w:lineRule="exact" w:before="0"/>
              <w:ind w:left="666" w:right="294" w:hanging="352"/>
              <w:jc w:val="left"/>
              <w:rPr>
                <w:sz w:val="20"/>
              </w:rPr>
            </w:pPr>
            <w:r>
              <w:rPr>
                <w:sz w:val="20"/>
              </w:rPr>
              <w:t>Vicarious Liability Surcharge</w:t>
            </w:r>
          </w:p>
        </w:tc>
      </w:tr>
      <w:tr>
        <w:trPr>
          <w:trHeight w:val="240" w:hRule="exact"/>
        </w:trPr>
        <w:tc>
          <w:tcPr>
            <w:tcW w:w="1576" w:type="dxa"/>
          </w:tcPr>
          <w:p>
            <w:pPr>
              <w:pStyle w:val="TableParagraph"/>
              <w:spacing w:line="227" w:lineRule="exact" w:before="0"/>
              <w:ind w:left="579" w:right="580"/>
              <w:rPr>
                <w:sz w:val="20"/>
              </w:rPr>
            </w:pPr>
            <w:r>
              <w:rPr>
                <w:sz w:val="20"/>
              </w:rPr>
              <w:t>&lt;5</w:t>
            </w:r>
          </w:p>
        </w:tc>
        <w:tc>
          <w:tcPr>
            <w:tcW w:w="2154" w:type="dxa"/>
          </w:tcPr>
          <w:p>
            <w:pPr>
              <w:pStyle w:val="TableParagraph"/>
              <w:spacing w:line="227" w:lineRule="exact" w:before="0"/>
              <w:ind w:right="936"/>
              <w:jc w:val="right"/>
              <w:rPr>
                <w:sz w:val="20"/>
              </w:rPr>
            </w:pPr>
            <w:r>
              <w:rPr>
                <w:sz w:val="20"/>
              </w:rPr>
              <w:t>2%</w:t>
            </w:r>
          </w:p>
        </w:tc>
      </w:tr>
      <w:tr>
        <w:trPr>
          <w:trHeight w:val="240" w:hRule="exact"/>
        </w:trPr>
        <w:tc>
          <w:tcPr>
            <w:tcW w:w="1576" w:type="dxa"/>
          </w:tcPr>
          <w:p>
            <w:pPr>
              <w:pStyle w:val="TableParagraph"/>
              <w:spacing w:line="227" w:lineRule="exact" w:before="0"/>
              <w:ind w:left="579" w:right="580"/>
              <w:rPr>
                <w:sz w:val="20"/>
              </w:rPr>
            </w:pPr>
            <w:r>
              <w:rPr>
                <w:sz w:val="20"/>
              </w:rPr>
              <w:t>5-19</w:t>
            </w:r>
          </w:p>
        </w:tc>
        <w:tc>
          <w:tcPr>
            <w:tcW w:w="2154" w:type="dxa"/>
          </w:tcPr>
          <w:p>
            <w:pPr>
              <w:pStyle w:val="TableParagraph"/>
              <w:spacing w:line="227" w:lineRule="exact" w:before="0"/>
              <w:ind w:right="936"/>
              <w:jc w:val="right"/>
              <w:rPr>
                <w:sz w:val="20"/>
              </w:rPr>
            </w:pPr>
            <w:r>
              <w:rPr>
                <w:sz w:val="20"/>
              </w:rPr>
              <w:t>5%</w:t>
            </w:r>
          </w:p>
        </w:tc>
      </w:tr>
      <w:tr>
        <w:trPr>
          <w:trHeight w:val="241" w:hRule="exact"/>
        </w:trPr>
        <w:tc>
          <w:tcPr>
            <w:tcW w:w="1576" w:type="dxa"/>
          </w:tcPr>
          <w:p>
            <w:pPr>
              <w:pStyle w:val="TableParagraph"/>
              <w:spacing w:line="227" w:lineRule="exact" w:before="0"/>
              <w:ind w:left="579" w:right="580"/>
              <w:rPr>
                <w:sz w:val="20"/>
              </w:rPr>
            </w:pPr>
            <w:r>
              <w:rPr>
                <w:sz w:val="20"/>
              </w:rPr>
              <w:t>&gt;20</w:t>
            </w:r>
          </w:p>
        </w:tc>
        <w:tc>
          <w:tcPr>
            <w:tcW w:w="2154" w:type="dxa"/>
          </w:tcPr>
          <w:p>
            <w:pPr>
              <w:pStyle w:val="TableParagraph"/>
              <w:spacing w:line="227" w:lineRule="exact" w:before="0"/>
              <w:ind w:right="887"/>
              <w:jc w:val="right"/>
              <w:rPr>
                <w:sz w:val="20"/>
              </w:rPr>
            </w:pPr>
            <w:r>
              <w:rPr>
                <w:sz w:val="20"/>
              </w:rPr>
              <w:t>10%</w:t>
            </w:r>
          </w:p>
        </w:tc>
      </w:tr>
    </w:tbl>
    <w:p>
      <w:pPr>
        <w:pStyle w:val="BodyText"/>
        <w:spacing w:before="7"/>
        <w:rPr>
          <w:sz w:val="19"/>
        </w:rPr>
      </w:pPr>
    </w:p>
    <w:p>
      <w:pPr>
        <w:pStyle w:val="BodyText"/>
        <w:ind w:left="2263"/>
        <w:jc w:val="both"/>
      </w:pPr>
      <w:r>
        <w:rPr/>
        <w:t>If the Professional Employee Exclusion is added, this charge is waived.</w:t>
      </w:r>
    </w:p>
    <w:p>
      <w:pPr>
        <w:pStyle w:val="BodyText"/>
      </w:pPr>
    </w:p>
    <w:p>
      <w:pPr>
        <w:pStyle w:val="BodyText"/>
        <w:ind w:left="2263" w:right="100" w:hanging="1876"/>
        <w:jc w:val="both"/>
      </w:pPr>
      <w:r>
        <w:rPr>
          <w:b/>
        </w:rPr>
        <w:t>Additional Insured: </w:t>
      </w:r>
      <w:r>
        <w:rPr/>
        <w:t>An additional insured may be added with shared limits to a corporation or group policy or an individual Psychiatrist’s policy for a 5% charge of the developed premium. Coverage is only provided with  respect to the actions of the named</w:t>
      </w:r>
      <w:r>
        <w:rPr>
          <w:spacing w:val="-16"/>
        </w:rPr>
        <w:t> </w:t>
      </w:r>
      <w:r>
        <w:rPr/>
        <w:t>insured.</w:t>
      </w:r>
    </w:p>
    <w:p>
      <w:pPr>
        <w:pStyle w:val="BodyText"/>
        <w:spacing w:before="10"/>
        <w:rPr>
          <w:sz w:val="19"/>
        </w:rPr>
      </w:pPr>
    </w:p>
    <w:p>
      <w:pPr>
        <w:pStyle w:val="BodyText"/>
        <w:spacing w:before="1"/>
        <w:ind w:left="2263"/>
        <w:jc w:val="both"/>
      </w:pPr>
      <w:r>
        <w:rPr/>
        <w:t>Additional Named Insured’s that are corporations or entities may be added as follows:</w:t>
      </w:r>
    </w:p>
    <w:p>
      <w:pPr>
        <w:pStyle w:val="ListParagraph"/>
        <w:numPr>
          <w:ilvl w:val="1"/>
          <w:numId w:val="1"/>
        </w:numPr>
        <w:tabs>
          <w:tab w:pos="2624" w:val="left" w:leader="none"/>
        </w:tabs>
        <w:spacing w:line="240" w:lineRule="auto" w:before="0" w:after="0"/>
        <w:ind w:left="2624" w:right="101" w:hanging="360"/>
        <w:jc w:val="both"/>
        <w:rPr>
          <w:sz w:val="20"/>
        </w:rPr>
      </w:pPr>
      <w:r>
        <w:rPr>
          <w:sz w:val="20"/>
        </w:rPr>
        <w:t>Where we insure all of the professional employees, the additional Named Insured is added with separate limits for a 10% surcharge; this will be capped at 10% of the top 5 highest priced individuals.</w:t>
      </w:r>
    </w:p>
    <w:p>
      <w:pPr>
        <w:pStyle w:val="ListParagraph"/>
        <w:numPr>
          <w:ilvl w:val="1"/>
          <w:numId w:val="1"/>
        </w:numPr>
        <w:tabs>
          <w:tab w:pos="2624" w:val="left" w:leader="none"/>
        </w:tabs>
        <w:spacing w:line="240" w:lineRule="auto" w:before="0" w:after="0"/>
        <w:ind w:left="2624" w:right="98" w:hanging="360"/>
        <w:jc w:val="both"/>
        <w:rPr>
          <w:sz w:val="20"/>
        </w:rPr>
      </w:pPr>
      <w:r>
        <w:rPr>
          <w:sz w:val="20"/>
        </w:rPr>
        <w:t>Where we do not insure all of the professional employees, the additional Named Insured may be added with separate limits for a 10% surcharge (capped as derived from the 5 highest priced individuals) plus the vicarious liability</w:t>
      </w:r>
      <w:r>
        <w:rPr>
          <w:spacing w:val="-29"/>
          <w:sz w:val="20"/>
        </w:rPr>
        <w:t> </w:t>
      </w:r>
      <w:r>
        <w:rPr>
          <w:sz w:val="20"/>
        </w:rPr>
        <w:t>surcharge.</w:t>
      </w:r>
    </w:p>
    <w:p>
      <w:pPr>
        <w:pStyle w:val="BodyText"/>
        <w:spacing w:before="11"/>
        <w:rPr>
          <w:sz w:val="19"/>
        </w:rPr>
      </w:pPr>
    </w:p>
    <w:p>
      <w:pPr>
        <w:pStyle w:val="BodyText"/>
        <w:ind w:left="2264"/>
        <w:jc w:val="both"/>
      </w:pPr>
      <w:r>
        <w:rPr/>
        <w:t>If the Professional Employee Exclusion is added, the vicariously liability charge is waived.</w:t>
      </w:r>
    </w:p>
    <w:p>
      <w:pPr>
        <w:pStyle w:val="BodyText"/>
      </w:pPr>
    </w:p>
    <w:p>
      <w:pPr>
        <w:pStyle w:val="ListParagraph"/>
        <w:numPr>
          <w:ilvl w:val="0"/>
          <w:numId w:val="1"/>
        </w:numPr>
        <w:tabs>
          <w:tab w:pos="463" w:val="left" w:leader="none"/>
          <w:tab w:pos="464" w:val="left" w:leader="none"/>
          <w:tab w:pos="2263" w:val="left" w:leader="none"/>
        </w:tabs>
        <w:spacing w:line="240" w:lineRule="auto" w:before="0" w:after="0"/>
        <w:ind w:left="2264" w:right="101" w:hanging="2160"/>
        <w:jc w:val="left"/>
        <w:rPr>
          <w:sz w:val="20"/>
        </w:rPr>
      </w:pPr>
      <w:r>
        <w:rPr>
          <w:b/>
          <w:sz w:val="20"/>
        </w:rPr>
        <w:t>Deductibles:</w:t>
        <w:tab/>
      </w:r>
      <w:r>
        <w:rPr>
          <w:sz w:val="20"/>
        </w:rPr>
        <w:t>A Deductible will be offered at the insured’s request for the amount listed on the </w:t>
      </w:r>
      <w:r>
        <w:rPr>
          <w:spacing w:val="36"/>
          <w:sz w:val="20"/>
        </w:rPr>
        <w:t> </w:t>
      </w:r>
      <w:r>
        <w:rPr>
          <w:sz w:val="20"/>
        </w:rPr>
        <w:t>corresponding</w:t>
      </w:r>
      <w:r>
        <w:rPr>
          <w:spacing w:val="5"/>
          <w:sz w:val="20"/>
        </w:rPr>
        <w:t> </w:t>
      </w:r>
      <w:r>
        <w:rPr>
          <w:sz w:val="20"/>
        </w:rPr>
        <w:t>state’s</w:t>
      </w:r>
      <w:r>
        <w:rPr>
          <w:spacing w:val="-1"/>
          <w:w w:val="100"/>
          <w:sz w:val="20"/>
        </w:rPr>
        <w:t> </w:t>
      </w:r>
      <w:r>
        <w:rPr>
          <w:sz w:val="20"/>
        </w:rPr>
        <w:t>rate page.  This deductible will apply to indemnity</w:t>
      </w:r>
      <w:r>
        <w:rPr>
          <w:spacing w:val="-24"/>
          <w:sz w:val="20"/>
        </w:rPr>
        <w:t> </w:t>
      </w:r>
      <w:r>
        <w:rPr>
          <w:sz w:val="20"/>
        </w:rPr>
        <w:t>only.</w:t>
      </w:r>
    </w:p>
    <w:p>
      <w:pPr>
        <w:pStyle w:val="BodyText"/>
        <w:spacing w:before="2"/>
      </w:pPr>
    </w:p>
    <w:p>
      <w:pPr>
        <w:pStyle w:val="Heading1"/>
        <w:numPr>
          <w:ilvl w:val="0"/>
          <w:numId w:val="1"/>
        </w:numPr>
        <w:tabs>
          <w:tab w:pos="463" w:val="left" w:leader="none"/>
          <w:tab w:pos="464" w:val="left" w:leader="none"/>
        </w:tabs>
        <w:spacing w:line="240" w:lineRule="auto" w:before="0" w:after="0"/>
        <w:ind w:left="464" w:right="0" w:hanging="360"/>
        <w:jc w:val="left"/>
      </w:pPr>
      <w:r>
        <w:rPr/>
        <w:t>Rating</w:t>
      </w:r>
      <w:r>
        <w:rPr>
          <w:spacing w:val="-5"/>
        </w:rPr>
        <w:t> </w:t>
      </w:r>
      <w:r>
        <w:rPr/>
        <w:t>Modifications:</w:t>
      </w:r>
    </w:p>
    <w:p>
      <w:pPr>
        <w:pStyle w:val="BodyText"/>
        <w:spacing w:before="10"/>
        <w:rPr>
          <w:b/>
          <w:sz w:val="11"/>
        </w:rPr>
      </w:pPr>
    </w:p>
    <w:p>
      <w:pPr>
        <w:spacing w:after="0"/>
        <w:rPr>
          <w:sz w:val="11"/>
        </w:rPr>
        <w:sectPr>
          <w:pgSz w:w="12240" w:h="15840"/>
          <w:pgMar w:header="0" w:footer="724" w:top="1300" w:bottom="920" w:left="760" w:right="760"/>
        </w:sectPr>
      </w:pPr>
    </w:p>
    <w:p>
      <w:pPr>
        <w:spacing w:before="92"/>
        <w:ind w:left="1184" w:right="0" w:firstLine="0"/>
        <w:jc w:val="left"/>
        <w:rPr>
          <w:b/>
          <w:sz w:val="20"/>
        </w:rPr>
      </w:pPr>
      <w:r>
        <w:rPr>
          <w:b/>
          <w:sz w:val="20"/>
        </w:rPr>
        <w:t>Discounts:</w:t>
      </w:r>
    </w:p>
    <w:p>
      <w:pPr>
        <w:pStyle w:val="BodyText"/>
        <w:spacing w:before="10"/>
        <w:rPr>
          <w:b/>
          <w:sz w:val="27"/>
        </w:rPr>
      </w:pPr>
      <w:r>
        <w:rPr/>
        <w:br w:type="column"/>
      </w:r>
      <w:r>
        <w:rPr>
          <w:b/>
          <w:sz w:val="27"/>
        </w:rPr>
      </w:r>
    </w:p>
    <w:p>
      <w:pPr>
        <w:pStyle w:val="ListParagraph"/>
        <w:numPr>
          <w:ilvl w:val="0"/>
          <w:numId w:val="4"/>
        </w:numPr>
        <w:tabs>
          <w:tab w:pos="499" w:val="left" w:leader="none"/>
        </w:tabs>
        <w:spacing w:line="240" w:lineRule="auto" w:before="0" w:after="0"/>
        <w:ind w:left="498" w:right="103" w:hanging="360"/>
        <w:jc w:val="both"/>
        <w:rPr>
          <w:sz w:val="20"/>
        </w:rPr>
      </w:pPr>
      <w:r>
        <w:rPr>
          <w:sz w:val="20"/>
        </w:rPr>
        <w:t>Part-time - Each individual will be charged 50% of the full-time premium rate for practicing 20 hours or less per week, or fewer than 26 weeks per</w:t>
      </w:r>
      <w:r>
        <w:rPr>
          <w:spacing w:val="-19"/>
          <w:sz w:val="20"/>
        </w:rPr>
        <w:t> </w:t>
      </w:r>
      <w:r>
        <w:rPr>
          <w:sz w:val="20"/>
        </w:rPr>
        <w:t>year.</w:t>
      </w:r>
    </w:p>
    <w:p>
      <w:pPr>
        <w:pStyle w:val="BodyText"/>
      </w:pPr>
    </w:p>
    <w:p>
      <w:pPr>
        <w:pStyle w:val="ListParagraph"/>
        <w:numPr>
          <w:ilvl w:val="0"/>
          <w:numId w:val="4"/>
        </w:numPr>
        <w:tabs>
          <w:tab w:pos="499" w:val="left" w:leader="none"/>
        </w:tabs>
        <w:spacing w:line="240" w:lineRule="auto" w:before="1" w:after="0"/>
        <w:ind w:left="498" w:right="99"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23"/>
          <w:sz w:val="20"/>
        </w:rPr>
        <w:t> </w:t>
      </w:r>
      <w:r>
        <w:rPr>
          <w:sz w:val="20"/>
        </w:rPr>
        <w:t>follows:</w:t>
      </w:r>
    </w:p>
    <w:p>
      <w:pPr>
        <w:pStyle w:val="BodyText"/>
        <w:spacing w:before="4"/>
      </w:pPr>
    </w:p>
    <w:tbl>
      <w:tblPr>
        <w:tblW w:w="0" w:type="auto"/>
        <w:jc w:val="left"/>
        <w:tblInd w:w="1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7" w:lineRule="exact" w:before="0"/>
              <w:ind w:left="83" w:right="84"/>
              <w:rPr>
                <w:sz w:val="20"/>
              </w:rPr>
            </w:pPr>
            <w:r>
              <w:rPr>
                <w:sz w:val="20"/>
              </w:rPr>
              <w:t>Number of Years</w:t>
            </w:r>
          </w:p>
        </w:tc>
        <w:tc>
          <w:tcPr>
            <w:tcW w:w="938" w:type="dxa"/>
          </w:tcPr>
          <w:p>
            <w:pPr>
              <w:pStyle w:val="TableParagraph"/>
              <w:spacing w:line="227" w:lineRule="exact" w:before="0"/>
              <w:ind w:left="82" w:right="83"/>
              <w:rPr>
                <w:sz w:val="20"/>
              </w:rPr>
            </w:pPr>
            <w:r>
              <w:rPr>
                <w:sz w:val="20"/>
              </w:rPr>
              <w:t>Discount</w:t>
            </w:r>
          </w:p>
        </w:tc>
      </w:tr>
      <w:tr>
        <w:trPr>
          <w:trHeight w:val="240" w:hRule="exact"/>
        </w:trPr>
        <w:tc>
          <w:tcPr>
            <w:tcW w:w="1606" w:type="dxa"/>
          </w:tcPr>
          <w:p>
            <w:pPr>
              <w:pStyle w:val="TableParagraph"/>
              <w:spacing w:line="227" w:lineRule="exact" w:before="0"/>
              <w:ind w:left="83" w:right="83"/>
              <w:rPr>
                <w:sz w:val="20"/>
              </w:rPr>
            </w:pPr>
            <w:r>
              <w:rPr>
                <w:sz w:val="20"/>
              </w:rPr>
              <w:t>&lt;1</w:t>
            </w:r>
          </w:p>
        </w:tc>
        <w:tc>
          <w:tcPr>
            <w:tcW w:w="938" w:type="dxa"/>
          </w:tcPr>
          <w:p>
            <w:pPr>
              <w:pStyle w:val="TableParagraph"/>
              <w:spacing w:line="227" w:lineRule="exact" w:before="0"/>
              <w:ind w:left="82" w:right="82"/>
              <w:rPr>
                <w:sz w:val="20"/>
              </w:rPr>
            </w:pPr>
            <w:r>
              <w:rPr>
                <w:sz w:val="20"/>
              </w:rPr>
              <w:t>50%</w:t>
            </w:r>
          </w:p>
        </w:tc>
      </w:tr>
      <w:tr>
        <w:trPr>
          <w:trHeight w:val="240" w:hRule="exact"/>
        </w:trPr>
        <w:tc>
          <w:tcPr>
            <w:tcW w:w="1606" w:type="dxa"/>
          </w:tcPr>
          <w:p>
            <w:pPr>
              <w:pStyle w:val="TableParagraph"/>
              <w:spacing w:line="227" w:lineRule="exact" w:before="0"/>
              <w:ind w:left="83" w:right="84"/>
              <w:rPr>
                <w:sz w:val="20"/>
              </w:rPr>
            </w:pPr>
            <w:r>
              <w:rPr>
                <w:sz w:val="20"/>
              </w:rPr>
              <w:t>1 &lt; 1.99</w:t>
            </w:r>
          </w:p>
        </w:tc>
        <w:tc>
          <w:tcPr>
            <w:tcW w:w="938" w:type="dxa"/>
          </w:tcPr>
          <w:p>
            <w:pPr>
              <w:pStyle w:val="TableParagraph"/>
              <w:spacing w:line="227" w:lineRule="exact" w:before="0"/>
              <w:ind w:left="82" w:right="82"/>
              <w:rPr>
                <w:sz w:val="20"/>
              </w:rPr>
            </w:pPr>
            <w:r>
              <w:rPr>
                <w:sz w:val="20"/>
              </w:rPr>
              <w:t>35%</w:t>
            </w:r>
          </w:p>
        </w:tc>
      </w:tr>
      <w:tr>
        <w:trPr>
          <w:trHeight w:val="240" w:hRule="exact"/>
        </w:trPr>
        <w:tc>
          <w:tcPr>
            <w:tcW w:w="1606" w:type="dxa"/>
          </w:tcPr>
          <w:p>
            <w:pPr>
              <w:pStyle w:val="TableParagraph"/>
              <w:spacing w:line="227" w:lineRule="exact" w:before="0"/>
              <w:ind w:left="83" w:right="84"/>
              <w:rPr>
                <w:sz w:val="20"/>
              </w:rPr>
            </w:pPr>
            <w:r>
              <w:rPr>
                <w:sz w:val="20"/>
              </w:rPr>
              <w:t>2 &lt; 2.99</w:t>
            </w:r>
          </w:p>
        </w:tc>
        <w:tc>
          <w:tcPr>
            <w:tcW w:w="938" w:type="dxa"/>
          </w:tcPr>
          <w:p>
            <w:pPr>
              <w:pStyle w:val="TableParagraph"/>
              <w:spacing w:line="227" w:lineRule="exact" w:before="0"/>
              <w:ind w:left="82" w:right="82"/>
              <w:rPr>
                <w:sz w:val="20"/>
              </w:rPr>
            </w:pPr>
            <w:r>
              <w:rPr>
                <w:sz w:val="20"/>
              </w:rPr>
              <w:t>25%</w:t>
            </w:r>
          </w:p>
        </w:tc>
      </w:tr>
      <w:tr>
        <w:trPr>
          <w:trHeight w:val="240" w:hRule="exact"/>
        </w:trPr>
        <w:tc>
          <w:tcPr>
            <w:tcW w:w="1606" w:type="dxa"/>
          </w:tcPr>
          <w:p>
            <w:pPr>
              <w:pStyle w:val="TableParagraph"/>
              <w:spacing w:line="227" w:lineRule="exact" w:before="0"/>
              <w:ind w:left="83" w:right="84"/>
              <w:rPr>
                <w:sz w:val="20"/>
              </w:rPr>
            </w:pPr>
            <w:r>
              <w:rPr>
                <w:sz w:val="20"/>
              </w:rPr>
              <w:t>≥ 3</w:t>
            </w:r>
          </w:p>
        </w:tc>
        <w:tc>
          <w:tcPr>
            <w:tcW w:w="938" w:type="dxa"/>
          </w:tcPr>
          <w:p>
            <w:pPr>
              <w:pStyle w:val="TableParagraph"/>
              <w:spacing w:line="227" w:lineRule="exact" w:before="0"/>
              <w:ind w:left="82" w:right="82"/>
              <w:rPr>
                <w:sz w:val="20"/>
              </w:rPr>
            </w:pPr>
            <w:r>
              <w:rPr>
                <w:sz w:val="20"/>
              </w:rPr>
              <w:t>None</w:t>
            </w:r>
          </w:p>
        </w:tc>
      </w:tr>
    </w:tbl>
    <w:p>
      <w:pPr>
        <w:pStyle w:val="BodyText"/>
        <w:spacing w:before="8"/>
        <w:rPr>
          <w:sz w:val="19"/>
        </w:rPr>
      </w:pPr>
    </w:p>
    <w:p>
      <w:pPr>
        <w:pStyle w:val="ListParagraph"/>
        <w:numPr>
          <w:ilvl w:val="0"/>
          <w:numId w:val="4"/>
        </w:numPr>
        <w:tabs>
          <w:tab w:pos="498" w:val="left" w:leader="none"/>
          <w:tab w:pos="499" w:val="left" w:leader="none"/>
        </w:tabs>
        <w:spacing w:line="240" w:lineRule="auto" w:before="1" w:after="0"/>
        <w:ind w:left="498" w:right="276" w:hanging="360"/>
        <w:jc w:val="left"/>
        <w:rPr>
          <w:sz w:val="20"/>
        </w:rPr>
      </w:pPr>
      <w:r>
        <w:rPr>
          <w:sz w:val="20"/>
        </w:rPr>
        <w:t>Member in Training (MIT Discount) – 50% discount is available to those insured’s classified as a MIT by the American Psychiatric</w:t>
      </w:r>
      <w:r>
        <w:rPr>
          <w:spacing w:val="-16"/>
          <w:sz w:val="20"/>
        </w:rPr>
        <w:t> </w:t>
      </w:r>
      <w:r>
        <w:rPr>
          <w:sz w:val="20"/>
        </w:rPr>
        <w:t>Association.</w:t>
      </w:r>
    </w:p>
    <w:p>
      <w:pPr>
        <w:spacing w:after="0" w:line="240" w:lineRule="auto"/>
        <w:jc w:val="left"/>
        <w:rPr>
          <w:sz w:val="20"/>
        </w:rPr>
        <w:sectPr>
          <w:type w:val="continuous"/>
          <w:pgSz w:w="12240" w:h="15840"/>
          <w:pgMar w:top="1080" w:bottom="920" w:left="760" w:right="760"/>
          <w:cols w:num="2" w:equalWidth="0">
            <w:col w:w="2086" w:space="40"/>
            <w:col w:w="8594"/>
          </w:cols>
        </w:sectPr>
      </w:pPr>
    </w:p>
    <w:p>
      <w:pPr>
        <w:spacing w:before="69"/>
        <w:ind w:left="2983" w:right="0" w:firstLine="0"/>
        <w:jc w:val="left"/>
        <w:rPr>
          <w:i/>
          <w:sz w:val="20"/>
        </w:rPr>
      </w:pPr>
      <w:r>
        <w:rPr>
          <w:i/>
          <w:sz w:val="20"/>
          <w:u w:val="single"/>
        </w:rPr>
        <w:t>Only one of the above discounts may apply to an insured per policy year</w:t>
      </w:r>
      <w:r>
        <w:rPr>
          <w:i/>
          <w:sz w:val="20"/>
        </w:rPr>
        <w:t>.</w:t>
      </w:r>
    </w:p>
    <w:p>
      <w:pPr>
        <w:pStyle w:val="BodyText"/>
        <w:spacing w:before="11"/>
        <w:rPr>
          <w:i/>
          <w:sz w:val="19"/>
        </w:rPr>
      </w:pPr>
    </w:p>
    <w:p>
      <w:pPr>
        <w:pStyle w:val="ListParagraph"/>
        <w:numPr>
          <w:ilvl w:val="1"/>
          <w:numId w:val="4"/>
        </w:numPr>
        <w:tabs>
          <w:tab w:pos="2623" w:val="left" w:leader="none"/>
          <w:tab w:pos="2624" w:val="left" w:leader="none"/>
        </w:tabs>
        <w:spacing w:line="245" w:lineRule="exact" w:before="0" w:after="0"/>
        <w:ind w:left="2624"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2983" w:val="left" w:leader="none"/>
          <w:tab w:pos="2984" w:val="left" w:leader="none"/>
        </w:tabs>
        <w:spacing w:line="240" w:lineRule="auto" w:before="0" w:after="0"/>
        <w:ind w:left="2984" w:right="0" w:hanging="360"/>
        <w:jc w:val="left"/>
        <w:rPr>
          <w:sz w:val="20"/>
        </w:rPr>
      </w:pPr>
      <w:r>
        <w:rPr>
          <w:sz w:val="20"/>
        </w:rPr>
        <w:t>Participated in Risk Management focused continuing education program.</w:t>
      </w:r>
      <w:r>
        <w:rPr>
          <w:spacing w:val="-28"/>
          <w:sz w:val="20"/>
        </w:rPr>
        <w:t> </w:t>
      </w:r>
      <w:r>
        <w:rPr>
          <w:sz w:val="20"/>
        </w:rPr>
        <w:t>(5%)</w:t>
      </w:r>
    </w:p>
    <w:p>
      <w:pPr>
        <w:pStyle w:val="ListParagraph"/>
        <w:numPr>
          <w:ilvl w:val="0"/>
          <w:numId w:val="5"/>
        </w:numPr>
        <w:tabs>
          <w:tab w:pos="2983" w:val="left" w:leader="none"/>
          <w:tab w:pos="2984" w:val="left" w:leader="none"/>
        </w:tabs>
        <w:spacing w:line="240" w:lineRule="auto" w:before="1" w:after="0"/>
        <w:ind w:left="2984" w:right="565" w:hanging="360"/>
        <w:jc w:val="left"/>
        <w:rPr>
          <w:sz w:val="20"/>
        </w:rPr>
      </w:pPr>
      <w:r>
        <w:rPr>
          <w:sz w:val="20"/>
        </w:rPr>
        <w:t>Participated in Risk Management seminar in the last 12 months, in addition to continuing education requirement.</w:t>
      </w:r>
      <w:r>
        <w:rPr>
          <w:spacing w:val="-3"/>
          <w:sz w:val="20"/>
        </w:rPr>
        <w:t> </w:t>
      </w:r>
      <w:r>
        <w:rPr>
          <w:sz w:val="20"/>
        </w:rPr>
        <w:t>(10%)</w:t>
      </w:r>
    </w:p>
    <w:p>
      <w:pPr>
        <w:pStyle w:val="BodyText"/>
        <w:spacing w:before="1"/>
      </w:pPr>
    </w:p>
    <w:p>
      <w:pPr>
        <w:pStyle w:val="ListParagraph"/>
        <w:numPr>
          <w:ilvl w:val="1"/>
          <w:numId w:val="4"/>
        </w:numPr>
        <w:tabs>
          <w:tab w:pos="2623" w:val="left" w:leader="none"/>
          <w:tab w:pos="2624" w:val="left" w:leader="none"/>
        </w:tabs>
        <w:spacing w:line="240" w:lineRule="auto" w:before="0" w:after="0"/>
        <w:ind w:left="2624" w:right="183" w:hanging="360"/>
        <w:jc w:val="left"/>
        <w:rPr>
          <w:sz w:val="20"/>
        </w:rPr>
      </w:pPr>
      <w:r>
        <w:rPr>
          <w:sz w:val="20"/>
        </w:rPr>
        <w:t>Child and Adolescent Psychiatry - a 15% discount is available for Psychiatrists whose patient base is less than 50% adult</w:t>
      </w:r>
      <w:r>
        <w:rPr>
          <w:spacing w:val="-17"/>
          <w:sz w:val="20"/>
        </w:rPr>
        <w:t> </w:t>
      </w:r>
      <w:r>
        <w:rPr>
          <w:sz w:val="20"/>
        </w:rPr>
        <w:t>psychiatry.</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314" w:hanging="360"/>
        <w:jc w:val="left"/>
        <w:rPr>
          <w:sz w:val="20"/>
        </w:rPr>
      </w:pPr>
      <w:r>
        <w:rPr>
          <w:sz w:val="20"/>
        </w:rPr>
        <w:t>New Business – A 10% credit will be applied for each insured applying to the CIS Company/Program for the first time, provided they have been claims free for the past 12</w:t>
      </w:r>
      <w:r>
        <w:rPr>
          <w:spacing w:val="-32"/>
          <w:sz w:val="20"/>
        </w:rPr>
        <w:t> </w:t>
      </w:r>
      <w:r>
        <w:rPr>
          <w:sz w:val="20"/>
        </w:rPr>
        <w:t>months.</w:t>
      </w:r>
    </w:p>
    <w:p>
      <w:pPr>
        <w:pStyle w:val="BodyText"/>
        <w:spacing w:before="10"/>
        <w:rPr>
          <w:sz w:val="19"/>
        </w:rPr>
      </w:pPr>
    </w:p>
    <w:p>
      <w:pPr>
        <w:spacing w:before="1"/>
        <w:ind w:left="2263" w:right="340" w:hanging="1649"/>
        <w:jc w:val="both"/>
        <w:rPr>
          <w:i/>
          <w:sz w:val="20"/>
        </w:rPr>
      </w:pPr>
      <w:r>
        <w:rPr>
          <w:b/>
          <w:sz w:val="20"/>
        </w:rPr>
        <w:t>Schedule Rating: </w:t>
      </w:r>
      <w:r>
        <w:rPr>
          <w:sz w:val="20"/>
        </w:rPr>
        <w:t>To recognize the individual and unique characteristics within each account, it shall be permissible to apply a Schedule Rating debit and/or credit. </w:t>
      </w:r>
      <w:r>
        <w:rPr>
          <w:i/>
          <w:sz w:val="20"/>
        </w:rPr>
        <w:t>The following scheduled modifiers will be considered on </w:t>
      </w:r>
      <w:r>
        <w:rPr>
          <w:i/>
          <w:sz w:val="20"/>
        </w:rPr>
        <w:t>the listed criteria and the range will be as indicated below.</w:t>
      </w: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Practice Setting (+/-</w:t>
      </w:r>
      <w:r>
        <w:rPr>
          <w:spacing w:val="-17"/>
          <w:sz w:val="20"/>
        </w:rPr>
        <w:t> </w:t>
      </w:r>
      <w:r>
        <w:rPr>
          <w:sz w:val="20"/>
        </w:rPr>
        <w:t>25%)</w:t>
      </w:r>
    </w:p>
    <w:p>
      <w:pPr>
        <w:pStyle w:val="ListParagraph"/>
        <w:numPr>
          <w:ilvl w:val="0"/>
          <w:numId w:val="6"/>
        </w:numPr>
        <w:tabs>
          <w:tab w:pos="2983" w:val="left" w:leader="none"/>
          <w:tab w:pos="2984" w:val="left" w:leader="none"/>
        </w:tabs>
        <w:spacing w:line="240" w:lineRule="auto" w:before="0" w:after="0"/>
        <w:ind w:left="2984" w:right="0" w:hanging="360"/>
        <w:jc w:val="left"/>
        <w:rPr>
          <w:sz w:val="20"/>
        </w:rPr>
      </w:pPr>
      <w:r>
        <w:rPr>
          <w:sz w:val="20"/>
        </w:rPr>
        <w:t>Detention</w:t>
      </w:r>
      <w:r>
        <w:rPr>
          <w:spacing w:val="-14"/>
          <w:sz w:val="20"/>
        </w:rPr>
        <w:t> </w:t>
      </w:r>
      <w:r>
        <w:rPr>
          <w:sz w:val="20"/>
        </w:rPr>
        <w:t>Facilities</w:t>
      </w:r>
    </w:p>
    <w:p>
      <w:pPr>
        <w:pStyle w:val="ListParagraph"/>
        <w:numPr>
          <w:ilvl w:val="0"/>
          <w:numId w:val="6"/>
        </w:numPr>
        <w:tabs>
          <w:tab w:pos="2984" w:val="left" w:leader="none"/>
        </w:tabs>
        <w:spacing w:line="230" w:lineRule="exact" w:before="0" w:after="0"/>
        <w:ind w:left="2984" w:right="0" w:hanging="360"/>
        <w:jc w:val="left"/>
        <w:rPr>
          <w:sz w:val="20"/>
        </w:rPr>
      </w:pPr>
      <w:r>
        <w:rPr>
          <w:sz w:val="20"/>
        </w:rPr>
        <w:t>Patient</w:t>
      </w:r>
      <w:r>
        <w:rPr>
          <w:spacing w:val="-11"/>
          <w:sz w:val="20"/>
        </w:rPr>
        <w:t> </w:t>
      </w:r>
      <w:r>
        <w:rPr>
          <w:sz w:val="20"/>
        </w:rPr>
        <w:t>Recruitment</w:t>
      </w:r>
    </w:p>
    <w:p>
      <w:pPr>
        <w:pStyle w:val="ListParagraph"/>
        <w:numPr>
          <w:ilvl w:val="0"/>
          <w:numId w:val="6"/>
        </w:numPr>
        <w:tabs>
          <w:tab w:pos="2983" w:val="left" w:leader="none"/>
          <w:tab w:pos="2985" w:val="left" w:leader="none"/>
        </w:tabs>
        <w:spacing w:line="240" w:lineRule="auto" w:before="0" w:after="0"/>
        <w:ind w:left="2984" w:right="193" w:hanging="360"/>
        <w:jc w:val="left"/>
        <w:rPr>
          <w:sz w:val="20"/>
        </w:rPr>
      </w:pPr>
      <w:r>
        <w:rPr>
          <w:sz w:val="20"/>
        </w:rPr>
        <w:t>Facility has been subject to license or accreditation disciplinary action or federal investigation or</w:t>
      </w:r>
      <w:r>
        <w:rPr>
          <w:spacing w:val="-6"/>
          <w:sz w:val="20"/>
        </w:rPr>
        <w:t> </w:t>
      </w:r>
      <w:r>
        <w:rPr>
          <w:sz w:val="20"/>
        </w:rPr>
        <w:t>prosecution,</w:t>
      </w:r>
      <w:r>
        <w:rPr>
          <w:spacing w:val="-6"/>
          <w:sz w:val="20"/>
        </w:rPr>
        <w:t> </w:t>
      </w:r>
      <w:r>
        <w:rPr>
          <w:sz w:val="20"/>
        </w:rPr>
        <w:t>mass</w:t>
      </w:r>
      <w:r>
        <w:rPr>
          <w:spacing w:val="-5"/>
          <w:sz w:val="20"/>
        </w:rPr>
        <w:t> </w:t>
      </w:r>
      <w:r>
        <w:rPr>
          <w:sz w:val="20"/>
        </w:rPr>
        <w:t>tort</w:t>
      </w:r>
      <w:r>
        <w:rPr>
          <w:spacing w:val="-5"/>
          <w:sz w:val="20"/>
        </w:rPr>
        <w:t> </w:t>
      </w:r>
      <w:r>
        <w:rPr>
          <w:sz w:val="20"/>
        </w:rPr>
        <w:t>litigation</w:t>
      </w:r>
      <w:r>
        <w:rPr>
          <w:spacing w:val="-6"/>
          <w:sz w:val="20"/>
        </w:rPr>
        <w:t> </w:t>
      </w:r>
      <w:r>
        <w:rPr>
          <w:sz w:val="20"/>
        </w:rPr>
        <w:t>or</w:t>
      </w:r>
      <w:r>
        <w:rPr>
          <w:spacing w:val="-6"/>
          <w:sz w:val="20"/>
        </w:rPr>
        <w:t> </w:t>
      </w:r>
      <w:r>
        <w:rPr>
          <w:sz w:val="20"/>
        </w:rPr>
        <w:t>investigative</w:t>
      </w:r>
      <w:r>
        <w:rPr>
          <w:spacing w:val="-6"/>
          <w:sz w:val="20"/>
        </w:rPr>
        <w:t> </w:t>
      </w:r>
      <w:r>
        <w:rPr>
          <w:sz w:val="20"/>
        </w:rPr>
        <w:t>reporting</w:t>
      </w:r>
    </w:p>
    <w:p>
      <w:pPr>
        <w:pStyle w:val="ListParagraph"/>
        <w:numPr>
          <w:ilvl w:val="0"/>
          <w:numId w:val="6"/>
        </w:numPr>
        <w:tabs>
          <w:tab w:pos="2985" w:val="left" w:leader="none"/>
        </w:tabs>
        <w:spacing w:line="240" w:lineRule="auto" w:before="1" w:after="0"/>
        <w:ind w:left="2984" w:right="0" w:hanging="360"/>
        <w:jc w:val="left"/>
        <w:rPr>
          <w:sz w:val="20"/>
        </w:rPr>
      </w:pPr>
      <w:r>
        <w:rPr>
          <w:sz w:val="20"/>
        </w:rPr>
        <w:t>Clinical</w:t>
      </w:r>
      <w:r>
        <w:rPr>
          <w:spacing w:val="-5"/>
          <w:sz w:val="20"/>
        </w:rPr>
        <w:t> </w:t>
      </w:r>
      <w:r>
        <w:rPr>
          <w:sz w:val="20"/>
        </w:rPr>
        <w:t>teaching</w:t>
      </w:r>
      <w:r>
        <w:rPr>
          <w:spacing w:val="-6"/>
          <w:sz w:val="20"/>
        </w:rPr>
        <w:t> </w:t>
      </w:r>
      <w:r>
        <w:rPr>
          <w:sz w:val="20"/>
        </w:rPr>
        <w:t>activities</w:t>
      </w:r>
      <w:r>
        <w:rPr>
          <w:spacing w:val="-6"/>
          <w:sz w:val="20"/>
        </w:rPr>
        <w:t> </w:t>
      </w:r>
      <w:r>
        <w:rPr>
          <w:sz w:val="20"/>
        </w:rPr>
        <w:t>exceed</w:t>
      </w:r>
      <w:r>
        <w:rPr>
          <w:spacing w:val="-7"/>
          <w:sz w:val="20"/>
        </w:rPr>
        <w:t> </w:t>
      </w:r>
      <w:r>
        <w:rPr>
          <w:sz w:val="20"/>
        </w:rPr>
        <w:t>50%</w:t>
      </w:r>
      <w:r>
        <w:rPr>
          <w:spacing w:val="-6"/>
          <w:sz w:val="20"/>
        </w:rPr>
        <w:t> </w:t>
      </w:r>
      <w:r>
        <w:rPr>
          <w:sz w:val="20"/>
        </w:rPr>
        <w:t>of</w:t>
      </w:r>
      <w:r>
        <w:rPr>
          <w:spacing w:val="-5"/>
          <w:sz w:val="20"/>
        </w:rPr>
        <w:t> </w:t>
      </w:r>
      <w:r>
        <w:rPr>
          <w:sz w:val="20"/>
        </w:rPr>
        <w:t>total</w:t>
      </w:r>
      <w:r>
        <w:rPr>
          <w:spacing w:val="-5"/>
          <w:sz w:val="20"/>
        </w:rPr>
        <w:t> </w:t>
      </w:r>
      <w:r>
        <w:rPr>
          <w:sz w:val="20"/>
        </w:rPr>
        <w:t>practice</w:t>
      </w:r>
      <w:r>
        <w:rPr>
          <w:spacing w:val="-5"/>
          <w:sz w:val="20"/>
        </w:rPr>
        <w:t> </w:t>
      </w:r>
      <w:r>
        <w:rPr>
          <w:sz w:val="20"/>
        </w:rPr>
        <w:t>time.</w:t>
      </w:r>
    </w:p>
    <w:p>
      <w:pPr>
        <w:pStyle w:val="BodyText"/>
        <w:spacing w:before="10"/>
        <w:rPr>
          <w:sz w:val="19"/>
        </w:rPr>
      </w:pPr>
    </w:p>
    <w:p>
      <w:pPr>
        <w:pStyle w:val="ListParagraph"/>
        <w:numPr>
          <w:ilvl w:val="1"/>
          <w:numId w:val="4"/>
        </w:numPr>
        <w:tabs>
          <w:tab w:pos="2623" w:val="left" w:leader="none"/>
          <w:tab w:pos="2625" w:val="left" w:leader="none"/>
        </w:tabs>
        <w:spacing w:line="244" w:lineRule="exact" w:before="0" w:after="0"/>
        <w:ind w:left="2624" w:right="0" w:hanging="360"/>
        <w:jc w:val="left"/>
        <w:rPr>
          <w:sz w:val="20"/>
        </w:rPr>
      </w:pPr>
      <w:r>
        <w:rPr>
          <w:sz w:val="20"/>
        </w:rPr>
        <w:t>Nature and Scope of Practice (+/-</w:t>
      </w:r>
      <w:r>
        <w:rPr>
          <w:spacing w:val="-22"/>
          <w:sz w:val="20"/>
        </w:rPr>
        <w:t> </w:t>
      </w:r>
      <w:r>
        <w:rPr>
          <w:sz w:val="20"/>
        </w:rPr>
        <w:t>25%)</w:t>
      </w:r>
    </w:p>
    <w:p>
      <w:pPr>
        <w:pStyle w:val="ListParagraph"/>
        <w:numPr>
          <w:ilvl w:val="0"/>
          <w:numId w:val="7"/>
        </w:numPr>
        <w:tabs>
          <w:tab w:pos="2983" w:val="left" w:leader="none"/>
          <w:tab w:pos="2985" w:val="left" w:leader="none"/>
        </w:tabs>
        <w:spacing w:line="229" w:lineRule="exact" w:before="0" w:after="0"/>
        <w:ind w:left="2984" w:right="0" w:hanging="360"/>
        <w:jc w:val="left"/>
        <w:rPr>
          <w:sz w:val="20"/>
        </w:rPr>
      </w:pPr>
      <w:r>
        <w:rPr>
          <w:sz w:val="20"/>
        </w:rPr>
        <w:t>Treatment</w:t>
      </w:r>
      <w:r>
        <w:rPr>
          <w:spacing w:val="-7"/>
          <w:sz w:val="20"/>
        </w:rPr>
        <w:t> </w:t>
      </w:r>
      <w:r>
        <w:rPr>
          <w:sz w:val="20"/>
        </w:rPr>
        <w:t>of</w:t>
      </w:r>
      <w:r>
        <w:rPr>
          <w:spacing w:val="-7"/>
          <w:sz w:val="20"/>
        </w:rPr>
        <w:t> </w:t>
      </w:r>
      <w:r>
        <w:rPr>
          <w:sz w:val="20"/>
        </w:rPr>
        <w:t>borderline</w:t>
      </w:r>
      <w:r>
        <w:rPr>
          <w:spacing w:val="-6"/>
          <w:sz w:val="20"/>
        </w:rPr>
        <w:t> </w:t>
      </w:r>
      <w:r>
        <w:rPr>
          <w:sz w:val="20"/>
        </w:rPr>
        <w:t>personalities</w:t>
      </w:r>
      <w:r>
        <w:rPr>
          <w:spacing w:val="-7"/>
          <w:sz w:val="20"/>
        </w:rPr>
        <w:t> </w:t>
      </w:r>
      <w:r>
        <w:rPr>
          <w:sz w:val="20"/>
        </w:rPr>
        <w:t>and</w:t>
      </w:r>
      <w:r>
        <w:rPr>
          <w:spacing w:val="-6"/>
          <w:sz w:val="20"/>
        </w:rPr>
        <w:t> </w:t>
      </w:r>
      <w:r>
        <w:rPr>
          <w:sz w:val="20"/>
        </w:rPr>
        <w:t>multiple</w:t>
      </w:r>
      <w:r>
        <w:rPr>
          <w:spacing w:val="-6"/>
          <w:sz w:val="20"/>
        </w:rPr>
        <w:t> </w:t>
      </w:r>
      <w:r>
        <w:rPr>
          <w:sz w:val="20"/>
        </w:rPr>
        <w:t>personality</w:t>
      </w:r>
      <w:r>
        <w:rPr>
          <w:spacing w:val="-7"/>
          <w:sz w:val="20"/>
        </w:rPr>
        <w:t> </w:t>
      </w:r>
      <w:r>
        <w:rPr>
          <w:sz w:val="20"/>
        </w:rPr>
        <w:t>disorders</w:t>
      </w:r>
    </w:p>
    <w:p>
      <w:pPr>
        <w:pStyle w:val="ListParagraph"/>
        <w:numPr>
          <w:ilvl w:val="0"/>
          <w:numId w:val="7"/>
        </w:numPr>
        <w:tabs>
          <w:tab w:pos="2985" w:val="left" w:leader="none"/>
        </w:tabs>
        <w:spacing w:line="240" w:lineRule="auto" w:before="1" w:after="0"/>
        <w:ind w:left="2984" w:right="0" w:hanging="360"/>
        <w:jc w:val="left"/>
        <w:rPr>
          <w:sz w:val="20"/>
        </w:rPr>
      </w:pPr>
      <w:r>
        <w:rPr>
          <w:sz w:val="20"/>
        </w:rPr>
        <w:t>Treatment of Pain</w:t>
      </w:r>
      <w:r>
        <w:rPr>
          <w:spacing w:val="-11"/>
          <w:sz w:val="20"/>
        </w:rPr>
        <w:t> </w:t>
      </w:r>
      <w:r>
        <w:rPr>
          <w:sz w:val="20"/>
        </w:rPr>
        <w:t>Management</w:t>
      </w:r>
    </w:p>
    <w:p>
      <w:pPr>
        <w:pStyle w:val="ListParagraph"/>
        <w:numPr>
          <w:ilvl w:val="0"/>
          <w:numId w:val="7"/>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26"/>
          <w:sz w:val="20"/>
        </w:rPr>
        <w:t> </w:t>
      </w:r>
      <w:r>
        <w:rPr>
          <w:sz w:val="20"/>
        </w:rPr>
        <w:t>therapies.</w:t>
      </w:r>
    </w:p>
    <w:p>
      <w:pPr>
        <w:pStyle w:val="ListParagraph"/>
        <w:numPr>
          <w:ilvl w:val="0"/>
          <w:numId w:val="7"/>
        </w:numPr>
        <w:tabs>
          <w:tab w:pos="2985" w:val="left" w:leader="none"/>
        </w:tabs>
        <w:spacing w:line="230" w:lineRule="exact" w:before="0" w:after="0"/>
        <w:ind w:left="2984" w:right="0" w:hanging="360"/>
        <w:jc w:val="left"/>
        <w:rPr>
          <w:sz w:val="20"/>
        </w:rPr>
      </w:pPr>
      <w:r>
        <w:rPr>
          <w:sz w:val="20"/>
        </w:rPr>
        <w:t>Supervision of /Consultation with professionals in 1,2 and 3</w:t>
      </w:r>
      <w:r>
        <w:rPr>
          <w:spacing w:val="-27"/>
          <w:sz w:val="20"/>
        </w:rPr>
        <w:t> </w:t>
      </w:r>
      <w:r>
        <w:rPr>
          <w:sz w:val="20"/>
        </w:rPr>
        <w:t>above</w:t>
      </w:r>
    </w:p>
    <w:p>
      <w:pPr>
        <w:pStyle w:val="ListParagraph"/>
        <w:numPr>
          <w:ilvl w:val="0"/>
          <w:numId w:val="7"/>
        </w:numPr>
        <w:tabs>
          <w:tab w:pos="2984" w:val="left" w:leader="none"/>
          <w:tab w:pos="2985" w:val="left" w:leader="none"/>
        </w:tabs>
        <w:spacing w:line="240" w:lineRule="auto"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0"/>
          <w:numId w:val="7"/>
        </w:numPr>
        <w:tabs>
          <w:tab w:pos="2984" w:val="left" w:leader="none"/>
          <w:tab w:pos="2985" w:val="left" w:leader="none"/>
        </w:tabs>
        <w:spacing w:line="240" w:lineRule="auto" w:before="0" w:after="0"/>
        <w:ind w:left="2984" w:right="0" w:hanging="360"/>
        <w:jc w:val="left"/>
        <w:rPr>
          <w:sz w:val="20"/>
        </w:rPr>
      </w:pPr>
      <w:r>
        <w:rPr>
          <w:sz w:val="20"/>
        </w:rPr>
        <w:t>Adverse Risk not considered in base</w:t>
      </w:r>
      <w:r>
        <w:rPr>
          <w:spacing w:val="-13"/>
          <w:sz w:val="20"/>
        </w:rPr>
        <w:t> </w:t>
      </w:r>
      <w:r>
        <w:rPr>
          <w:sz w:val="20"/>
        </w:rPr>
        <w:t>rate</w:t>
      </w:r>
    </w:p>
    <w:p>
      <w:pPr>
        <w:pStyle w:val="BodyText"/>
        <w:spacing w:before="11"/>
        <w:rPr>
          <w:sz w:val="19"/>
        </w:rPr>
      </w:pPr>
    </w:p>
    <w:p>
      <w:pPr>
        <w:pStyle w:val="ListParagraph"/>
        <w:numPr>
          <w:ilvl w:val="1"/>
          <w:numId w:val="4"/>
        </w:numPr>
        <w:tabs>
          <w:tab w:pos="2624" w:val="left" w:leader="none"/>
          <w:tab w:pos="2625" w:val="left" w:leader="none"/>
        </w:tabs>
        <w:spacing w:line="245" w:lineRule="exact" w:before="0" w:after="0"/>
        <w:ind w:left="2624" w:right="0" w:hanging="360"/>
        <w:jc w:val="left"/>
        <w:rPr>
          <w:sz w:val="20"/>
        </w:rPr>
      </w:pPr>
      <w:r>
        <w:rPr>
          <w:sz w:val="20"/>
        </w:rPr>
        <w:t>General Factors</w:t>
      </w:r>
      <w:r>
        <w:rPr>
          <w:spacing w:val="-7"/>
          <w:sz w:val="20"/>
        </w:rPr>
        <w:t> </w:t>
      </w:r>
      <w:r>
        <w:rPr>
          <w:sz w:val="20"/>
        </w:rPr>
        <w:t>(-10%/+25%)</w:t>
      </w:r>
    </w:p>
    <w:p>
      <w:pPr>
        <w:pStyle w:val="ListParagraph"/>
        <w:numPr>
          <w:ilvl w:val="0"/>
          <w:numId w:val="8"/>
        </w:numPr>
        <w:tabs>
          <w:tab w:pos="2984" w:val="left" w:leader="none"/>
          <w:tab w:pos="2985" w:val="left" w:leader="none"/>
        </w:tabs>
        <w:spacing w:line="229" w:lineRule="exact" w:before="0" w:after="0"/>
        <w:ind w:left="2984" w:right="0" w:hanging="360"/>
        <w:jc w:val="left"/>
        <w:rPr>
          <w:sz w:val="20"/>
        </w:rPr>
      </w:pPr>
      <w:r>
        <w:rPr>
          <w:sz w:val="20"/>
        </w:rPr>
        <w:t>Hospital Staff</w:t>
      </w:r>
      <w:r>
        <w:rPr>
          <w:spacing w:val="-14"/>
          <w:sz w:val="20"/>
        </w:rPr>
        <w:t> </w:t>
      </w:r>
      <w:r>
        <w:rPr>
          <w:sz w:val="20"/>
        </w:rPr>
        <w:t>Privileges</w:t>
      </w:r>
    </w:p>
    <w:p>
      <w:pPr>
        <w:pStyle w:val="ListParagraph"/>
        <w:numPr>
          <w:ilvl w:val="0"/>
          <w:numId w:val="8"/>
        </w:numPr>
        <w:tabs>
          <w:tab w:pos="2985" w:val="left" w:leader="none"/>
        </w:tabs>
        <w:spacing w:line="230" w:lineRule="exact" w:before="0" w:after="0"/>
        <w:ind w:left="2984" w:right="0" w:hanging="360"/>
        <w:jc w:val="left"/>
        <w:rPr>
          <w:sz w:val="20"/>
        </w:rPr>
      </w:pPr>
      <w:r>
        <w:rPr>
          <w:sz w:val="20"/>
        </w:rPr>
        <w:t>Managed Care Network</w:t>
      </w:r>
      <w:r>
        <w:rPr>
          <w:spacing w:val="-12"/>
          <w:sz w:val="20"/>
        </w:rPr>
        <w:t> </w:t>
      </w:r>
      <w:r>
        <w:rPr>
          <w:sz w:val="20"/>
        </w:rPr>
        <w:t>Privileges</w:t>
      </w:r>
    </w:p>
    <w:p>
      <w:pPr>
        <w:pStyle w:val="ListParagraph"/>
        <w:numPr>
          <w:ilvl w:val="0"/>
          <w:numId w:val="8"/>
        </w:numPr>
        <w:tabs>
          <w:tab w:pos="2984" w:val="left" w:leader="none"/>
          <w:tab w:pos="2985" w:val="left" w:leader="none"/>
        </w:tabs>
        <w:spacing w:line="240" w:lineRule="auto" w:before="0" w:after="0"/>
        <w:ind w:left="2984" w:right="0" w:hanging="360"/>
        <w:jc w:val="left"/>
        <w:rPr>
          <w:sz w:val="20"/>
        </w:rPr>
      </w:pPr>
      <w:r>
        <w:rPr>
          <w:sz w:val="20"/>
        </w:rPr>
        <w:t>Medical Record Keeping and</w:t>
      </w:r>
      <w:r>
        <w:rPr>
          <w:spacing w:val="-18"/>
          <w:sz w:val="20"/>
        </w:rPr>
        <w:t> </w:t>
      </w:r>
      <w:r>
        <w:rPr>
          <w:sz w:val="20"/>
        </w:rPr>
        <w:t>Billing</w:t>
      </w:r>
    </w:p>
    <w:p>
      <w:pPr>
        <w:pStyle w:val="BodyText"/>
        <w:spacing w:before="11"/>
        <w:rPr>
          <w:sz w:val="19"/>
        </w:rPr>
      </w:pPr>
    </w:p>
    <w:p>
      <w:pPr>
        <w:spacing w:before="0"/>
        <w:ind w:left="2084" w:right="0" w:firstLine="0"/>
        <w:jc w:val="left"/>
        <w:rPr>
          <w:i/>
          <w:sz w:val="20"/>
        </w:rPr>
      </w:pPr>
      <w:r>
        <w:rPr>
          <w:i/>
          <w:sz w:val="20"/>
        </w:rPr>
        <w:t>The maximum scheduled rating adjustment will be +/-40%</w:t>
      </w:r>
    </w:p>
    <w:p>
      <w:pPr>
        <w:pStyle w:val="BodyText"/>
        <w:spacing w:before="11"/>
        <w:rPr>
          <w:i/>
          <w:sz w:val="19"/>
        </w:rPr>
      </w:pPr>
    </w:p>
    <w:p>
      <w:pPr>
        <w:spacing w:before="0"/>
        <w:ind w:left="2263" w:right="80" w:hanging="1840"/>
        <w:jc w:val="left"/>
        <w:rPr>
          <w:i/>
          <w:sz w:val="20"/>
        </w:rPr>
      </w:pPr>
      <w:r>
        <w:rPr>
          <w:b/>
          <w:sz w:val="20"/>
        </w:rPr>
        <w:t>Experience Rating: </w:t>
      </w:r>
      <w:r>
        <w:rPr>
          <w:sz w:val="20"/>
        </w:rPr>
        <w:t>Based upon the insured’s claim experience and history over the preceding ten (10) year period, an Experience Rating debit or credit may be applied. The maximum credit shall not exceed 10% and debit shall not exceed 50%. </w:t>
      </w:r>
      <w:r>
        <w:rPr>
          <w:i/>
          <w:sz w:val="20"/>
        </w:rPr>
        <w:t>The following debits/credits will be considered on the claims history criteria of </w:t>
      </w:r>
      <w:r>
        <w:rPr>
          <w:i/>
          <w:sz w:val="20"/>
        </w:rPr>
        <w:t>the insured and the range will be as indicated below.</w:t>
      </w:r>
    </w:p>
    <w:p>
      <w:pPr>
        <w:pStyle w:val="BodyText"/>
        <w:rPr>
          <w:i/>
        </w:rPr>
      </w:pPr>
    </w:p>
    <w:p>
      <w:pPr>
        <w:pStyle w:val="ListParagraph"/>
        <w:numPr>
          <w:ilvl w:val="1"/>
          <w:numId w:val="4"/>
        </w:numPr>
        <w:tabs>
          <w:tab w:pos="2623" w:val="left" w:leader="none"/>
          <w:tab w:pos="2624" w:val="left" w:leader="none"/>
        </w:tabs>
        <w:spacing w:line="244" w:lineRule="exact" w:before="1" w:after="0"/>
        <w:ind w:left="2624" w:right="0" w:hanging="360"/>
        <w:jc w:val="left"/>
        <w:rPr>
          <w:sz w:val="20"/>
        </w:rPr>
      </w:pPr>
      <w:r>
        <w:rPr>
          <w:sz w:val="20"/>
        </w:rPr>
        <w:t>Claims Free</w:t>
      </w:r>
      <w:r>
        <w:rPr>
          <w:spacing w:val="-14"/>
          <w:sz w:val="20"/>
        </w:rPr>
        <w:t> </w:t>
      </w:r>
      <w:r>
        <w:rPr>
          <w:sz w:val="20"/>
        </w:rPr>
        <w:t>Credit</w:t>
      </w:r>
    </w:p>
    <w:p>
      <w:pPr>
        <w:pStyle w:val="ListParagraph"/>
        <w:numPr>
          <w:ilvl w:val="0"/>
          <w:numId w:val="9"/>
        </w:numPr>
        <w:tabs>
          <w:tab w:pos="2983" w:val="left" w:leader="none"/>
          <w:tab w:pos="2984" w:val="left" w:leader="none"/>
          <w:tab w:pos="6585" w:val="left" w:leader="none"/>
        </w:tabs>
        <w:spacing w:line="229" w:lineRule="exact" w:before="0" w:after="0"/>
        <w:ind w:left="2984" w:right="0" w:hanging="360"/>
        <w:jc w:val="left"/>
        <w:rPr>
          <w:sz w:val="20"/>
        </w:rPr>
      </w:pPr>
      <w:r>
        <w:rPr>
          <w:sz w:val="20"/>
        </w:rPr>
        <w:t>1 year loss</w:t>
      </w:r>
      <w:r>
        <w:rPr>
          <w:spacing w:val="-1"/>
          <w:sz w:val="20"/>
        </w:rPr>
        <w:t> </w:t>
      </w:r>
      <w:r>
        <w:rPr>
          <w:sz w:val="20"/>
        </w:rPr>
        <w:t>free</w:t>
        <w:tab/>
        <w:t>1%</w:t>
      </w:r>
    </w:p>
    <w:p>
      <w:pPr>
        <w:pStyle w:val="ListParagraph"/>
        <w:numPr>
          <w:ilvl w:val="0"/>
          <w:numId w:val="9"/>
        </w:numPr>
        <w:tabs>
          <w:tab w:pos="2984" w:val="left" w:leader="none"/>
          <w:tab w:pos="6584" w:val="left" w:leader="none"/>
        </w:tabs>
        <w:spacing w:line="240" w:lineRule="auto" w:before="0" w:after="0"/>
        <w:ind w:left="2984" w:right="0" w:hanging="360"/>
        <w:jc w:val="left"/>
        <w:rPr>
          <w:sz w:val="20"/>
        </w:rPr>
      </w:pPr>
      <w:r>
        <w:rPr>
          <w:sz w:val="20"/>
        </w:rPr>
        <w:t>2 years</w:t>
      </w:r>
      <w:r>
        <w:rPr>
          <w:spacing w:val="-2"/>
          <w:sz w:val="20"/>
        </w:rPr>
        <w:t> </w:t>
      </w:r>
      <w:r>
        <w:rPr>
          <w:sz w:val="20"/>
        </w:rPr>
        <w:t>loss</w:t>
      </w:r>
      <w:r>
        <w:rPr>
          <w:spacing w:val="-2"/>
          <w:sz w:val="20"/>
        </w:rPr>
        <w:t> </w:t>
      </w:r>
      <w:r>
        <w:rPr>
          <w:sz w:val="20"/>
        </w:rPr>
        <w:t>free</w:t>
        <w:tab/>
        <w:t>2%</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3 years</w:t>
      </w:r>
      <w:r>
        <w:rPr>
          <w:spacing w:val="-2"/>
          <w:sz w:val="20"/>
        </w:rPr>
        <w:t> </w:t>
      </w:r>
      <w:r>
        <w:rPr>
          <w:sz w:val="20"/>
        </w:rPr>
        <w:t>loss</w:t>
      </w:r>
      <w:r>
        <w:rPr>
          <w:spacing w:val="-2"/>
          <w:sz w:val="20"/>
        </w:rPr>
        <w:t> </w:t>
      </w:r>
      <w:r>
        <w:rPr>
          <w:sz w:val="20"/>
        </w:rPr>
        <w:t>free</w:t>
        <w:tab/>
        <w:t>3%</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4 years</w:t>
      </w:r>
      <w:r>
        <w:rPr>
          <w:spacing w:val="-2"/>
          <w:sz w:val="20"/>
        </w:rPr>
        <w:t> </w:t>
      </w:r>
      <w:r>
        <w:rPr>
          <w:sz w:val="20"/>
        </w:rPr>
        <w:t>loss</w:t>
      </w:r>
      <w:r>
        <w:rPr>
          <w:spacing w:val="-2"/>
          <w:sz w:val="20"/>
        </w:rPr>
        <w:t> </w:t>
      </w:r>
      <w:r>
        <w:rPr>
          <w:sz w:val="20"/>
        </w:rPr>
        <w:t>free</w:t>
        <w:tab/>
        <w:t>4%</w:t>
      </w:r>
    </w:p>
    <w:p>
      <w:pPr>
        <w:pStyle w:val="ListParagraph"/>
        <w:numPr>
          <w:ilvl w:val="0"/>
          <w:numId w:val="9"/>
        </w:numPr>
        <w:tabs>
          <w:tab w:pos="2983" w:val="left" w:leader="none"/>
          <w:tab w:pos="2985" w:val="left" w:leader="none"/>
          <w:tab w:pos="6584" w:val="left" w:leader="none"/>
        </w:tabs>
        <w:spacing w:line="240" w:lineRule="auto" w:before="0" w:after="0"/>
        <w:ind w:left="2984" w:right="0" w:hanging="360"/>
        <w:jc w:val="left"/>
        <w:rPr>
          <w:sz w:val="20"/>
        </w:rPr>
      </w:pPr>
      <w:r>
        <w:rPr>
          <w:sz w:val="20"/>
        </w:rPr>
        <w:t>5 years</w:t>
      </w:r>
      <w:r>
        <w:rPr>
          <w:spacing w:val="-2"/>
          <w:sz w:val="20"/>
        </w:rPr>
        <w:t> </w:t>
      </w:r>
      <w:r>
        <w:rPr>
          <w:sz w:val="20"/>
        </w:rPr>
        <w:t>loss</w:t>
      </w:r>
      <w:r>
        <w:rPr>
          <w:spacing w:val="-2"/>
          <w:sz w:val="20"/>
        </w:rPr>
        <w:t> </w:t>
      </w:r>
      <w:r>
        <w:rPr>
          <w:sz w:val="20"/>
        </w:rPr>
        <w:t>free</w:t>
        <w:tab/>
        <w:t>5%</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6 years</w:t>
      </w:r>
      <w:r>
        <w:rPr>
          <w:spacing w:val="-2"/>
          <w:sz w:val="20"/>
        </w:rPr>
        <w:t> </w:t>
      </w:r>
      <w:r>
        <w:rPr>
          <w:sz w:val="20"/>
        </w:rPr>
        <w:t>loss</w:t>
      </w:r>
      <w:r>
        <w:rPr>
          <w:spacing w:val="-2"/>
          <w:sz w:val="20"/>
        </w:rPr>
        <w:t> </w:t>
      </w:r>
      <w:r>
        <w:rPr>
          <w:sz w:val="20"/>
        </w:rPr>
        <w:t>free</w:t>
        <w:tab/>
        <w:t>6%</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7 years</w:t>
      </w:r>
      <w:r>
        <w:rPr>
          <w:spacing w:val="-2"/>
          <w:sz w:val="20"/>
        </w:rPr>
        <w:t> </w:t>
      </w:r>
      <w:r>
        <w:rPr>
          <w:sz w:val="20"/>
        </w:rPr>
        <w:t>loss</w:t>
      </w:r>
      <w:r>
        <w:rPr>
          <w:spacing w:val="-2"/>
          <w:sz w:val="20"/>
        </w:rPr>
        <w:t> </w:t>
      </w:r>
      <w:r>
        <w:rPr>
          <w:sz w:val="20"/>
        </w:rPr>
        <w:t>free</w:t>
        <w:tab/>
        <w:t>7%</w:t>
      </w:r>
    </w:p>
    <w:p>
      <w:pPr>
        <w:pStyle w:val="ListParagraph"/>
        <w:numPr>
          <w:ilvl w:val="0"/>
          <w:numId w:val="9"/>
        </w:numPr>
        <w:tabs>
          <w:tab w:pos="2985" w:val="left" w:leader="none"/>
          <w:tab w:pos="6584" w:val="left" w:leader="none"/>
        </w:tabs>
        <w:spacing w:line="240" w:lineRule="auto" w:before="0" w:after="0"/>
        <w:ind w:left="2984" w:right="0" w:hanging="360"/>
        <w:jc w:val="left"/>
        <w:rPr>
          <w:sz w:val="20"/>
        </w:rPr>
      </w:pPr>
      <w:r>
        <w:rPr>
          <w:sz w:val="20"/>
        </w:rPr>
        <w:t>8 years</w:t>
      </w:r>
      <w:r>
        <w:rPr>
          <w:spacing w:val="-2"/>
          <w:sz w:val="20"/>
        </w:rPr>
        <w:t> </w:t>
      </w:r>
      <w:r>
        <w:rPr>
          <w:sz w:val="20"/>
        </w:rPr>
        <w:t>loss</w:t>
      </w:r>
      <w:r>
        <w:rPr>
          <w:spacing w:val="-2"/>
          <w:sz w:val="20"/>
        </w:rPr>
        <w:t> </w:t>
      </w:r>
      <w:r>
        <w:rPr>
          <w:sz w:val="20"/>
        </w:rPr>
        <w:t>free</w:t>
        <w:tab/>
        <w:t>8%</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9 years</w:t>
      </w:r>
      <w:r>
        <w:rPr>
          <w:spacing w:val="-2"/>
          <w:sz w:val="20"/>
        </w:rPr>
        <w:t> </w:t>
      </w:r>
      <w:r>
        <w:rPr>
          <w:sz w:val="20"/>
        </w:rPr>
        <w:t>loss</w:t>
      </w:r>
      <w:r>
        <w:rPr>
          <w:spacing w:val="-2"/>
          <w:sz w:val="20"/>
        </w:rPr>
        <w:t> </w:t>
      </w:r>
      <w:r>
        <w:rPr>
          <w:sz w:val="20"/>
        </w:rPr>
        <w:t>free</w:t>
        <w:tab/>
        <w:t>9%</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10 years</w:t>
      </w:r>
      <w:r>
        <w:rPr>
          <w:spacing w:val="-4"/>
          <w:sz w:val="20"/>
        </w:rPr>
        <w:t> </w:t>
      </w:r>
      <w:r>
        <w:rPr>
          <w:sz w:val="20"/>
        </w:rPr>
        <w:t>loss</w:t>
      </w:r>
      <w:r>
        <w:rPr>
          <w:spacing w:val="-3"/>
          <w:sz w:val="20"/>
        </w:rPr>
        <w:t> </w:t>
      </w:r>
      <w:r>
        <w:rPr>
          <w:sz w:val="20"/>
        </w:rPr>
        <w:t>free</w:t>
        <w:tab/>
        <w:t>10%</w:t>
      </w:r>
    </w:p>
    <w:p>
      <w:pPr>
        <w:pStyle w:val="BodyText"/>
        <w:spacing w:before="1"/>
      </w:pPr>
    </w:p>
    <w:p>
      <w:pPr>
        <w:pStyle w:val="ListParagraph"/>
        <w:numPr>
          <w:ilvl w:val="1"/>
          <w:numId w:val="4"/>
        </w:numPr>
        <w:tabs>
          <w:tab w:pos="2623" w:val="left" w:leader="none"/>
          <w:tab w:pos="2625" w:val="left" w:leader="none"/>
        </w:tabs>
        <w:spacing w:line="240" w:lineRule="auto" w:before="0" w:after="0"/>
        <w:ind w:left="2624" w:right="111" w:hanging="360"/>
        <w:jc w:val="left"/>
        <w:rPr>
          <w:sz w:val="20"/>
        </w:rPr>
      </w:pPr>
      <w:r>
        <w:rPr>
          <w:sz w:val="20"/>
        </w:rPr>
        <w:t>Loss Experience is determined based on the chargeable loss amount and frequency within the last 5 years. The chargeable loss includes loss payments, outstanding reserves, and loss adjustment expenses.  One (1) loss is considered to be a reported claim that incurs at least $250 of</w:t>
      </w:r>
      <w:r>
        <w:rPr>
          <w:spacing w:val="-23"/>
          <w:sz w:val="20"/>
        </w:rPr>
        <w:t> </w:t>
      </w:r>
      <w:r>
        <w:rPr>
          <w:sz w:val="20"/>
        </w:rPr>
        <w:t>chargeable</w:t>
      </w:r>
    </w:p>
    <w:p>
      <w:pPr>
        <w:spacing w:after="0" w:line="240" w:lineRule="auto"/>
        <w:jc w:val="left"/>
        <w:rPr>
          <w:sz w:val="20"/>
        </w:rPr>
        <w:sectPr>
          <w:pgSz w:w="12240" w:h="15840"/>
          <w:pgMar w:header="0" w:footer="724" w:top="1080" w:bottom="920" w:left="760" w:right="780"/>
        </w:sectPr>
      </w:pPr>
    </w:p>
    <w:p>
      <w:pPr>
        <w:pStyle w:val="BodyText"/>
        <w:spacing w:before="69"/>
        <w:ind w:left="2624"/>
      </w:pPr>
      <w:r>
        <w:rPr/>
        <w:t>loss.</w:t>
      </w:r>
    </w:p>
    <w:p>
      <w:pPr>
        <w:pStyle w:val="BodyText"/>
        <w:spacing w:before="2" w:after="1"/>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ind w:left="97" w:right="0"/>
              <w:jc w:val="left"/>
              <w:rPr>
                <w:sz w:val="20"/>
              </w:rPr>
            </w:pPr>
            <w:r>
              <w:rPr>
                <w:sz w:val="20"/>
              </w:rPr>
              <w:t>Chargeable loss</w:t>
            </w:r>
          </w:p>
        </w:tc>
        <w:tc>
          <w:tcPr>
            <w:tcW w:w="3780" w:type="dxa"/>
            <w:gridSpan w:val="4"/>
          </w:tcPr>
          <w:p>
            <w:pPr>
              <w:pStyle w:val="TableParagraph"/>
              <w:ind w:left="1295" w:right="1295"/>
              <w:rPr>
                <w:sz w:val="20"/>
              </w:rPr>
            </w:pPr>
            <w:r>
              <w:rPr>
                <w:sz w:val="20"/>
              </w:rPr>
              <w:t>Applied Debit</w:t>
            </w:r>
          </w:p>
        </w:tc>
      </w:tr>
      <w:tr>
        <w:trPr>
          <w:trHeight w:val="270" w:hRule="exact"/>
        </w:trPr>
        <w:tc>
          <w:tcPr>
            <w:tcW w:w="2070" w:type="dxa"/>
          </w:tcPr>
          <w:p>
            <w:pPr/>
          </w:p>
        </w:tc>
        <w:tc>
          <w:tcPr>
            <w:tcW w:w="810" w:type="dxa"/>
          </w:tcPr>
          <w:p>
            <w:pPr>
              <w:pStyle w:val="TableParagraph"/>
              <w:ind w:right="232"/>
              <w:jc w:val="right"/>
              <w:rPr>
                <w:sz w:val="20"/>
              </w:rPr>
            </w:pPr>
            <w:r>
              <w:rPr>
                <w:sz w:val="20"/>
              </w:rPr>
              <w:t>1 loss</w:t>
            </w:r>
          </w:p>
        </w:tc>
        <w:tc>
          <w:tcPr>
            <w:tcW w:w="990" w:type="dxa"/>
          </w:tcPr>
          <w:p>
            <w:pPr>
              <w:pStyle w:val="TableParagraph"/>
              <w:ind w:left="85" w:right="226"/>
              <w:rPr>
                <w:sz w:val="20"/>
              </w:rPr>
            </w:pPr>
            <w:r>
              <w:rPr>
                <w:sz w:val="20"/>
              </w:rPr>
              <w:t>2 losses</w:t>
            </w:r>
          </w:p>
        </w:tc>
        <w:tc>
          <w:tcPr>
            <w:tcW w:w="990" w:type="dxa"/>
          </w:tcPr>
          <w:p>
            <w:pPr>
              <w:pStyle w:val="TableParagraph"/>
              <w:ind w:right="244"/>
              <w:jc w:val="right"/>
              <w:rPr>
                <w:sz w:val="20"/>
              </w:rPr>
            </w:pPr>
            <w:r>
              <w:rPr>
                <w:sz w:val="20"/>
              </w:rPr>
              <w:t>3 losses</w:t>
            </w:r>
          </w:p>
        </w:tc>
        <w:tc>
          <w:tcPr>
            <w:tcW w:w="990" w:type="dxa"/>
          </w:tcPr>
          <w:p>
            <w:pPr>
              <w:pStyle w:val="TableParagraph"/>
              <w:ind w:right="243"/>
              <w:jc w:val="right"/>
              <w:rPr>
                <w:sz w:val="20"/>
              </w:rPr>
            </w:pPr>
            <w:r>
              <w:rPr>
                <w:sz w:val="20"/>
              </w:rPr>
              <w:t>4 losses</w:t>
            </w:r>
          </w:p>
        </w:tc>
      </w:tr>
      <w:tr>
        <w:trPr>
          <w:trHeight w:val="270" w:hRule="exact"/>
        </w:trPr>
        <w:tc>
          <w:tcPr>
            <w:tcW w:w="2070" w:type="dxa"/>
          </w:tcPr>
          <w:p>
            <w:pPr>
              <w:pStyle w:val="TableParagraph"/>
              <w:ind w:left="103" w:right="0"/>
              <w:jc w:val="left"/>
              <w:rPr>
                <w:sz w:val="20"/>
              </w:rPr>
            </w:pPr>
            <w:r>
              <w:rPr>
                <w:sz w:val="20"/>
              </w:rPr>
              <w:t>$250 - $3,000</w:t>
            </w:r>
          </w:p>
        </w:tc>
        <w:tc>
          <w:tcPr>
            <w:tcW w:w="810" w:type="dxa"/>
          </w:tcPr>
          <w:p>
            <w:pPr>
              <w:pStyle w:val="TableParagraph"/>
              <w:ind w:right="264"/>
              <w:jc w:val="right"/>
              <w:rPr>
                <w:sz w:val="20"/>
              </w:rPr>
            </w:pPr>
            <w:r>
              <w:rPr>
                <w:sz w:val="20"/>
              </w:rPr>
              <w:t>0%</w:t>
            </w:r>
          </w:p>
        </w:tc>
        <w:tc>
          <w:tcPr>
            <w:tcW w:w="990" w:type="dxa"/>
          </w:tcPr>
          <w:p>
            <w:pPr>
              <w:pStyle w:val="TableParagraph"/>
              <w:ind w:left="85" w:right="85"/>
              <w:rPr>
                <w:sz w:val="20"/>
              </w:rPr>
            </w:pPr>
            <w:r>
              <w:rPr>
                <w:sz w:val="20"/>
              </w:rPr>
              <w:t>10%</w:t>
            </w:r>
          </w:p>
        </w:tc>
        <w:tc>
          <w:tcPr>
            <w:tcW w:w="990" w:type="dxa"/>
          </w:tcPr>
          <w:p>
            <w:pPr>
              <w:pStyle w:val="TableParagraph"/>
              <w:jc w:val="right"/>
              <w:rPr>
                <w:sz w:val="20"/>
              </w:rPr>
            </w:pPr>
            <w:r>
              <w:rPr>
                <w:sz w:val="20"/>
              </w:rPr>
              <w:t>15%</w:t>
            </w:r>
          </w:p>
        </w:tc>
        <w:tc>
          <w:tcPr>
            <w:tcW w:w="990" w:type="dxa"/>
          </w:tcPr>
          <w:p>
            <w:pPr>
              <w:pStyle w:val="TableParagraph"/>
              <w:jc w:val="right"/>
              <w:rPr>
                <w:sz w:val="20"/>
              </w:rPr>
            </w:pPr>
            <w:r>
              <w:rPr>
                <w:sz w:val="20"/>
              </w:rPr>
              <w:t>30%</w:t>
            </w:r>
          </w:p>
        </w:tc>
      </w:tr>
      <w:tr>
        <w:trPr>
          <w:trHeight w:val="270" w:hRule="exact"/>
        </w:trPr>
        <w:tc>
          <w:tcPr>
            <w:tcW w:w="2070" w:type="dxa"/>
          </w:tcPr>
          <w:p>
            <w:pPr>
              <w:pStyle w:val="TableParagraph"/>
              <w:ind w:left="103" w:right="0"/>
              <w:jc w:val="left"/>
              <w:rPr>
                <w:sz w:val="20"/>
              </w:rPr>
            </w:pPr>
            <w:r>
              <w:rPr>
                <w:sz w:val="20"/>
              </w:rPr>
              <w:t>$3,001 - $10,000</w:t>
            </w:r>
          </w:p>
        </w:tc>
        <w:tc>
          <w:tcPr>
            <w:tcW w:w="810" w:type="dxa"/>
          </w:tcPr>
          <w:p>
            <w:pPr>
              <w:pStyle w:val="TableParagraph"/>
              <w:ind w:right="216"/>
              <w:jc w:val="right"/>
              <w:rPr>
                <w:sz w:val="20"/>
              </w:rPr>
            </w:pPr>
            <w:r>
              <w:rPr>
                <w:sz w:val="20"/>
              </w:rPr>
              <w:t>10%</w:t>
            </w:r>
          </w:p>
        </w:tc>
        <w:tc>
          <w:tcPr>
            <w:tcW w:w="990" w:type="dxa"/>
          </w:tcPr>
          <w:p>
            <w:pPr>
              <w:pStyle w:val="TableParagraph"/>
              <w:ind w:left="85" w:right="85"/>
              <w:rPr>
                <w:sz w:val="20"/>
              </w:rPr>
            </w:pPr>
            <w:r>
              <w:rPr>
                <w:sz w:val="20"/>
              </w:rPr>
              <w:t>15%</w:t>
            </w:r>
          </w:p>
        </w:tc>
        <w:tc>
          <w:tcPr>
            <w:tcW w:w="990" w:type="dxa"/>
          </w:tcPr>
          <w:p>
            <w:pPr>
              <w:pStyle w:val="TableParagraph"/>
              <w:jc w:val="right"/>
              <w:rPr>
                <w:sz w:val="20"/>
              </w:rPr>
            </w:pPr>
            <w:r>
              <w:rPr>
                <w:sz w:val="20"/>
              </w:rPr>
              <w:t>20%</w:t>
            </w:r>
          </w:p>
        </w:tc>
        <w:tc>
          <w:tcPr>
            <w:tcW w:w="990" w:type="dxa"/>
          </w:tcPr>
          <w:p>
            <w:pPr>
              <w:pStyle w:val="TableParagraph"/>
              <w:jc w:val="right"/>
              <w:rPr>
                <w:sz w:val="20"/>
              </w:rPr>
            </w:pPr>
            <w:r>
              <w:rPr>
                <w:sz w:val="20"/>
              </w:rPr>
              <w:t>35%</w:t>
            </w:r>
          </w:p>
        </w:tc>
      </w:tr>
      <w:tr>
        <w:trPr>
          <w:trHeight w:val="270" w:hRule="exact"/>
        </w:trPr>
        <w:tc>
          <w:tcPr>
            <w:tcW w:w="2070" w:type="dxa"/>
          </w:tcPr>
          <w:p>
            <w:pPr>
              <w:pStyle w:val="TableParagraph"/>
              <w:ind w:left="103" w:right="0"/>
              <w:jc w:val="left"/>
              <w:rPr>
                <w:sz w:val="20"/>
              </w:rPr>
            </w:pPr>
            <w:r>
              <w:rPr>
                <w:sz w:val="20"/>
              </w:rPr>
              <w:t>$10,001 - $25,000</w:t>
            </w:r>
          </w:p>
        </w:tc>
        <w:tc>
          <w:tcPr>
            <w:tcW w:w="810" w:type="dxa"/>
          </w:tcPr>
          <w:p>
            <w:pPr>
              <w:pStyle w:val="TableParagraph"/>
              <w:ind w:right="215"/>
              <w:jc w:val="right"/>
              <w:rPr>
                <w:sz w:val="20"/>
              </w:rPr>
            </w:pPr>
            <w:r>
              <w:rPr>
                <w:sz w:val="20"/>
              </w:rPr>
              <w:t>15%</w:t>
            </w:r>
          </w:p>
        </w:tc>
        <w:tc>
          <w:tcPr>
            <w:tcW w:w="990" w:type="dxa"/>
          </w:tcPr>
          <w:p>
            <w:pPr>
              <w:pStyle w:val="TableParagraph"/>
              <w:ind w:left="85" w:right="85"/>
              <w:rPr>
                <w:sz w:val="20"/>
              </w:rPr>
            </w:pPr>
            <w:r>
              <w:rPr>
                <w:sz w:val="20"/>
              </w:rPr>
              <w:t>20%</w:t>
            </w:r>
          </w:p>
        </w:tc>
        <w:tc>
          <w:tcPr>
            <w:tcW w:w="990" w:type="dxa"/>
          </w:tcPr>
          <w:p>
            <w:pPr>
              <w:pStyle w:val="TableParagraph"/>
              <w:jc w:val="right"/>
              <w:rPr>
                <w:sz w:val="20"/>
              </w:rPr>
            </w:pPr>
            <w:r>
              <w:rPr>
                <w:sz w:val="20"/>
              </w:rPr>
              <w:t>25%</w:t>
            </w:r>
          </w:p>
        </w:tc>
        <w:tc>
          <w:tcPr>
            <w:tcW w:w="990" w:type="dxa"/>
          </w:tcPr>
          <w:p>
            <w:pPr>
              <w:pStyle w:val="TableParagraph"/>
              <w:jc w:val="right"/>
              <w:rPr>
                <w:sz w:val="20"/>
              </w:rPr>
            </w:pPr>
            <w:r>
              <w:rPr>
                <w:sz w:val="20"/>
              </w:rPr>
              <w:t>40%</w:t>
            </w:r>
          </w:p>
        </w:tc>
      </w:tr>
      <w:tr>
        <w:trPr>
          <w:trHeight w:val="270" w:hRule="exact"/>
        </w:trPr>
        <w:tc>
          <w:tcPr>
            <w:tcW w:w="2070" w:type="dxa"/>
          </w:tcPr>
          <w:p>
            <w:pPr>
              <w:pStyle w:val="TableParagraph"/>
              <w:ind w:left="103" w:right="0"/>
              <w:jc w:val="left"/>
              <w:rPr>
                <w:sz w:val="20"/>
              </w:rPr>
            </w:pPr>
            <w:r>
              <w:rPr>
                <w:sz w:val="20"/>
              </w:rPr>
              <w:t>$25,001 - $50,000</w:t>
            </w:r>
          </w:p>
        </w:tc>
        <w:tc>
          <w:tcPr>
            <w:tcW w:w="810" w:type="dxa"/>
          </w:tcPr>
          <w:p>
            <w:pPr>
              <w:pStyle w:val="TableParagraph"/>
              <w:ind w:right="215"/>
              <w:jc w:val="right"/>
              <w:rPr>
                <w:sz w:val="20"/>
              </w:rPr>
            </w:pPr>
            <w:r>
              <w:rPr>
                <w:sz w:val="20"/>
              </w:rPr>
              <w:t>20%</w:t>
            </w:r>
          </w:p>
        </w:tc>
        <w:tc>
          <w:tcPr>
            <w:tcW w:w="990" w:type="dxa"/>
          </w:tcPr>
          <w:p>
            <w:pPr>
              <w:pStyle w:val="TableParagraph"/>
              <w:ind w:left="85" w:right="85"/>
              <w:rPr>
                <w:sz w:val="20"/>
              </w:rPr>
            </w:pPr>
            <w:r>
              <w:rPr>
                <w:sz w:val="20"/>
              </w:rPr>
              <w:t>25%</w:t>
            </w:r>
          </w:p>
        </w:tc>
        <w:tc>
          <w:tcPr>
            <w:tcW w:w="990" w:type="dxa"/>
          </w:tcPr>
          <w:p>
            <w:pPr>
              <w:pStyle w:val="TableParagraph"/>
              <w:jc w:val="right"/>
              <w:rPr>
                <w:sz w:val="20"/>
              </w:rPr>
            </w:pPr>
            <w:r>
              <w:rPr>
                <w:sz w:val="20"/>
              </w:rPr>
              <w:t>30%</w:t>
            </w:r>
          </w:p>
        </w:tc>
        <w:tc>
          <w:tcPr>
            <w:tcW w:w="990" w:type="dxa"/>
          </w:tcPr>
          <w:p>
            <w:pPr>
              <w:pStyle w:val="TableParagraph"/>
              <w:jc w:val="right"/>
              <w:rPr>
                <w:sz w:val="20"/>
              </w:rPr>
            </w:pPr>
            <w:r>
              <w:rPr>
                <w:sz w:val="20"/>
              </w:rPr>
              <w:t>50%</w:t>
            </w:r>
          </w:p>
        </w:tc>
      </w:tr>
      <w:tr>
        <w:trPr>
          <w:trHeight w:val="270" w:hRule="exact"/>
        </w:trPr>
        <w:tc>
          <w:tcPr>
            <w:tcW w:w="2070" w:type="dxa"/>
          </w:tcPr>
          <w:p>
            <w:pPr>
              <w:pStyle w:val="TableParagraph"/>
              <w:ind w:left="103" w:right="0"/>
              <w:jc w:val="left"/>
              <w:rPr>
                <w:sz w:val="20"/>
              </w:rPr>
            </w:pPr>
            <w:r>
              <w:rPr>
                <w:sz w:val="20"/>
              </w:rPr>
              <w:t>$50,001 - $100,000</w:t>
            </w:r>
          </w:p>
        </w:tc>
        <w:tc>
          <w:tcPr>
            <w:tcW w:w="810" w:type="dxa"/>
          </w:tcPr>
          <w:p>
            <w:pPr>
              <w:pStyle w:val="TableParagraph"/>
              <w:ind w:right="214"/>
              <w:jc w:val="right"/>
              <w:rPr>
                <w:sz w:val="20"/>
              </w:rPr>
            </w:pPr>
            <w:r>
              <w:rPr>
                <w:sz w:val="20"/>
              </w:rPr>
              <w:t>25%</w:t>
            </w:r>
          </w:p>
        </w:tc>
        <w:tc>
          <w:tcPr>
            <w:tcW w:w="990" w:type="dxa"/>
          </w:tcPr>
          <w:p>
            <w:pPr>
              <w:pStyle w:val="TableParagraph"/>
              <w:ind w:left="85" w:right="85"/>
              <w:rPr>
                <w:sz w:val="20"/>
              </w:rPr>
            </w:pPr>
            <w:r>
              <w:rPr>
                <w:sz w:val="20"/>
              </w:rPr>
              <w:t>30%</w:t>
            </w:r>
          </w:p>
        </w:tc>
        <w:tc>
          <w:tcPr>
            <w:tcW w:w="990" w:type="dxa"/>
          </w:tcPr>
          <w:p>
            <w:pPr>
              <w:pStyle w:val="TableParagraph"/>
              <w:ind w:right="304"/>
              <w:jc w:val="right"/>
              <w:rPr>
                <w:sz w:val="20"/>
              </w:rPr>
            </w:pPr>
            <w:r>
              <w:rPr>
                <w:sz w:val="20"/>
              </w:rPr>
              <w:t>40%</w:t>
            </w:r>
          </w:p>
        </w:tc>
        <w:tc>
          <w:tcPr>
            <w:tcW w:w="990" w:type="dxa"/>
          </w:tcPr>
          <w:p>
            <w:pPr>
              <w:pStyle w:val="TableParagraph"/>
              <w:jc w:val="right"/>
              <w:rPr>
                <w:sz w:val="20"/>
              </w:rPr>
            </w:pPr>
            <w:r>
              <w:rPr>
                <w:sz w:val="20"/>
              </w:rPr>
              <w:t>50%</w:t>
            </w:r>
          </w:p>
        </w:tc>
      </w:tr>
      <w:tr>
        <w:trPr>
          <w:trHeight w:val="271" w:hRule="exact"/>
        </w:trPr>
        <w:tc>
          <w:tcPr>
            <w:tcW w:w="2070" w:type="dxa"/>
          </w:tcPr>
          <w:p>
            <w:pPr>
              <w:pStyle w:val="TableParagraph"/>
              <w:ind w:left="103" w:right="0"/>
              <w:jc w:val="left"/>
              <w:rPr>
                <w:sz w:val="20"/>
              </w:rPr>
            </w:pPr>
            <w:r>
              <w:rPr>
                <w:sz w:val="20"/>
              </w:rPr>
              <w:t>$100,001 +</w:t>
            </w:r>
          </w:p>
        </w:tc>
        <w:tc>
          <w:tcPr>
            <w:tcW w:w="810" w:type="dxa"/>
          </w:tcPr>
          <w:p>
            <w:pPr>
              <w:pStyle w:val="TableParagraph"/>
              <w:ind w:right="215"/>
              <w:jc w:val="right"/>
              <w:rPr>
                <w:sz w:val="20"/>
              </w:rPr>
            </w:pPr>
            <w:r>
              <w:rPr>
                <w:sz w:val="20"/>
              </w:rPr>
              <w:t>30%</w:t>
            </w:r>
          </w:p>
        </w:tc>
        <w:tc>
          <w:tcPr>
            <w:tcW w:w="990" w:type="dxa"/>
          </w:tcPr>
          <w:p>
            <w:pPr>
              <w:pStyle w:val="TableParagraph"/>
              <w:ind w:left="85" w:right="86"/>
              <w:rPr>
                <w:sz w:val="20"/>
              </w:rPr>
            </w:pPr>
            <w:r>
              <w:rPr>
                <w:sz w:val="20"/>
              </w:rPr>
              <w:t>40%</w:t>
            </w:r>
          </w:p>
        </w:tc>
        <w:tc>
          <w:tcPr>
            <w:tcW w:w="990" w:type="dxa"/>
          </w:tcPr>
          <w:p>
            <w:pPr>
              <w:pStyle w:val="TableParagraph"/>
              <w:jc w:val="right"/>
              <w:rPr>
                <w:sz w:val="20"/>
              </w:rPr>
            </w:pPr>
            <w:r>
              <w:rPr>
                <w:sz w:val="20"/>
              </w:rPr>
              <w:t>50%</w:t>
            </w:r>
          </w:p>
        </w:tc>
        <w:tc>
          <w:tcPr>
            <w:tcW w:w="990" w:type="dxa"/>
          </w:tcPr>
          <w:p>
            <w:pPr>
              <w:pStyle w:val="TableParagraph"/>
              <w:jc w:val="right"/>
              <w:rPr>
                <w:sz w:val="20"/>
              </w:rPr>
            </w:pPr>
            <w:r>
              <w:rPr>
                <w:sz w:val="20"/>
              </w:rPr>
              <w:t>50%</w:t>
            </w:r>
          </w:p>
        </w:tc>
      </w:tr>
    </w:tbl>
    <w:p>
      <w:pPr>
        <w:pStyle w:val="BodyText"/>
        <w:spacing w:before="7"/>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spacing w:before="10"/>
        <w:rPr>
          <w:i/>
          <w:sz w:val="19"/>
        </w:rPr>
      </w:pPr>
    </w:p>
    <w:p>
      <w:pPr>
        <w:pStyle w:val="ListParagraph"/>
        <w:numPr>
          <w:ilvl w:val="0"/>
          <w:numId w:val="1"/>
        </w:numPr>
        <w:tabs>
          <w:tab w:pos="463" w:val="left" w:leader="none"/>
          <w:tab w:pos="464" w:val="left" w:leader="none"/>
        </w:tabs>
        <w:spacing w:line="240" w:lineRule="auto" w:before="0" w:after="0"/>
        <w:ind w:left="464" w:right="189" w:hanging="360"/>
        <w:jc w:val="left"/>
        <w:rPr>
          <w:sz w:val="20"/>
        </w:rPr>
      </w:pPr>
      <w:r>
        <w:rPr>
          <w:b/>
          <w:sz w:val="20"/>
        </w:rPr>
        <w:t>Administrative Hearing: </w:t>
      </w:r>
      <w:r>
        <w:rPr>
          <w:sz w:val="20"/>
        </w:rPr>
        <w:t>Additional limits for Administrative Hearing Coverage are available as provided within the Rating Plan.</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4" w:right="622" w:hanging="360"/>
        <w:jc w:val="left"/>
        <w:rPr>
          <w:sz w:val="20"/>
        </w:rPr>
      </w:pPr>
      <w:r>
        <w:rPr>
          <w:b/>
          <w:sz w:val="20"/>
        </w:rPr>
        <w:t>Corporate Identity Protection: </w:t>
      </w:r>
      <w:r>
        <w:rPr>
          <w:sz w:val="20"/>
        </w:rPr>
        <w:t>Additional limits for Corporate Identity Protection are available as provided within the Rating</w:t>
      </w:r>
      <w:r>
        <w:rPr>
          <w:spacing w:val="-6"/>
          <w:sz w:val="20"/>
        </w:rPr>
        <w:t> </w:t>
      </w:r>
      <w:r>
        <w:rPr>
          <w:sz w:val="20"/>
        </w:rPr>
        <w:t>Plan.</w:t>
      </w:r>
    </w:p>
    <w:p>
      <w:pPr>
        <w:pStyle w:val="BodyText"/>
        <w:spacing w:before="10"/>
        <w:rPr>
          <w:sz w:val="19"/>
        </w:rPr>
      </w:pPr>
    </w:p>
    <w:p>
      <w:pPr>
        <w:pStyle w:val="ListParagraph"/>
        <w:numPr>
          <w:ilvl w:val="0"/>
          <w:numId w:val="1"/>
        </w:numPr>
        <w:tabs>
          <w:tab w:pos="464" w:val="left" w:leader="none"/>
        </w:tabs>
        <w:spacing w:line="240" w:lineRule="auto" w:before="0" w:after="0"/>
        <w:ind w:left="464" w:right="606" w:hanging="360"/>
        <w:jc w:val="left"/>
        <w:rPr>
          <w:sz w:val="20"/>
        </w:rPr>
      </w:pPr>
      <w:r>
        <w:rPr>
          <w:b/>
          <w:sz w:val="20"/>
        </w:rPr>
        <w:t>Billing E&amp;O Claims Expense Coverage: </w:t>
      </w:r>
      <w:r>
        <w:rPr>
          <w:sz w:val="20"/>
        </w:rPr>
        <w:t>Additional limits for Billing E&amp;O Claims Expense Coverage are available as provided within the Rating</w:t>
      </w:r>
      <w:r>
        <w:rPr>
          <w:spacing w:val="-15"/>
          <w:sz w:val="20"/>
        </w:rPr>
        <w:t> </w:t>
      </w:r>
      <w:r>
        <w:rPr>
          <w:sz w:val="20"/>
        </w:rPr>
        <w:t>Plan.</w:t>
      </w:r>
    </w:p>
    <w:p>
      <w:pPr>
        <w:pStyle w:val="BodyText"/>
        <w:spacing w:before="10"/>
        <w:rPr>
          <w:sz w:val="19"/>
        </w:rPr>
      </w:pPr>
    </w:p>
    <w:p>
      <w:pPr>
        <w:pStyle w:val="ListParagraph"/>
        <w:numPr>
          <w:ilvl w:val="0"/>
          <w:numId w:val="1"/>
        </w:numPr>
        <w:tabs>
          <w:tab w:pos="464" w:val="left" w:leader="none"/>
        </w:tabs>
        <w:spacing w:line="240" w:lineRule="auto" w:before="0" w:after="0"/>
        <w:ind w:left="464" w:right="280" w:hanging="360"/>
        <w:jc w:val="left"/>
        <w:rPr>
          <w:sz w:val="20"/>
        </w:rPr>
      </w:pPr>
      <w:r>
        <w:rPr>
          <w:b/>
          <w:sz w:val="20"/>
        </w:rPr>
        <w:t>HIPAA Defense Only Coverage: </w:t>
      </w:r>
      <w:r>
        <w:rPr>
          <w:sz w:val="20"/>
        </w:rPr>
        <w:t>Additional limits for HIPPA Defense Only Coverage are available as provided within the rating</w:t>
      </w:r>
      <w:r>
        <w:rPr>
          <w:spacing w:val="-8"/>
          <w:sz w:val="20"/>
        </w:rPr>
        <w:t> </w:t>
      </w:r>
      <w:r>
        <w:rPr>
          <w:sz w:val="20"/>
        </w:rPr>
        <w:t>Plan.</w:t>
      </w:r>
    </w:p>
    <w:p>
      <w:pPr>
        <w:pStyle w:val="BodyText"/>
        <w:spacing w:before="1"/>
      </w:pPr>
    </w:p>
    <w:p>
      <w:pPr>
        <w:pStyle w:val="Heading1"/>
        <w:numPr>
          <w:ilvl w:val="0"/>
          <w:numId w:val="1"/>
        </w:numPr>
        <w:tabs>
          <w:tab w:pos="464" w:val="left" w:leader="none"/>
        </w:tabs>
        <w:spacing w:line="229" w:lineRule="exact" w:before="0" w:after="0"/>
        <w:ind w:left="464" w:right="0" w:hanging="360"/>
        <w:jc w:val="left"/>
      </w:pPr>
      <w:r>
        <w:rPr/>
        <w:t>Cancellation:</w:t>
      </w:r>
    </w:p>
    <w:p>
      <w:pPr>
        <w:pStyle w:val="BodyText"/>
        <w:spacing w:line="229" w:lineRule="exact"/>
        <w:ind w:left="464"/>
      </w:pPr>
      <w:r>
        <w:rPr/>
        <w:t>The policy will be cancelled as the pro-rata unearned premium for the following instances:</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5" w:val="left" w:leader="none"/>
        </w:tabs>
        <w:spacing w:line="240" w:lineRule="auto" w:before="0" w:after="0"/>
        <w:ind w:left="824" w:right="0" w:hanging="360"/>
        <w:jc w:val="left"/>
        <w:rPr>
          <w:sz w:val="20"/>
        </w:rPr>
      </w:pPr>
      <w:r>
        <w:rPr>
          <w:sz w:val="20"/>
        </w:rPr>
        <w:t>The insured company no longer has an insurable or financial</w:t>
      </w:r>
      <w:r>
        <w:rPr>
          <w:spacing w:val="-28"/>
          <w:sz w:val="20"/>
        </w:rPr>
        <w:t> </w:t>
      </w:r>
      <w:r>
        <w:rPr>
          <w:sz w:val="20"/>
        </w:rPr>
        <w:t>interest;</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A policy is cancelled and</w:t>
      </w:r>
      <w:r>
        <w:rPr>
          <w:spacing w:val="-20"/>
          <w:sz w:val="20"/>
        </w:rPr>
        <w:t> </w:t>
      </w:r>
      <w:r>
        <w:rPr>
          <w:sz w:val="20"/>
        </w:rPr>
        <w:t>rewritten.</w:t>
      </w:r>
    </w:p>
    <w:p>
      <w:pPr>
        <w:pStyle w:val="BodyText"/>
        <w:spacing w:line="230" w:lineRule="exact"/>
        <w:ind w:left="464"/>
      </w:pPr>
      <w:r>
        <w:rPr/>
        <w:t>The policy will be cancelled as 90% of the pro-rata unearned premium when:</w:t>
      </w:r>
    </w:p>
    <w:p>
      <w:pPr>
        <w:pStyle w:val="BodyText"/>
        <w:tabs>
          <w:tab w:pos="823" w:val="left" w:leader="none"/>
        </w:tabs>
        <w:spacing w:before="1"/>
        <w:ind w:left="464"/>
      </w:pPr>
      <w:r>
        <w:rPr/>
        <w:t>a)</w:t>
        <w:tab/>
        <w:t>The cancellation is the result of any other</w:t>
      </w:r>
      <w:r>
        <w:rPr>
          <w:spacing w:val="-10"/>
        </w:rPr>
        <w:t> </w:t>
      </w:r>
      <w:r>
        <w:rPr/>
        <w:t>circumstance.</w:t>
      </w:r>
    </w:p>
    <w:p>
      <w:pPr>
        <w:pStyle w:val="BodyText"/>
        <w:spacing w:before="11"/>
        <w:rPr>
          <w:sz w:val="19"/>
        </w:rPr>
      </w:pPr>
    </w:p>
    <w:p>
      <w:pPr>
        <w:pStyle w:val="ListParagraph"/>
        <w:numPr>
          <w:ilvl w:val="0"/>
          <w:numId w:val="1"/>
        </w:numPr>
        <w:tabs>
          <w:tab w:pos="465" w:val="left" w:leader="none"/>
        </w:tabs>
        <w:spacing w:line="240" w:lineRule="auto" w:before="0" w:after="0"/>
        <w:ind w:left="464" w:right="241" w:hanging="360"/>
        <w:jc w:val="left"/>
        <w:rPr>
          <w:sz w:val="20"/>
        </w:rPr>
      </w:pPr>
      <w:r>
        <w:rPr>
          <w:b/>
          <w:sz w:val="20"/>
        </w:rPr>
        <w:t>Extended Reporting Period (ERP): </w:t>
      </w:r>
      <w:r>
        <w:rPr>
          <w:sz w:val="20"/>
        </w:rPr>
        <w:t>Coverage for the ERP will be granted upon request, pursuant to the applicable policy conditions regarding the Extended Reporting Period. The rate will be calculated by applying the corresponding factor on the individual’s state rate page to the most recently expiring annual premium rate. The available limits of liability shall not exceed those afforded under the current</w:t>
      </w:r>
      <w:r>
        <w:rPr>
          <w:spacing w:val="-23"/>
          <w:sz w:val="20"/>
        </w:rPr>
        <w:t> </w:t>
      </w:r>
      <w:r>
        <w:rPr>
          <w:sz w:val="20"/>
        </w:rPr>
        <w:t>policy.</w:t>
      </w:r>
    </w:p>
    <w:p>
      <w:pPr>
        <w:pStyle w:val="BodyText"/>
        <w:spacing w:before="10"/>
        <w:rPr>
          <w:sz w:val="19"/>
        </w:rPr>
      </w:pPr>
    </w:p>
    <w:p>
      <w:pPr>
        <w:pStyle w:val="BodyText"/>
        <w:spacing w:before="1"/>
        <w:ind w:left="464"/>
      </w:pPr>
      <w:r>
        <w:rPr/>
        <w:t>The Extended Reporting Period will be provided at no cost if:</w:t>
      </w:r>
    </w:p>
    <w:p>
      <w:pPr>
        <w:pStyle w:val="ListParagraph"/>
        <w:numPr>
          <w:ilvl w:val="1"/>
          <w:numId w:val="1"/>
        </w:numPr>
        <w:tabs>
          <w:tab w:pos="824" w:val="left" w:leader="none"/>
          <w:tab w:pos="825" w:val="left" w:leader="none"/>
        </w:tabs>
        <w:spacing w:line="240" w:lineRule="auto" w:before="0" w:after="0"/>
        <w:ind w:left="824" w:right="0" w:hanging="360"/>
        <w:jc w:val="left"/>
        <w:rPr>
          <w:sz w:val="20"/>
        </w:rPr>
      </w:pPr>
      <w:r>
        <w:rPr>
          <w:sz w:val="20"/>
        </w:rPr>
        <w:t>The</w:t>
      </w:r>
      <w:r>
        <w:rPr>
          <w:spacing w:val="-3"/>
          <w:sz w:val="20"/>
        </w:rPr>
        <w:t> </w:t>
      </w:r>
      <w:r>
        <w:rPr>
          <w:sz w:val="20"/>
        </w:rPr>
        <w:t>insured</w:t>
      </w:r>
      <w:r>
        <w:rPr>
          <w:spacing w:val="-4"/>
          <w:sz w:val="20"/>
        </w:rPr>
        <w:t> </w:t>
      </w:r>
      <w:r>
        <w:rPr>
          <w:sz w:val="20"/>
        </w:rPr>
        <w:t>has</w:t>
      </w:r>
      <w:r>
        <w:rPr>
          <w:spacing w:val="-3"/>
          <w:sz w:val="20"/>
        </w:rPr>
        <w:t> </w:t>
      </w:r>
      <w:r>
        <w:rPr>
          <w:sz w:val="20"/>
        </w:rPr>
        <w:t>maintained</w:t>
      </w:r>
      <w:r>
        <w:rPr>
          <w:spacing w:val="-3"/>
          <w:sz w:val="20"/>
        </w:rPr>
        <w:t> </w:t>
      </w:r>
      <w:r>
        <w:rPr>
          <w:sz w:val="20"/>
        </w:rPr>
        <w:t>a</w:t>
      </w:r>
      <w:r>
        <w:rPr>
          <w:spacing w:val="-4"/>
          <w:sz w:val="20"/>
        </w:rPr>
        <w:t> </w:t>
      </w:r>
      <w:r>
        <w:rPr>
          <w:sz w:val="20"/>
        </w:rPr>
        <w:t>continuous</w:t>
      </w:r>
      <w:r>
        <w:rPr>
          <w:spacing w:val="-4"/>
          <w:sz w:val="20"/>
        </w:rPr>
        <w:t> </w:t>
      </w:r>
      <w:r>
        <w:rPr>
          <w:sz w:val="20"/>
        </w:rPr>
        <w:t>10</w:t>
      </w:r>
      <w:r>
        <w:rPr>
          <w:spacing w:val="-5"/>
          <w:sz w:val="20"/>
        </w:rPr>
        <w:t> </w:t>
      </w:r>
      <w:r>
        <w:rPr>
          <w:sz w:val="20"/>
        </w:rPr>
        <w:t>year</w:t>
      </w:r>
      <w:r>
        <w:rPr>
          <w:spacing w:val="-3"/>
          <w:sz w:val="20"/>
        </w:rPr>
        <w:t> </w:t>
      </w:r>
      <w:r>
        <w:rPr>
          <w:sz w:val="20"/>
        </w:rPr>
        <w:t>relationship</w:t>
      </w:r>
      <w:r>
        <w:rPr>
          <w:spacing w:val="-3"/>
          <w:sz w:val="20"/>
        </w:rPr>
        <w:t> </w:t>
      </w:r>
      <w:r>
        <w:rPr>
          <w:sz w:val="20"/>
        </w:rPr>
        <w:t>with</w:t>
      </w:r>
      <w:r>
        <w:rPr>
          <w:spacing w:val="-4"/>
          <w:sz w:val="20"/>
        </w:rPr>
        <w:t> </w:t>
      </w:r>
      <w:r>
        <w:rPr>
          <w:sz w:val="20"/>
        </w:rPr>
        <w:t>no</w:t>
      </w:r>
      <w:r>
        <w:rPr>
          <w:spacing w:val="-2"/>
          <w:sz w:val="20"/>
        </w:rPr>
        <w:t> </w:t>
      </w:r>
      <w:r>
        <w:rPr>
          <w:sz w:val="20"/>
        </w:rPr>
        <w:t>claims</w:t>
      </w:r>
      <w:r>
        <w:rPr>
          <w:spacing w:val="-3"/>
          <w:sz w:val="20"/>
        </w:rPr>
        <w:t> </w:t>
      </w:r>
      <w:r>
        <w:rPr>
          <w:sz w:val="20"/>
        </w:rPr>
        <w:t>reported</w:t>
      </w:r>
      <w:r>
        <w:rPr>
          <w:spacing w:val="-4"/>
          <w:sz w:val="20"/>
        </w:rPr>
        <w:t> </w:t>
      </w:r>
      <w:r>
        <w:rPr>
          <w:sz w:val="20"/>
        </w:rPr>
        <w:t>during</w:t>
      </w:r>
      <w:r>
        <w:rPr>
          <w:spacing w:val="-2"/>
          <w:sz w:val="20"/>
        </w:rPr>
        <w:t> </w:t>
      </w:r>
      <w:r>
        <w:rPr>
          <w:sz w:val="20"/>
        </w:rPr>
        <w:t>that</w:t>
      </w:r>
      <w:r>
        <w:rPr>
          <w:spacing w:val="-5"/>
          <w:sz w:val="20"/>
        </w:rPr>
        <w:t> </w:t>
      </w:r>
      <w:r>
        <w:rPr>
          <w:sz w:val="20"/>
        </w:rPr>
        <w:t>period.</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w:t>
      </w:r>
      <w:r>
        <w:rPr>
          <w:spacing w:val="-2"/>
          <w:sz w:val="20"/>
        </w:rPr>
        <w:t> </w:t>
      </w:r>
      <w:r>
        <w:rPr>
          <w:sz w:val="20"/>
        </w:rPr>
        <w:t>insured</w:t>
      </w:r>
      <w:r>
        <w:rPr>
          <w:spacing w:val="-2"/>
          <w:sz w:val="20"/>
        </w:rPr>
        <w:t> </w:t>
      </w:r>
      <w:r>
        <w:rPr>
          <w:sz w:val="20"/>
        </w:rPr>
        <w:t>retires</w:t>
      </w:r>
      <w:r>
        <w:rPr>
          <w:spacing w:val="-2"/>
          <w:sz w:val="20"/>
        </w:rPr>
        <w:t> </w:t>
      </w:r>
      <w:r>
        <w:rPr>
          <w:sz w:val="20"/>
        </w:rPr>
        <w:t>permanently</w:t>
      </w:r>
      <w:r>
        <w:rPr>
          <w:spacing w:val="-3"/>
          <w:sz w:val="20"/>
        </w:rPr>
        <w:t> </w:t>
      </w:r>
      <w:r>
        <w:rPr>
          <w:sz w:val="20"/>
        </w:rPr>
        <w:t>at</w:t>
      </w:r>
      <w:r>
        <w:rPr>
          <w:spacing w:val="-3"/>
          <w:sz w:val="20"/>
        </w:rPr>
        <w:t> </w:t>
      </w:r>
      <w:r>
        <w:rPr>
          <w:sz w:val="20"/>
        </w:rPr>
        <w:t>55,</w:t>
      </w:r>
      <w:r>
        <w:rPr>
          <w:spacing w:val="-3"/>
          <w:sz w:val="20"/>
        </w:rPr>
        <w:t> </w:t>
      </w:r>
      <w:r>
        <w:rPr>
          <w:sz w:val="20"/>
        </w:rPr>
        <w:t>and</w:t>
      </w:r>
      <w:r>
        <w:rPr>
          <w:spacing w:val="-3"/>
          <w:sz w:val="20"/>
        </w:rPr>
        <w:t> </w:t>
      </w:r>
      <w:r>
        <w:rPr>
          <w:sz w:val="20"/>
        </w:rPr>
        <w:t>has</w:t>
      </w:r>
      <w:r>
        <w:rPr>
          <w:spacing w:val="-2"/>
          <w:sz w:val="20"/>
        </w:rPr>
        <w:t> </w:t>
      </w:r>
      <w:r>
        <w:rPr>
          <w:sz w:val="20"/>
        </w:rPr>
        <w:t>been</w:t>
      </w:r>
      <w:r>
        <w:rPr>
          <w:spacing w:val="-1"/>
          <w:sz w:val="20"/>
        </w:rPr>
        <w:t> </w:t>
      </w:r>
      <w:r>
        <w:rPr>
          <w:sz w:val="20"/>
        </w:rPr>
        <w:t>insured</w:t>
      </w:r>
      <w:r>
        <w:rPr>
          <w:spacing w:val="-3"/>
          <w:sz w:val="20"/>
        </w:rPr>
        <w:t> </w:t>
      </w:r>
      <w:r>
        <w:rPr>
          <w:sz w:val="20"/>
        </w:rPr>
        <w:t>with</w:t>
      </w:r>
      <w:r>
        <w:rPr>
          <w:spacing w:val="-2"/>
          <w:sz w:val="20"/>
        </w:rPr>
        <w:t> </w:t>
      </w:r>
      <w:r>
        <w:rPr>
          <w:sz w:val="20"/>
        </w:rPr>
        <w:t>the</w:t>
      </w:r>
      <w:r>
        <w:rPr>
          <w:spacing w:val="-3"/>
          <w:sz w:val="20"/>
        </w:rPr>
        <w:t> </w:t>
      </w:r>
      <w:r>
        <w:rPr>
          <w:sz w:val="20"/>
        </w:rPr>
        <w:t>company</w:t>
      </w:r>
      <w:r>
        <w:rPr>
          <w:spacing w:val="-2"/>
          <w:sz w:val="20"/>
        </w:rPr>
        <w:t> </w:t>
      </w:r>
      <w:r>
        <w:rPr>
          <w:sz w:val="20"/>
        </w:rPr>
        <w:t>for</w:t>
      </w:r>
      <w:r>
        <w:rPr>
          <w:spacing w:val="-2"/>
          <w:sz w:val="20"/>
        </w:rPr>
        <w:t> </w:t>
      </w:r>
      <w:r>
        <w:rPr>
          <w:sz w:val="20"/>
        </w:rPr>
        <w:t>at</w:t>
      </w:r>
      <w:r>
        <w:rPr>
          <w:spacing w:val="-3"/>
          <w:sz w:val="20"/>
        </w:rPr>
        <w:t> </w:t>
      </w:r>
      <w:r>
        <w:rPr>
          <w:sz w:val="20"/>
        </w:rPr>
        <w:t>least</w:t>
      </w:r>
      <w:r>
        <w:rPr>
          <w:spacing w:val="-2"/>
          <w:sz w:val="20"/>
        </w:rPr>
        <w:t> </w:t>
      </w:r>
      <w:r>
        <w:rPr>
          <w:sz w:val="20"/>
        </w:rPr>
        <w:t>5</w:t>
      </w:r>
      <w:r>
        <w:rPr>
          <w:spacing w:val="-2"/>
          <w:sz w:val="20"/>
        </w:rPr>
        <w:t> </w:t>
      </w:r>
      <w:r>
        <w:rPr>
          <w:sz w:val="20"/>
        </w:rPr>
        <w:t>consecutive</w:t>
      </w:r>
      <w:r>
        <w:rPr>
          <w:spacing w:val="-3"/>
          <w:sz w:val="20"/>
        </w:rPr>
        <w:t> </w:t>
      </w:r>
      <w:r>
        <w:rPr>
          <w:sz w:val="20"/>
        </w:rPr>
        <w:t>years.</w:t>
      </w:r>
    </w:p>
    <w:p>
      <w:pPr>
        <w:pStyle w:val="ListParagraph"/>
        <w:numPr>
          <w:ilvl w:val="1"/>
          <w:numId w:val="1"/>
        </w:numPr>
        <w:tabs>
          <w:tab w:pos="824" w:val="left" w:leader="none"/>
          <w:tab w:pos="825" w:val="left" w:leader="none"/>
        </w:tabs>
        <w:spacing w:line="230" w:lineRule="exact" w:before="0" w:after="0"/>
        <w:ind w:left="824" w:right="0" w:hanging="360"/>
        <w:jc w:val="left"/>
        <w:rPr>
          <w:sz w:val="20"/>
        </w:rPr>
      </w:pPr>
      <w:r>
        <w:rPr>
          <w:sz w:val="20"/>
        </w:rPr>
        <w:t>The insured dies, or is permanently disabled while the policy is in</w:t>
      </w:r>
      <w:r>
        <w:rPr>
          <w:spacing w:val="-26"/>
          <w:sz w:val="20"/>
        </w:rPr>
        <w:t> </w:t>
      </w:r>
      <w:r>
        <w:rPr>
          <w:sz w:val="20"/>
        </w:rPr>
        <w:t>force.</w:t>
      </w:r>
    </w:p>
    <w:p>
      <w:pPr>
        <w:pStyle w:val="BodyText"/>
      </w:pPr>
    </w:p>
    <w:p>
      <w:pPr>
        <w:pStyle w:val="ListParagraph"/>
        <w:numPr>
          <w:ilvl w:val="0"/>
          <w:numId w:val="1"/>
        </w:numPr>
        <w:tabs>
          <w:tab w:pos="465" w:val="left" w:leader="none"/>
        </w:tabs>
        <w:spacing w:line="240" w:lineRule="auto" w:before="0" w:after="0"/>
        <w:ind w:left="464" w:right="230" w:hanging="360"/>
        <w:jc w:val="left"/>
        <w:rPr>
          <w:sz w:val="20"/>
        </w:rPr>
      </w:pPr>
      <w:r>
        <w:rPr>
          <w:b/>
          <w:sz w:val="20"/>
        </w:rPr>
        <w:t>Locum Tenens: </w:t>
      </w:r>
      <w:r>
        <w:rPr>
          <w:sz w:val="20"/>
        </w:rPr>
        <w:t>A Locum Tenens endorsement may be provided for Professional who temporarily replace an insured Professional for a period up to 60 days each policy year. The Locum Tenens will share in the insured’s limit of liability. As a result, there will be no additional premium charge. An eligible fund participant will not be considered for Locum Tenens coverage.</w:t>
      </w:r>
    </w:p>
    <w:p>
      <w:pPr>
        <w:pStyle w:val="BodyText"/>
        <w:spacing w:before="10"/>
        <w:rPr>
          <w:sz w:val="19"/>
        </w:rPr>
      </w:pPr>
    </w:p>
    <w:p>
      <w:pPr>
        <w:pStyle w:val="ListParagraph"/>
        <w:numPr>
          <w:ilvl w:val="0"/>
          <w:numId w:val="1"/>
        </w:numPr>
        <w:tabs>
          <w:tab w:pos="465" w:val="left" w:leader="none"/>
        </w:tabs>
        <w:spacing w:line="240" w:lineRule="auto" w:before="0" w:after="0"/>
        <w:ind w:left="464" w:right="114" w:hanging="360"/>
        <w:jc w:val="left"/>
        <w:rPr>
          <w:sz w:val="20"/>
        </w:rPr>
      </w:pPr>
      <w:r>
        <w:rPr>
          <w:b/>
          <w:sz w:val="20"/>
        </w:rPr>
        <w:t>Disability or Leave of Absence (LOA): </w:t>
      </w:r>
      <w:r>
        <w:rPr>
          <w:sz w:val="20"/>
        </w:rPr>
        <w:t>An insured may request a period of restricted coverage due to a disability or a prolonged leave of absence. The insured will not be covered for claims or suits which arise based on an occurrence within the scheduled period of disability or leave of absence. The insured is entitled to report claims during this period, only if they arise from occurrences when the policy was in</w:t>
      </w:r>
      <w:r>
        <w:rPr>
          <w:spacing w:val="-15"/>
          <w:sz w:val="20"/>
        </w:rPr>
        <w:t> </w:t>
      </w:r>
      <w:r>
        <w:rPr>
          <w:sz w:val="20"/>
        </w:rPr>
        <w:t>force.</w:t>
      </w:r>
    </w:p>
    <w:p>
      <w:pPr>
        <w:pStyle w:val="BodyText"/>
        <w:spacing w:before="10"/>
        <w:rPr>
          <w:sz w:val="19"/>
        </w:rPr>
      </w:pPr>
    </w:p>
    <w:p>
      <w:pPr>
        <w:pStyle w:val="BodyText"/>
        <w:ind w:left="463" w:right="80"/>
      </w:pPr>
      <w:r>
        <w:rPr/>
        <w:t>If the period is between 45-90 days, a premium rate of 50% will apply. If the period is between 91 days – 1 year, a premium rate of 25% will apply.</w:t>
      </w:r>
    </w:p>
    <w:p>
      <w:pPr>
        <w:spacing w:after="0"/>
        <w:sectPr>
          <w:pgSz w:w="12240" w:h="15840"/>
          <w:pgMar w:header="0" w:footer="724" w:top="1080" w:bottom="920" w:left="760" w:right="780"/>
        </w:sectPr>
      </w:pPr>
    </w:p>
    <w:p>
      <w:pPr>
        <w:pStyle w:val="BodyText"/>
        <w:spacing w:line="249" w:lineRule="auto" w:before="79"/>
        <w:ind w:left="463" w:right="327"/>
        <w:jc w:val="both"/>
      </w:pPr>
      <w:r>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pPr>
        <w:pStyle w:val="BodyText"/>
        <w:spacing w:before="11"/>
        <w:rPr>
          <w:sz w:val="19"/>
        </w:rPr>
      </w:pPr>
    </w:p>
    <w:p>
      <w:pPr>
        <w:pStyle w:val="ListParagraph"/>
        <w:numPr>
          <w:ilvl w:val="0"/>
          <w:numId w:val="1"/>
        </w:numPr>
        <w:tabs>
          <w:tab w:pos="464" w:val="left" w:leader="none"/>
        </w:tabs>
        <w:spacing w:line="240" w:lineRule="auto" w:before="0" w:after="0"/>
        <w:ind w:left="464" w:right="191" w:hanging="360"/>
        <w:jc w:val="left"/>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w:t>
      </w:r>
      <w:r>
        <w:rPr>
          <w:spacing w:val="-7"/>
          <w:sz w:val="20"/>
        </w:rPr>
        <w:t> </w:t>
      </w:r>
      <w:r>
        <w:rPr>
          <w:sz w:val="20"/>
        </w:rPr>
        <w:t>payment.</w:t>
      </w:r>
    </w:p>
    <w:p>
      <w:pPr>
        <w:pStyle w:val="BodyText"/>
        <w:spacing w:before="10"/>
        <w:rPr>
          <w:sz w:val="19"/>
        </w:rPr>
      </w:pPr>
    </w:p>
    <w:p>
      <w:pPr>
        <w:pStyle w:val="ListParagraph"/>
        <w:numPr>
          <w:ilvl w:val="0"/>
          <w:numId w:val="1"/>
        </w:numPr>
        <w:tabs>
          <w:tab w:pos="464" w:val="left" w:leader="none"/>
        </w:tabs>
        <w:spacing w:line="240" w:lineRule="auto" w:before="1" w:after="0"/>
        <w:ind w:left="464" w:right="281" w:hanging="360"/>
        <w:jc w:val="left"/>
        <w:rPr>
          <w:sz w:val="20"/>
        </w:rPr>
      </w:pPr>
      <w:r>
        <w:rPr>
          <w:b/>
          <w:sz w:val="20"/>
        </w:rPr>
        <w:t>Rounding: </w:t>
      </w:r>
      <w:r>
        <w:rPr>
          <w:sz w:val="20"/>
        </w:rPr>
        <w:t>Premium will be rounded to the nearest whole dollar. A premium ending in $.50 or more will be rounded to the next higher whole dollar.  Thus, $1,000.50 = 1,001.00; $1,000.49 =</w:t>
      </w:r>
      <w:r>
        <w:rPr>
          <w:spacing w:val="-35"/>
          <w:sz w:val="20"/>
        </w:rPr>
        <w:t> </w:t>
      </w:r>
      <w:r>
        <w:rPr>
          <w:sz w:val="20"/>
        </w:rPr>
        <w:t>$1,000.00.</w:t>
      </w:r>
    </w:p>
    <w:p>
      <w:pPr>
        <w:pStyle w:val="BodyText"/>
        <w:spacing w:before="11"/>
        <w:rPr>
          <w:sz w:val="19"/>
        </w:rPr>
      </w:pPr>
    </w:p>
    <w:p>
      <w:pPr>
        <w:pStyle w:val="ListParagraph"/>
        <w:numPr>
          <w:ilvl w:val="0"/>
          <w:numId w:val="1"/>
        </w:numPr>
        <w:tabs>
          <w:tab w:pos="464" w:val="left" w:leader="none"/>
        </w:tabs>
        <w:spacing w:line="240" w:lineRule="auto" w:before="0" w:after="0"/>
        <w:ind w:left="464" w:right="161" w:hanging="360"/>
        <w:jc w:val="left"/>
        <w:rPr>
          <w:sz w:val="20"/>
        </w:rPr>
      </w:pPr>
      <w:r>
        <w:rPr>
          <w:b/>
          <w:sz w:val="20"/>
        </w:rPr>
        <w:t>Exclusion of Patient: </w:t>
      </w:r>
      <w:r>
        <w:rPr>
          <w:sz w:val="20"/>
        </w:rPr>
        <w:t>We will offer the option for insureds to exclude coverage for claims arising out of allegations from a particular patient or patients. Upon request we will apply endorsement 111867, Exclusion of Scheduled Patient</w:t>
      </w:r>
      <w:r>
        <w:rPr>
          <w:spacing w:val="-17"/>
          <w:sz w:val="20"/>
        </w:rPr>
        <w:t> </w:t>
      </w:r>
      <w:r>
        <w:rPr>
          <w:sz w:val="20"/>
        </w:rPr>
        <w:t>Endorsement.</w:t>
      </w:r>
    </w:p>
    <w:p>
      <w:pPr>
        <w:pStyle w:val="BodyText"/>
        <w:spacing w:before="10"/>
        <w:rPr>
          <w:sz w:val="19"/>
        </w:rPr>
      </w:pPr>
    </w:p>
    <w:p>
      <w:pPr>
        <w:pStyle w:val="ListParagraph"/>
        <w:numPr>
          <w:ilvl w:val="0"/>
          <w:numId w:val="1"/>
        </w:numPr>
        <w:tabs>
          <w:tab w:pos="464" w:val="left" w:leader="none"/>
        </w:tabs>
        <w:spacing w:line="240" w:lineRule="auto" w:before="1" w:after="0"/>
        <w:ind w:left="464" w:right="151" w:hanging="360"/>
        <w:jc w:val="left"/>
        <w:rPr>
          <w:sz w:val="20"/>
        </w:rPr>
      </w:pPr>
      <w:r>
        <w:rPr>
          <w:b/>
          <w:sz w:val="20"/>
        </w:rPr>
        <w:t>Exclusion of Person or Organization: </w:t>
      </w:r>
      <w:r>
        <w:rPr>
          <w:sz w:val="20"/>
        </w:rPr>
        <w:t>We will offer the option for insureds to exclude coverage for claims arising out of services provided by particular persons or organizations. This will be mandatory to waive the vicarious liability surcharge; all individuals will be listed. Upon request we will apply endorsement 111868, Exclusion of Scheduled Person or Organization Endorsement.</w:t>
      </w:r>
    </w:p>
    <w:p>
      <w:pPr>
        <w:pStyle w:val="BodyText"/>
        <w:spacing w:before="11"/>
        <w:rPr>
          <w:sz w:val="19"/>
        </w:rPr>
      </w:pPr>
    </w:p>
    <w:p>
      <w:pPr>
        <w:pStyle w:val="ListParagraph"/>
        <w:numPr>
          <w:ilvl w:val="0"/>
          <w:numId w:val="1"/>
        </w:numPr>
        <w:tabs>
          <w:tab w:pos="465" w:val="left" w:leader="none"/>
        </w:tabs>
        <w:spacing w:line="240" w:lineRule="auto" w:before="0" w:after="0"/>
        <w:ind w:left="464" w:right="564"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7"/>
          <w:sz w:val="20"/>
        </w:rPr>
        <w:t> </w:t>
      </w:r>
      <w:r>
        <w:rPr>
          <w:sz w:val="20"/>
        </w:rPr>
        <w:t>accordingly.</w:t>
      </w:r>
    </w:p>
    <w:p>
      <w:pPr>
        <w:pStyle w:val="BodyText"/>
        <w:spacing w:before="10"/>
        <w:rPr>
          <w:sz w:val="19"/>
        </w:rPr>
      </w:pPr>
    </w:p>
    <w:p>
      <w:pPr>
        <w:pStyle w:val="ListParagraph"/>
        <w:numPr>
          <w:ilvl w:val="0"/>
          <w:numId w:val="1"/>
        </w:numPr>
        <w:tabs>
          <w:tab w:pos="465" w:val="left" w:leader="none"/>
        </w:tabs>
        <w:spacing w:line="240" w:lineRule="auto" w:before="1" w:after="0"/>
        <w:ind w:left="464" w:right="107" w:hanging="360"/>
        <w:jc w:val="left"/>
        <w:rPr>
          <w:sz w:val="20"/>
        </w:rPr>
      </w:pPr>
      <w:r>
        <w:rPr>
          <w:b/>
          <w:sz w:val="20"/>
        </w:rPr>
        <w:t>Medical Director: </w:t>
      </w:r>
      <w:r>
        <w:rPr>
          <w:sz w:val="20"/>
        </w:rPr>
        <w:t>We will offer the option to extend coverage that includes the services of a Medical Director to a Named Insured, for a charge. This charge will apply to the undeveloped base rate, and the Medical Director Endorsement 113563 will be used to extend coverage as</w:t>
      </w:r>
      <w:r>
        <w:rPr>
          <w:spacing w:val="-13"/>
          <w:sz w:val="20"/>
        </w:rPr>
        <w:t> </w:t>
      </w:r>
      <w:r>
        <w:rPr>
          <w:sz w:val="20"/>
        </w:rPr>
        <w:t>requested.</w:t>
      </w:r>
    </w:p>
    <w:p>
      <w:pPr>
        <w:pStyle w:val="BodyText"/>
      </w:pPr>
    </w:p>
    <w:p>
      <w:pPr>
        <w:pStyle w:val="ListParagraph"/>
        <w:numPr>
          <w:ilvl w:val="0"/>
          <w:numId w:val="1"/>
        </w:numPr>
        <w:tabs>
          <w:tab w:pos="465" w:val="left" w:leader="none"/>
        </w:tabs>
        <w:spacing w:line="240" w:lineRule="auto" w:before="0" w:after="0"/>
        <w:ind w:left="464" w:right="236"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w:t>
      </w:r>
      <w:r>
        <w:rPr>
          <w:spacing w:val="-6"/>
          <w:sz w:val="20"/>
        </w:rPr>
        <w:t> </w:t>
      </w:r>
      <w:r>
        <w:rPr>
          <w:sz w:val="20"/>
        </w:rPr>
        <w:t>policy.</w:t>
      </w:r>
    </w:p>
    <w:p>
      <w:pPr>
        <w:pStyle w:val="BodyText"/>
        <w:spacing w:before="10"/>
        <w:rPr>
          <w:sz w:val="19"/>
        </w:rPr>
      </w:pPr>
    </w:p>
    <w:p>
      <w:pPr>
        <w:pStyle w:val="BodyText"/>
        <w:spacing w:line="230" w:lineRule="exact"/>
        <w:ind w:left="464"/>
        <w:jc w:val="both"/>
      </w:pPr>
      <w:r>
        <w:rPr/>
        <w:t>The following conditions apply:</w:t>
      </w:r>
    </w:p>
    <w:p>
      <w:pPr>
        <w:pStyle w:val="ListParagraph"/>
        <w:numPr>
          <w:ilvl w:val="1"/>
          <w:numId w:val="1"/>
        </w:numPr>
        <w:tabs>
          <w:tab w:pos="825" w:val="left" w:leader="none"/>
        </w:tabs>
        <w:spacing w:line="230" w:lineRule="exact" w:before="0" w:after="0"/>
        <w:ind w:left="464" w:right="0" w:firstLine="0"/>
        <w:jc w:val="both"/>
        <w:rPr>
          <w:sz w:val="20"/>
        </w:rPr>
      </w:pPr>
      <w:r>
        <w:rPr>
          <w:sz w:val="20"/>
        </w:rPr>
        <w:t>There can be no coverage of known</w:t>
      </w:r>
      <w:r>
        <w:rPr>
          <w:spacing w:val="-12"/>
          <w:sz w:val="20"/>
        </w:rPr>
        <w:t> </w:t>
      </w:r>
      <w:r>
        <w:rPr>
          <w:sz w:val="20"/>
        </w:rPr>
        <w:t>claims</w:t>
      </w:r>
    </w:p>
    <w:p>
      <w:pPr>
        <w:pStyle w:val="ListParagraph"/>
        <w:numPr>
          <w:ilvl w:val="1"/>
          <w:numId w:val="1"/>
        </w:numPr>
        <w:tabs>
          <w:tab w:pos="824" w:val="left" w:leader="none"/>
        </w:tabs>
        <w:spacing w:line="240" w:lineRule="auto" w:before="1" w:after="0"/>
        <w:ind w:left="464" w:right="358" w:firstLine="0"/>
        <w:jc w:val="left"/>
        <w:rPr>
          <w:sz w:val="20"/>
        </w:rPr>
      </w:pPr>
      <w:r>
        <w:rPr>
          <w:sz w:val="20"/>
        </w:rPr>
        <w:t>Prior</w:t>
      </w:r>
      <w:r>
        <w:rPr>
          <w:spacing w:val="-3"/>
          <w:sz w:val="20"/>
        </w:rPr>
        <w:t> </w:t>
      </w:r>
      <w:r>
        <w:rPr>
          <w:sz w:val="20"/>
        </w:rPr>
        <w:t>Acts</w:t>
      </w:r>
      <w:r>
        <w:rPr>
          <w:spacing w:val="-2"/>
          <w:sz w:val="20"/>
        </w:rPr>
        <w:t> </w:t>
      </w:r>
      <w:r>
        <w:rPr>
          <w:sz w:val="20"/>
        </w:rPr>
        <w:t>coverage</w:t>
      </w:r>
      <w:r>
        <w:rPr>
          <w:spacing w:val="-3"/>
          <w:sz w:val="20"/>
        </w:rPr>
        <w:t> </w:t>
      </w:r>
      <w:r>
        <w:rPr>
          <w:sz w:val="20"/>
        </w:rPr>
        <w:t>is</w:t>
      </w:r>
      <w:r>
        <w:rPr>
          <w:spacing w:val="-2"/>
          <w:sz w:val="20"/>
        </w:rPr>
        <w:t> </w:t>
      </w:r>
      <w:r>
        <w:rPr>
          <w:sz w:val="20"/>
        </w:rPr>
        <w:t>to</w:t>
      </w:r>
      <w:r>
        <w:rPr>
          <w:spacing w:val="-3"/>
          <w:sz w:val="20"/>
        </w:rPr>
        <w:t> </w:t>
      </w:r>
      <w:r>
        <w:rPr>
          <w:sz w:val="20"/>
        </w:rPr>
        <w:t>be</w:t>
      </w:r>
      <w:r>
        <w:rPr>
          <w:spacing w:val="-3"/>
          <w:sz w:val="20"/>
        </w:rPr>
        <w:t> </w:t>
      </w:r>
      <w:r>
        <w:rPr>
          <w:sz w:val="20"/>
        </w:rPr>
        <w:t>provided</w:t>
      </w:r>
      <w:r>
        <w:rPr>
          <w:spacing w:val="-3"/>
          <w:sz w:val="20"/>
        </w:rPr>
        <w:t> </w:t>
      </w:r>
      <w:r>
        <w:rPr>
          <w:sz w:val="20"/>
        </w:rPr>
        <w:t>only</w:t>
      </w:r>
      <w:r>
        <w:rPr>
          <w:spacing w:val="-2"/>
          <w:sz w:val="20"/>
        </w:rPr>
        <w:t> </w:t>
      </w:r>
      <w:r>
        <w:rPr>
          <w:sz w:val="20"/>
        </w:rPr>
        <w:t>to</w:t>
      </w:r>
      <w:r>
        <w:rPr>
          <w:spacing w:val="-2"/>
          <w:sz w:val="20"/>
        </w:rPr>
        <w:t> </w:t>
      </w:r>
      <w:r>
        <w:rPr>
          <w:sz w:val="20"/>
        </w:rPr>
        <w:t>an</w:t>
      </w:r>
      <w:r>
        <w:rPr>
          <w:spacing w:val="-1"/>
          <w:sz w:val="20"/>
        </w:rPr>
        <w:t> </w:t>
      </w:r>
      <w:r>
        <w:rPr>
          <w:sz w:val="20"/>
        </w:rPr>
        <w:t>insured</w:t>
      </w:r>
      <w:r>
        <w:rPr>
          <w:spacing w:val="-2"/>
          <w:sz w:val="20"/>
        </w:rPr>
        <w:t> </w:t>
      </w:r>
      <w:r>
        <w:rPr>
          <w:sz w:val="20"/>
        </w:rPr>
        <w:t>switching</w:t>
      </w:r>
      <w:r>
        <w:rPr>
          <w:spacing w:val="-2"/>
          <w:sz w:val="20"/>
        </w:rPr>
        <w:t> </w:t>
      </w:r>
      <w:r>
        <w:rPr>
          <w:sz w:val="20"/>
        </w:rPr>
        <w:t>from</w:t>
      </w:r>
      <w:r>
        <w:rPr>
          <w:spacing w:val="-4"/>
          <w:sz w:val="20"/>
        </w:rPr>
        <w:t> </w:t>
      </w:r>
      <w:r>
        <w:rPr>
          <w:sz w:val="20"/>
        </w:rPr>
        <w:t>a</w:t>
      </w:r>
      <w:r>
        <w:rPr>
          <w:spacing w:val="-2"/>
          <w:sz w:val="20"/>
        </w:rPr>
        <w:t> </w:t>
      </w:r>
      <w:r>
        <w:rPr>
          <w:sz w:val="20"/>
        </w:rPr>
        <w:t>claims-made</w:t>
      </w:r>
      <w:r>
        <w:rPr>
          <w:spacing w:val="-2"/>
          <w:sz w:val="20"/>
        </w:rPr>
        <w:t> </w:t>
      </w:r>
      <w:r>
        <w:rPr>
          <w:sz w:val="20"/>
        </w:rPr>
        <w:t>policy</w:t>
      </w:r>
      <w:r>
        <w:rPr>
          <w:spacing w:val="-3"/>
          <w:sz w:val="20"/>
        </w:rPr>
        <w:t> </w:t>
      </w:r>
      <w:r>
        <w:rPr>
          <w:sz w:val="20"/>
        </w:rPr>
        <w:t>and</w:t>
      </w:r>
      <w:r>
        <w:rPr>
          <w:spacing w:val="-1"/>
          <w:sz w:val="20"/>
        </w:rPr>
        <w:t> </w:t>
      </w:r>
      <w:r>
        <w:rPr>
          <w:sz w:val="20"/>
        </w:rPr>
        <w:t>is</w:t>
      </w:r>
      <w:r>
        <w:rPr>
          <w:spacing w:val="-4"/>
          <w:sz w:val="20"/>
        </w:rPr>
        <w:t> </w:t>
      </w:r>
      <w:r>
        <w:rPr>
          <w:sz w:val="20"/>
        </w:rPr>
        <w:t>not</w:t>
      </w:r>
      <w:r>
        <w:rPr>
          <w:spacing w:val="-4"/>
          <w:sz w:val="20"/>
        </w:rPr>
        <w:t> </w:t>
      </w:r>
      <w:r>
        <w:rPr>
          <w:sz w:val="20"/>
        </w:rPr>
        <w:t>available</w:t>
      </w:r>
      <w:r>
        <w:rPr>
          <w:spacing w:val="-2"/>
          <w:sz w:val="20"/>
        </w:rPr>
        <w:t> </w:t>
      </w:r>
      <w:r>
        <w:rPr>
          <w:sz w:val="20"/>
        </w:rPr>
        <w:t>to</w:t>
      </w:r>
      <w:r>
        <w:rPr>
          <w:spacing w:val="-2"/>
          <w:sz w:val="20"/>
        </w:rPr>
        <w:t> </w:t>
      </w:r>
      <w:r>
        <w:rPr>
          <w:sz w:val="20"/>
        </w:rPr>
        <w:t>an insured with an uninsured prior acts exposure;</w:t>
      </w:r>
      <w:r>
        <w:rPr>
          <w:spacing w:val="-20"/>
          <w:sz w:val="20"/>
        </w:rPr>
        <w:t> </w:t>
      </w:r>
      <w:r>
        <w:rPr>
          <w:sz w:val="20"/>
        </w:rPr>
        <w:t>and</w:t>
      </w:r>
    </w:p>
    <w:p>
      <w:pPr>
        <w:pStyle w:val="ListParagraph"/>
        <w:numPr>
          <w:ilvl w:val="1"/>
          <w:numId w:val="1"/>
        </w:numPr>
        <w:tabs>
          <w:tab w:pos="824" w:val="left" w:leader="none"/>
          <w:tab w:pos="825" w:val="left" w:leader="none"/>
        </w:tabs>
        <w:spacing w:line="240" w:lineRule="auto" w:before="0" w:after="0"/>
        <w:ind w:left="464" w:right="173" w:firstLine="0"/>
        <w:jc w:val="left"/>
        <w:rPr>
          <w:sz w:val="20"/>
        </w:rPr>
      </w:pPr>
      <w:r>
        <w:rPr>
          <w:sz w:val="20"/>
        </w:rPr>
        <w:t>Prior Acts coverage, once purchased, must survive termination of the occurrence policy; i.e. any act is treated as if it took place while the occurrence policy was in</w:t>
      </w:r>
      <w:r>
        <w:rPr>
          <w:spacing w:val="-31"/>
          <w:sz w:val="20"/>
        </w:rPr>
        <w:t> </w:t>
      </w:r>
      <w:r>
        <w:rPr>
          <w:sz w:val="20"/>
        </w:rPr>
        <w:t>place.</w:t>
      </w:r>
    </w:p>
    <w:sectPr>
      <w:pgSz w:w="12240" w:h="15840"/>
      <w:pgMar w:header="0" w:footer="724" w:top="1080" w:bottom="92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4.820007pt;width:26.8pt;height:12pt;mso-position-horizontal-relative:page;mso-position-vertical-relative:page;z-index:-11320" type="#_x0000_t202" filled="false" stroked="false">
          <v:textbox inset="0,0,0,0">
            <w:txbxContent>
              <w:p>
                <w:pPr>
                  <w:spacing w:before="12"/>
                  <w:ind w:left="20" w:right="0" w:firstLine="0"/>
                  <w:jc w:val="left"/>
                  <w:rPr>
                    <w:sz w:val="18"/>
                  </w:rPr>
                </w:pPr>
                <w:r>
                  <w:rPr>
                    <w:sz w:val="18"/>
                  </w:rPr>
                  <w:t>8.2013</w:t>
                </w:r>
              </w:p>
            </w:txbxContent>
          </v:textbox>
          <w10:wrap type="none"/>
        </v:shape>
      </w:pict>
    </w:r>
    <w:r>
      <w:rPr/>
      <w:pict>
        <v:shape style="position:absolute;margin-left:258.200897pt;margin-top:744.820007pt;width:42.85pt;height:12pt;mso-position-horizontal-relative:page;mso-position-vertical-relative:page;z-index:-11296"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5</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4">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3">
    <w:multiLevelType w:val="hybridMultilevel"/>
    <w:lvl w:ilvl="0">
      <w:start w:val="0"/>
      <w:numFmt w:val="bullet"/>
      <w:lvlText w:val=""/>
      <w:lvlJc w:val="left"/>
      <w:pPr>
        <w:ind w:left="498"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81" w:hanging="360"/>
      </w:pPr>
      <w:rPr>
        <w:rFonts w:hint="default"/>
      </w:rPr>
    </w:lvl>
    <w:lvl w:ilvl="3">
      <w:start w:val="0"/>
      <w:numFmt w:val="bullet"/>
      <w:lvlText w:val="•"/>
      <w:lvlJc w:val="left"/>
      <w:pPr>
        <w:ind w:left="3943" w:hanging="360"/>
      </w:pPr>
      <w:rPr>
        <w:rFonts w:hint="default"/>
      </w:rPr>
    </w:lvl>
    <w:lvl w:ilvl="4">
      <w:start w:val="0"/>
      <w:numFmt w:val="bullet"/>
      <w:lvlText w:val="•"/>
      <w:lvlJc w:val="left"/>
      <w:pPr>
        <w:ind w:left="4604" w:hanging="360"/>
      </w:pPr>
      <w:rPr>
        <w:rFonts w:hint="default"/>
      </w:rPr>
    </w:lvl>
    <w:lvl w:ilvl="5">
      <w:start w:val="0"/>
      <w:numFmt w:val="bullet"/>
      <w:lvlText w:val="•"/>
      <w:lvlJc w:val="left"/>
      <w:pPr>
        <w:ind w:left="5266" w:hanging="360"/>
      </w:pPr>
      <w:rPr>
        <w:rFonts w:hint="default"/>
      </w:rPr>
    </w:lvl>
    <w:lvl w:ilvl="6">
      <w:start w:val="0"/>
      <w:numFmt w:val="bullet"/>
      <w:lvlText w:val="•"/>
      <w:lvlJc w:val="left"/>
      <w:pPr>
        <w:ind w:left="5928" w:hanging="360"/>
      </w:pPr>
      <w:rPr>
        <w:rFonts w:hint="default"/>
      </w:rPr>
    </w:lvl>
    <w:lvl w:ilvl="7">
      <w:start w:val="0"/>
      <w:numFmt w:val="bullet"/>
      <w:lvlText w:val="•"/>
      <w:lvlJc w:val="left"/>
      <w:pPr>
        <w:ind w:left="6589" w:hanging="360"/>
      </w:pPr>
      <w:rPr>
        <w:rFonts w:hint="default"/>
      </w:rPr>
    </w:lvl>
    <w:lvl w:ilvl="8">
      <w:start w:val="0"/>
      <w:numFmt w:val="bullet"/>
      <w:lvlText w:val="•"/>
      <w:lvlJc w:val="left"/>
      <w:pPr>
        <w:ind w:left="7251"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1"/>
        <w:w w:val="10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0">
    <w:multiLevelType w:val="hybridMultilevel"/>
    <w:lvl w:ilvl="0">
      <w:start w:val="1"/>
      <w:numFmt w:val="decimal"/>
      <w:lvlText w:val="%1."/>
      <w:lvlJc w:val="left"/>
      <w:pPr>
        <w:ind w:left="463" w:hanging="360"/>
        <w:jc w:val="left"/>
      </w:pPr>
      <w:rPr>
        <w:rFonts w:hint="default" w:ascii="Times New Roman" w:hAnsi="Times New Roman" w:eastAsia="Times New Roman" w:cs="Times New Roman"/>
        <w:b/>
        <w:bCs/>
        <w:w w:val="100"/>
        <w:sz w:val="20"/>
        <w:szCs w:val="20"/>
      </w:rPr>
    </w:lvl>
    <w:lvl w:ilvl="1">
      <w:start w:val="1"/>
      <w:numFmt w:val="lowerLetter"/>
      <w:lvlText w:val="%2)"/>
      <w:lvlJc w:val="left"/>
      <w:pPr>
        <w:ind w:left="464" w:hanging="361"/>
        <w:jc w:val="left"/>
      </w:pPr>
      <w:rPr>
        <w:rFonts w:hint="default"/>
        <w:w w:val="100"/>
      </w:rPr>
    </w:lvl>
    <w:lvl w:ilvl="2">
      <w:start w:val="0"/>
      <w:numFmt w:val="bullet"/>
      <w:lvlText w:val="•"/>
      <w:lvlJc w:val="left"/>
      <w:pPr>
        <w:ind w:left="2620" w:hanging="361"/>
      </w:pPr>
      <w:rPr>
        <w:rFonts w:hint="default"/>
      </w:rPr>
    </w:lvl>
    <w:lvl w:ilvl="3">
      <w:start w:val="0"/>
      <w:numFmt w:val="bullet"/>
      <w:lvlText w:val="•"/>
      <w:lvlJc w:val="left"/>
      <w:pPr>
        <w:ind w:left="3630" w:hanging="361"/>
      </w:pPr>
      <w:rPr>
        <w:rFonts w:hint="default"/>
      </w:rPr>
    </w:lvl>
    <w:lvl w:ilvl="4">
      <w:start w:val="0"/>
      <w:numFmt w:val="bullet"/>
      <w:lvlText w:val="•"/>
      <w:lvlJc w:val="left"/>
      <w:pPr>
        <w:ind w:left="4640" w:hanging="361"/>
      </w:pPr>
      <w:rPr>
        <w:rFonts w:hint="default"/>
      </w:rPr>
    </w:lvl>
    <w:lvl w:ilvl="5">
      <w:start w:val="0"/>
      <w:numFmt w:val="bullet"/>
      <w:lvlText w:val="•"/>
      <w:lvlJc w:val="left"/>
      <w:pPr>
        <w:ind w:left="5650" w:hanging="361"/>
      </w:pPr>
      <w:rPr>
        <w:rFonts w:hint="default"/>
      </w:rPr>
    </w:lvl>
    <w:lvl w:ilvl="6">
      <w:start w:val="0"/>
      <w:numFmt w:val="bullet"/>
      <w:lvlText w:val="•"/>
      <w:lvlJc w:val="left"/>
      <w:pPr>
        <w:ind w:left="6660" w:hanging="361"/>
      </w:pPr>
      <w:rPr>
        <w:rFonts w:hint="default"/>
      </w:rPr>
    </w:lvl>
    <w:lvl w:ilvl="7">
      <w:start w:val="0"/>
      <w:numFmt w:val="bullet"/>
      <w:lvlText w:val="•"/>
      <w:lvlJc w:val="left"/>
      <w:pPr>
        <w:ind w:left="7670" w:hanging="361"/>
      </w:pPr>
      <w:rPr>
        <w:rFonts w:hint="default"/>
      </w:rPr>
    </w:lvl>
    <w:lvl w:ilvl="8">
      <w:start w:val="0"/>
      <w:numFmt w:val="bullet"/>
      <w:lvlText w:val="•"/>
      <w:lvlJc w:val="left"/>
      <w:pPr>
        <w:ind w:left="8680"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64"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spacing w:before="27"/>
      <w:ind w:right="305"/>
      <w:jc w:val="center"/>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WI Rules 8-13 .doc</dc:title>
  <dcterms:created xsi:type="dcterms:W3CDTF">2017-08-24T16:17:54Z</dcterms:created>
  <dcterms:modified xsi:type="dcterms:W3CDTF">2017-08-24T16:17:54Z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2013-09-23T00:00:00Z</vt:filetime>
  </property>
  <property fmtid="{D5CDD505-2E9C-101B-9397-08002B2CF9AE}" pid="3" name="Creator">
    <vt:lpwstr>PScript5.dll Version 5.2.2</vt:lpwstr>
  </property>
  <property fmtid="{D5CDD505-2E9C-101B-9397-08002B2CF9AE}" pid="4" name="LastSaved">
    <vt:filetime>2017-08-24T00:00:00Z</vt:filetime>
  </property>
</Properties>
</file>