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1"/>
        <w:ind w:left="3558" w:right="4735"/>
        <w:jc w:val="center"/>
      </w:pPr>
      <w:r>
        <w:rPr/>
        <w:t>ENDORSEMENT NO.</w:t>
      </w:r>
    </w:p>
    <w:p>
      <w:pPr>
        <w:pStyle w:val="BodyText"/>
        <w:spacing w:before="9"/>
        <w:rPr>
          <w:b/>
          <w:sz w:val="23"/>
        </w:rPr>
      </w:pPr>
    </w:p>
    <w:p>
      <w:pPr>
        <w:spacing w:before="1"/>
        <w:ind w:left="1462" w:right="0" w:firstLine="0"/>
        <w:jc w:val="left"/>
        <w:rPr>
          <w:b/>
          <w:sz w:val="20"/>
        </w:rPr>
      </w:pPr>
      <w:r>
        <w:rPr>
          <w:b/>
          <w:sz w:val="20"/>
        </w:rPr>
        <w:t>THIS ENDORSEMENT CHANGES THE POLICY. PLEASE READ IT CAREFULLY</w:t>
      </w:r>
    </w:p>
    <w:p>
      <w:pPr>
        <w:pStyle w:val="BodyText"/>
        <w:spacing w:before="7"/>
        <w:rPr>
          <w:b/>
          <w:sz w:val="23"/>
        </w:rPr>
      </w:pPr>
    </w:p>
    <w:p>
      <w:pPr>
        <w:pStyle w:val="BodyText"/>
        <w:tabs>
          <w:tab w:pos="6591" w:val="left" w:leader="none"/>
        </w:tabs>
        <w:spacing w:line="520" w:lineRule="auto"/>
        <w:ind w:left="112" w:right="2262"/>
      </w:pPr>
      <w:r>
        <w:rPr/>
        <w:t>This endorsement,</w:t>
      </w:r>
      <w:r>
        <w:rPr>
          <w:spacing w:val="1"/>
        </w:rPr>
        <w:t> </w:t>
      </w:r>
      <w:r>
        <w:rPr/>
        <w:t>effective</w:t>
      </w:r>
      <w:r>
        <w:rPr>
          <w:spacing w:val="0"/>
        </w:rPr>
        <w:t> </w:t>
      </w:r>
      <w:r>
        <w:rPr/>
        <w:t>12:01AM:</w:t>
        <w:tab/>
        <w:t>forms a</w:t>
      </w:r>
      <w:r>
        <w:rPr>
          <w:spacing w:val="0"/>
        </w:rPr>
        <w:t> </w:t>
      </w:r>
      <w:r>
        <w:rPr/>
        <w:t>part of</w:t>
      </w:r>
      <w:r>
        <w:rPr>
          <w:w w:val="100"/>
        </w:rPr>
        <w:t> </w:t>
      </w:r>
      <w:r>
        <w:rPr/>
        <w:t>Policy</w:t>
      </w:r>
      <w:r>
        <w:rPr>
          <w:spacing w:val="0"/>
        </w:rPr>
        <w:t> </w:t>
      </w:r>
      <w:r>
        <w:rPr/>
        <w:t>no.:</w:t>
      </w:r>
    </w:p>
    <w:p>
      <w:pPr>
        <w:pStyle w:val="BodyText"/>
        <w:ind w:left="112"/>
      </w:pPr>
      <w:r>
        <w:rPr/>
        <w:t>Issued to:</w:t>
      </w:r>
    </w:p>
    <w:p>
      <w:pPr>
        <w:pStyle w:val="BodyText"/>
        <w:spacing w:before="2"/>
        <w:rPr>
          <w:sz w:val="15"/>
        </w:rPr>
      </w:pPr>
    </w:p>
    <w:p>
      <w:pPr>
        <w:spacing w:after="0"/>
        <w:rPr>
          <w:sz w:val="15"/>
        </w:rPr>
        <w:sectPr>
          <w:footerReference w:type="default" r:id="rId5"/>
          <w:type w:val="continuous"/>
          <w:pgSz w:w="12240" w:h="15840"/>
          <w:pgMar w:footer="738" w:top="1360" w:bottom="920" w:left="1040" w:right="940"/>
          <w:pgNumType w:start="1"/>
        </w:sectPr>
      </w:pPr>
    </w:p>
    <w:p>
      <w:pPr>
        <w:pStyle w:val="BodyText"/>
        <w:spacing w:before="101"/>
        <w:ind w:left="112"/>
      </w:pPr>
      <w:r>
        <w:rPr/>
        <w:t>By:</w:t>
      </w:r>
    </w:p>
    <w:p>
      <w:pPr>
        <w:pStyle w:val="BodyText"/>
        <w:rPr>
          <w:sz w:val="28"/>
        </w:rPr>
      </w:pPr>
      <w:r>
        <w:rPr/>
        <w:br w:type="column"/>
      </w:r>
      <w:r>
        <w:rPr>
          <w:sz w:val="28"/>
        </w:rPr>
      </w:r>
    </w:p>
    <w:p>
      <w:pPr>
        <w:pStyle w:val="BodyText"/>
        <w:spacing w:before="9"/>
      </w:pPr>
    </w:p>
    <w:p>
      <w:pPr>
        <w:spacing w:before="0"/>
        <w:ind w:left="112" w:right="0" w:firstLine="0"/>
        <w:jc w:val="left"/>
        <w:rPr>
          <w:b/>
          <w:sz w:val="24"/>
        </w:rPr>
      </w:pPr>
      <w:r>
        <w:rPr>
          <w:b/>
          <w:sz w:val="24"/>
        </w:rPr>
        <w:t>MARYLAND AMENDATORY ENDORSEMENT</w:t>
      </w:r>
    </w:p>
    <w:p>
      <w:pPr>
        <w:spacing w:after="0"/>
        <w:jc w:val="left"/>
        <w:rPr>
          <w:sz w:val="24"/>
        </w:rPr>
        <w:sectPr>
          <w:type w:val="continuous"/>
          <w:pgSz w:w="12240" w:h="15840"/>
          <w:pgMar w:top="1360" w:bottom="920" w:left="1040" w:right="940"/>
          <w:cols w:num="2" w:equalWidth="0">
            <w:col w:w="417" w:space="2035"/>
            <w:col w:w="7808"/>
          </w:cols>
        </w:sectPr>
      </w:pPr>
    </w:p>
    <w:p>
      <w:pPr>
        <w:pStyle w:val="BodyText"/>
        <w:spacing w:before="5"/>
        <w:rPr>
          <w:b/>
          <w:sz w:val="14"/>
        </w:rPr>
      </w:pPr>
    </w:p>
    <w:p>
      <w:pPr>
        <w:pStyle w:val="BodyText"/>
        <w:spacing w:line="520" w:lineRule="auto" w:before="101"/>
        <w:ind w:left="1551" w:right="2578" w:hanging="1440"/>
      </w:pPr>
      <w:r>
        <w:rPr/>
        <w:t>This endorsement modifies insurance provided under the following: PSYCHIATRISTS PROFESSIONAL LIABILITY INSURANCE POLICY</w:t>
      </w:r>
    </w:p>
    <w:p>
      <w:pPr>
        <w:pStyle w:val="ListParagraph"/>
        <w:numPr>
          <w:ilvl w:val="0"/>
          <w:numId w:val="1"/>
        </w:numPr>
        <w:tabs>
          <w:tab w:pos="471" w:val="left" w:leader="none"/>
          <w:tab w:pos="472" w:val="left" w:leader="none"/>
        </w:tabs>
        <w:spacing w:line="237" w:lineRule="auto" w:before="2" w:after="0"/>
        <w:ind w:left="472" w:right="209" w:hanging="360"/>
        <w:jc w:val="left"/>
        <w:rPr>
          <w:sz w:val="20"/>
        </w:rPr>
      </w:pPr>
      <w:r>
        <w:rPr>
          <w:sz w:val="20"/>
        </w:rPr>
        <w:t>Paragraph A. </w:t>
      </w:r>
      <w:r>
        <w:rPr>
          <w:sz w:val="20"/>
          <w:u w:val="single"/>
        </w:rPr>
        <w:t>Defense of Claims Or Suits Under Sections I and II</w:t>
      </w:r>
      <w:r>
        <w:rPr>
          <w:sz w:val="20"/>
        </w:rPr>
        <w:t> of Section IV. DEFENSE COSTS AND OTHER EXPENSES is deleted in its entirety and replaced with the</w:t>
      </w:r>
      <w:r>
        <w:rPr>
          <w:spacing w:val="11"/>
          <w:sz w:val="20"/>
        </w:rPr>
        <w:t> </w:t>
      </w:r>
      <w:r>
        <w:rPr>
          <w:sz w:val="20"/>
        </w:rPr>
        <w:t>following:</w:t>
      </w:r>
    </w:p>
    <w:p>
      <w:pPr>
        <w:pStyle w:val="BodyText"/>
        <w:spacing w:before="2"/>
      </w:pPr>
      <w:r>
        <w:rPr/>
        <w:pict>
          <v:shape style="position:absolute;margin-left:70.019997pt;margin-top:14.386374pt;width:490pt;height:14.2pt;mso-position-horizontal-relative:page;mso-position-vertical-relative:paragraph;z-index:0;mso-wrap-distance-left:0;mso-wrap-distance-right:0" type="#_x0000_t202" filled="true" fillcolor="#e6e6e6" stroked="true" strokeweight=".23999pt" strokecolor="#000000">
            <v:textbox inset="0,0,0,0">
              <w:txbxContent>
                <w:p>
                  <w:pPr>
                    <w:pStyle w:val="BodyText"/>
                    <w:spacing w:before="18"/>
                    <w:ind w:left="109"/>
                  </w:pPr>
                  <w:r>
                    <w:rPr/>
                    <w:t>A. Defense Of Claims Or Suits Under Sections I And II</w:t>
                  </w:r>
                </w:p>
              </w:txbxContent>
            </v:textbox>
            <v:fill type="solid"/>
            <v:stroke dashstyle="solid"/>
            <w10:wrap type="topAndBottom"/>
          </v:shape>
        </w:pict>
      </w:r>
    </w:p>
    <w:p>
      <w:pPr>
        <w:pStyle w:val="BodyText"/>
        <w:spacing w:before="10"/>
        <w:rPr>
          <w:sz w:val="12"/>
        </w:rPr>
      </w:pPr>
    </w:p>
    <w:p>
      <w:pPr>
        <w:pStyle w:val="BodyText"/>
        <w:spacing w:line="237" w:lineRule="auto" w:before="103"/>
        <w:ind w:left="471" w:right="210"/>
        <w:jc w:val="both"/>
      </w:pPr>
      <w:r>
        <w:rPr/>
        <w:t>The following payments, which apply to the defense of </w:t>
      </w:r>
      <w:r>
        <w:rPr>
          <w:b/>
        </w:rPr>
        <w:t>claims </w:t>
      </w:r>
      <w:r>
        <w:rPr/>
        <w:t>or </w:t>
      </w:r>
      <w:r>
        <w:rPr>
          <w:b/>
        </w:rPr>
        <w:t>suits </w:t>
      </w:r>
      <w:r>
        <w:rPr/>
        <w:t>covered under INSURING AGREEMENT I AND II, are in addition to the Limits of Liability described in Section VI. LIMITS OF LIABILITY. These payments end after the applicable Limit of Liability has been exhausted in paying judgments, settlements or awards.</w:t>
      </w:r>
    </w:p>
    <w:p>
      <w:pPr>
        <w:pStyle w:val="BodyText"/>
        <w:spacing w:before="6"/>
        <w:rPr>
          <w:sz w:val="23"/>
        </w:rPr>
      </w:pPr>
    </w:p>
    <w:p>
      <w:pPr>
        <w:pStyle w:val="ListParagraph"/>
        <w:numPr>
          <w:ilvl w:val="1"/>
          <w:numId w:val="1"/>
        </w:numPr>
        <w:tabs>
          <w:tab w:pos="832" w:val="left" w:leader="none"/>
        </w:tabs>
        <w:spacing w:line="237" w:lineRule="auto" w:before="1" w:after="0"/>
        <w:ind w:left="831" w:right="207" w:hanging="360"/>
        <w:jc w:val="both"/>
        <w:rPr>
          <w:sz w:val="20"/>
        </w:rPr>
      </w:pPr>
      <w:r>
        <w:rPr>
          <w:b/>
          <w:sz w:val="20"/>
        </w:rPr>
        <w:t>We </w:t>
      </w:r>
      <w:r>
        <w:rPr>
          <w:sz w:val="20"/>
        </w:rPr>
        <w:t>have the duty to defend any </w:t>
      </w:r>
      <w:r>
        <w:rPr>
          <w:b/>
          <w:sz w:val="20"/>
        </w:rPr>
        <w:t>claim </w:t>
      </w:r>
      <w:r>
        <w:rPr>
          <w:sz w:val="20"/>
        </w:rPr>
        <w:t>or </w:t>
      </w:r>
      <w:r>
        <w:rPr>
          <w:b/>
          <w:sz w:val="20"/>
        </w:rPr>
        <w:t>suit</w:t>
      </w:r>
      <w:r>
        <w:rPr>
          <w:sz w:val="20"/>
        </w:rPr>
        <w:t>, and </w:t>
      </w:r>
      <w:r>
        <w:rPr>
          <w:b/>
          <w:sz w:val="20"/>
        </w:rPr>
        <w:t>we </w:t>
      </w:r>
      <w:r>
        <w:rPr>
          <w:sz w:val="20"/>
        </w:rPr>
        <w:t>will defend such </w:t>
      </w:r>
      <w:r>
        <w:rPr>
          <w:b/>
          <w:sz w:val="20"/>
        </w:rPr>
        <w:t>claim </w:t>
      </w:r>
      <w:r>
        <w:rPr>
          <w:sz w:val="20"/>
        </w:rPr>
        <w:t>or </w:t>
      </w:r>
      <w:r>
        <w:rPr>
          <w:b/>
          <w:sz w:val="20"/>
        </w:rPr>
        <w:t>suit </w:t>
      </w:r>
      <w:r>
        <w:rPr>
          <w:sz w:val="20"/>
        </w:rPr>
        <w:t>against the </w:t>
      </w:r>
      <w:r>
        <w:rPr>
          <w:b/>
          <w:sz w:val="20"/>
        </w:rPr>
        <w:t>Insured </w:t>
      </w:r>
      <w:r>
        <w:rPr>
          <w:sz w:val="20"/>
        </w:rPr>
        <w:t>for a covered </w:t>
      </w:r>
      <w:r>
        <w:rPr>
          <w:b/>
          <w:sz w:val="20"/>
        </w:rPr>
        <w:t>claim </w:t>
      </w:r>
      <w:r>
        <w:rPr>
          <w:sz w:val="20"/>
        </w:rPr>
        <w:t>or </w:t>
      </w:r>
      <w:r>
        <w:rPr>
          <w:b/>
          <w:sz w:val="20"/>
        </w:rPr>
        <w:t>suit </w:t>
      </w:r>
      <w:r>
        <w:rPr>
          <w:sz w:val="20"/>
        </w:rPr>
        <w:t>to which this insurance applies seeking damages on account of a </w:t>
      </w:r>
      <w:r>
        <w:rPr>
          <w:b/>
          <w:sz w:val="20"/>
        </w:rPr>
        <w:t>psychiatric incident </w:t>
      </w:r>
      <w:r>
        <w:rPr>
          <w:sz w:val="20"/>
        </w:rPr>
        <w:t>or </w:t>
      </w:r>
      <w:r>
        <w:rPr>
          <w:b/>
          <w:sz w:val="20"/>
        </w:rPr>
        <w:t>occurrence, </w:t>
      </w:r>
      <w:r>
        <w:rPr>
          <w:sz w:val="20"/>
        </w:rPr>
        <w:t>even if such </w:t>
      </w:r>
      <w:r>
        <w:rPr>
          <w:b/>
          <w:sz w:val="20"/>
        </w:rPr>
        <w:t>claim </w:t>
      </w:r>
      <w:r>
        <w:rPr>
          <w:sz w:val="20"/>
        </w:rPr>
        <w:t>or </w:t>
      </w:r>
      <w:r>
        <w:rPr>
          <w:b/>
          <w:sz w:val="20"/>
        </w:rPr>
        <w:t>suit </w:t>
      </w:r>
      <w:r>
        <w:rPr>
          <w:sz w:val="20"/>
        </w:rPr>
        <w:t>is groundless, false or fraudulent. However, </w:t>
      </w:r>
      <w:r>
        <w:rPr>
          <w:b/>
          <w:sz w:val="20"/>
        </w:rPr>
        <w:t>we </w:t>
      </w:r>
      <w:r>
        <w:rPr>
          <w:sz w:val="20"/>
        </w:rPr>
        <w:t>have no duty to defend any </w:t>
      </w:r>
      <w:r>
        <w:rPr>
          <w:b/>
          <w:sz w:val="20"/>
        </w:rPr>
        <w:t>claim </w:t>
      </w:r>
      <w:r>
        <w:rPr>
          <w:sz w:val="20"/>
        </w:rPr>
        <w:t>or </w:t>
      </w:r>
      <w:r>
        <w:rPr>
          <w:b/>
          <w:sz w:val="20"/>
        </w:rPr>
        <w:t>suit </w:t>
      </w:r>
      <w:r>
        <w:rPr>
          <w:sz w:val="20"/>
        </w:rPr>
        <w:t>seeking damages to which this insurance does not apply. </w:t>
      </w:r>
      <w:r>
        <w:rPr>
          <w:b/>
          <w:sz w:val="20"/>
        </w:rPr>
        <w:t>We </w:t>
      </w:r>
      <w:r>
        <w:rPr>
          <w:sz w:val="20"/>
        </w:rPr>
        <w:t>have the right to investigate, defend, and appoint an attorney to defend any </w:t>
      </w:r>
      <w:r>
        <w:rPr>
          <w:b/>
          <w:sz w:val="20"/>
        </w:rPr>
        <w:t>claim </w:t>
      </w:r>
      <w:r>
        <w:rPr>
          <w:sz w:val="20"/>
        </w:rPr>
        <w:t>or </w:t>
      </w:r>
      <w:r>
        <w:rPr>
          <w:b/>
          <w:sz w:val="20"/>
        </w:rPr>
        <w:t>suit </w:t>
      </w:r>
      <w:r>
        <w:rPr>
          <w:sz w:val="20"/>
        </w:rPr>
        <w:t>as </w:t>
      </w:r>
      <w:r>
        <w:rPr>
          <w:b/>
          <w:sz w:val="20"/>
        </w:rPr>
        <w:t>we </w:t>
      </w:r>
      <w:r>
        <w:rPr>
          <w:sz w:val="20"/>
        </w:rPr>
        <w:t>deem</w:t>
      </w:r>
      <w:r>
        <w:rPr>
          <w:spacing w:val="5"/>
          <w:sz w:val="20"/>
        </w:rPr>
        <w:t> </w:t>
      </w:r>
      <w:r>
        <w:rPr>
          <w:sz w:val="20"/>
        </w:rPr>
        <w:t>expedient.</w:t>
      </w:r>
    </w:p>
    <w:p>
      <w:pPr>
        <w:pStyle w:val="BodyText"/>
        <w:spacing w:before="5"/>
        <w:rPr>
          <w:sz w:val="23"/>
        </w:rPr>
      </w:pPr>
    </w:p>
    <w:p>
      <w:pPr>
        <w:pStyle w:val="ListParagraph"/>
        <w:numPr>
          <w:ilvl w:val="1"/>
          <w:numId w:val="1"/>
        </w:numPr>
        <w:tabs>
          <w:tab w:pos="922" w:val="left" w:leader="none"/>
        </w:tabs>
        <w:spacing w:line="240" w:lineRule="auto" w:before="0" w:after="0"/>
        <w:ind w:left="921" w:right="0" w:hanging="450"/>
        <w:jc w:val="both"/>
        <w:rPr>
          <w:sz w:val="20"/>
        </w:rPr>
      </w:pPr>
      <w:r>
        <w:rPr>
          <w:b/>
          <w:sz w:val="20"/>
        </w:rPr>
        <w:t>We </w:t>
      </w:r>
      <w:r>
        <w:rPr>
          <w:sz w:val="20"/>
        </w:rPr>
        <w:t>shall pay, with respect to any </w:t>
      </w:r>
      <w:r>
        <w:rPr>
          <w:b/>
          <w:sz w:val="20"/>
        </w:rPr>
        <w:t>claim </w:t>
      </w:r>
      <w:r>
        <w:rPr>
          <w:sz w:val="20"/>
        </w:rPr>
        <w:t>or </w:t>
      </w:r>
      <w:r>
        <w:rPr>
          <w:b/>
          <w:sz w:val="20"/>
        </w:rPr>
        <w:t>suit we</w:t>
      </w:r>
      <w:r>
        <w:rPr>
          <w:b/>
          <w:spacing w:val="7"/>
          <w:sz w:val="20"/>
        </w:rPr>
        <w:t> </w:t>
      </w:r>
      <w:r>
        <w:rPr>
          <w:sz w:val="20"/>
        </w:rPr>
        <w:t>defend:</w:t>
      </w:r>
    </w:p>
    <w:p>
      <w:pPr>
        <w:pStyle w:val="BodyText"/>
        <w:spacing w:before="4"/>
        <w:rPr>
          <w:sz w:val="23"/>
        </w:rPr>
      </w:pPr>
    </w:p>
    <w:p>
      <w:pPr>
        <w:pStyle w:val="ListParagraph"/>
        <w:numPr>
          <w:ilvl w:val="2"/>
          <w:numId w:val="1"/>
        </w:numPr>
        <w:tabs>
          <w:tab w:pos="1192" w:val="left" w:leader="none"/>
        </w:tabs>
        <w:spacing w:line="240" w:lineRule="auto" w:before="1" w:after="0"/>
        <w:ind w:left="1191" w:right="0" w:hanging="360"/>
        <w:jc w:val="left"/>
        <w:rPr>
          <w:sz w:val="20"/>
        </w:rPr>
      </w:pPr>
      <w:r>
        <w:rPr>
          <w:sz w:val="20"/>
        </w:rPr>
        <w:t>All expenses </w:t>
      </w:r>
      <w:r>
        <w:rPr>
          <w:b/>
          <w:sz w:val="20"/>
        </w:rPr>
        <w:t>we </w:t>
      </w:r>
      <w:r>
        <w:rPr>
          <w:sz w:val="20"/>
        </w:rPr>
        <w:t>incur including </w:t>
      </w:r>
      <w:r>
        <w:rPr>
          <w:b/>
          <w:sz w:val="20"/>
        </w:rPr>
        <w:t>defense</w:t>
      </w:r>
      <w:r>
        <w:rPr>
          <w:b/>
          <w:spacing w:val="5"/>
          <w:sz w:val="20"/>
        </w:rPr>
        <w:t> </w:t>
      </w:r>
      <w:r>
        <w:rPr>
          <w:b/>
          <w:sz w:val="20"/>
        </w:rPr>
        <w:t>costs</w:t>
      </w:r>
      <w:r>
        <w:rPr>
          <w:sz w:val="20"/>
        </w:rPr>
        <w:t>.</w:t>
      </w:r>
    </w:p>
    <w:p>
      <w:pPr>
        <w:pStyle w:val="BodyText"/>
        <w:spacing w:before="7"/>
        <w:rPr>
          <w:sz w:val="23"/>
        </w:rPr>
      </w:pPr>
    </w:p>
    <w:p>
      <w:pPr>
        <w:pStyle w:val="ListParagraph"/>
        <w:numPr>
          <w:ilvl w:val="2"/>
          <w:numId w:val="1"/>
        </w:numPr>
        <w:tabs>
          <w:tab w:pos="1192" w:val="left" w:leader="none"/>
        </w:tabs>
        <w:spacing w:line="237" w:lineRule="auto" w:before="0" w:after="0"/>
        <w:ind w:left="1191" w:right="546" w:hanging="360"/>
        <w:jc w:val="left"/>
        <w:rPr>
          <w:sz w:val="20"/>
        </w:rPr>
      </w:pPr>
      <w:r>
        <w:rPr>
          <w:sz w:val="20"/>
        </w:rPr>
        <w:t>The cost of bonds to release attachments, but only for bond amounts within the applicable Limit of Liability.  </w:t>
      </w:r>
      <w:r>
        <w:rPr>
          <w:b/>
          <w:sz w:val="20"/>
        </w:rPr>
        <w:t>We </w:t>
      </w:r>
      <w:r>
        <w:rPr>
          <w:sz w:val="20"/>
        </w:rPr>
        <w:t>do not have to furnish these</w:t>
      </w:r>
      <w:r>
        <w:rPr>
          <w:spacing w:val="8"/>
          <w:sz w:val="20"/>
        </w:rPr>
        <w:t> </w:t>
      </w:r>
      <w:r>
        <w:rPr>
          <w:sz w:val="20"/>
        </w:rPr>
        <w:t>bonds.</w:t>
      </w:r>
    </w:p>
    <w:p>
      <w:pPr>
        <w:pStyle w:val="BodyText"/>
        <w:spacing w:before="6"/>
        <w:rPr>
          <w:sz w:val="23"/>
        </w:rPr>
      </w:pPr>
    </w:p>
    <w:p>
      <w:pPr>
        <w:pStyle w:val="ListParagraph"/>
        <w:numPr>
          <w:ilvl w:val="2"/>
          <w:numId w:val="1"/>
        </w:numPr>
        <w:tabs>
          <w:tab w:pos="1192" w:val="left" w:leader="none"/>
        </w:tabs>
        <w:spacing w:line="237" w:lineRule="auto" w:before="1" w:after="0"/>
        <w:ind w:left="1191" w:right="534" w:hanging="360"/>
        <w:jc w:val="both"/>
        <w:rPr>
          <w:sz w:val="20"/>
        </w:rPr>
      </w:pPr>
      <w:r>
        <w:rPr>
          <w:sz w:val="20"/>
        </w:rPr>
        <w:t>Pre-judgment interest awarded against the </w:t>
      </w:r>
      <w:r>
        <w:rPr>
          <w:b/>
          <w:sz w:val="20"/>
        </w:rPr>
        <w:t>Insured </w:t>
      </w:r>
      <w:r>
        <w:rPr>
          <w:sz w:val="20"/>
        </w:rPr>
        <w:t>on that part of the judgment </w:t>
      </w:r>
      <w:r>
        <w:rPr>
          <w:b/>
          <w:sz w:val="20"/>
        </w:rPr>
        <w:t>we </w:t>
      </w:r>
      <w:r>
        <w:rPr>
          <w:sz w:val="20"/>
        </w:rPr>
        <w:t>pay. If prior to judgment, </w:t>
      </w:r>
      <w:r>
        <w:rPr>
          <w:b/>
          <w:sz w:val="20"/>
        </w:rPr>
        <w:t>we </w:t>
      </w:r>
      <w:r>
        <w:rPr>
          <w:sz w:val="20"/>
        </w:rPr>
        <w:t>make an offer to pay the applicable Limit of Liability, </w:t>
      </w:r>
      <w:r>
        <w:rPr>
          <w:b/>
          <w:sz w:val="20"/>
        </w:rPr>
        <w:t>we </w:t>
      </w:r>
      <w:r>
        <w:rPr>
          <w:sz w:val="20"/>
        </w:rPr>
        <w:t>will not pay any pre-judgment interest based on that period of time after the offer was refused by</w:t>
      </w:r>
      <w:r>
        <w:rPr>
          <w:spacing w:val="15"/>
          <w:sz w:val="20"/>
        </w:rPr>
        <w:t> </w:t>
      </w:r>
      <w:r>
        <w:rPr>
          <w:b/>
          <w:sz w:val="20"/>
        </w:rPr>
        <w:t>you</w:t>
      </w:r>
      <w:r>
        <w:rPr>
          <w:sz w:val="20"/>
        </w:rPr>
        <w:t>.</w:t>
      </w:r>
    </w:p>
    <w:p>
      <w:pPr>
        <w:pStyle w:val="BodyText"/>
        <w:spacing w:before="7"/>
        <w:rPr>
          <w:sz w:val="23"/>
        </w:rPr>
      </w:pPr>
    </w:p>
    <w:p>
      <w:pPr>
        <w:pStyle w:val="ListParagraph"/>
        <w:numPr>
          <w:ilvl w:val="2"/>
          <w:numId w:val="1"/>
        </w:numPr>
        <w:tabs>
          <w:tab w:pos="1192" w:val="left" w:leader="none"/>
        </w:tabs>
        <w:spacing w:line="237" w:lineRule="auto" w:before="0" w:after="0"/>
        <w:ind w:left="1191" w:right="441" w:hanging="360"/>
        <w:jc w:val="left"/>
        <w:rPr>
          <w:sz w:val="20"/>
        </w:rPr>
      </w:pPr>
      <w:r>
        <w:rPr>
          <w:sz w:val="20"/>
        </w:rPr>
        <w:t>All interest on the full amount of any judgment that accrues after entry of the judgment and before </w:t>
      </w:r>
      <w:r>
        <w:rPr>
          <w:b/>
          <w:sz w:val="20"/>
        </w:rPr>
        <w:t>we </w:t>
      </w:r>
      <w:r>
        <w:rPr>
          <w:sz w:val="20"/>
        </w:rPr>
        <w:t>have paid, offered to pay, or deposited in court the part of the judgment that is within the applicable Limit of</w:t>
      </w:r>
      <w:r>
        <w:rPr>
          <w:spacing w:val="5"/>
          <w:sz w:val="20"/>
        </w:rPr>
        <w:t> </w:t>
      </w:r>
      <w:r>
        <w:rPr>
          <w:sz w:val="20"/>
        </w:rPr>
        <w:t>Liability.</w:t>
      </w:r>
    </w:p>
    <w:p>
      <w:pPr>
        <w:pStyle w:val="BodyText"/>
        <w:spacing w:before="4"/>
        <w:rPr>
          <w:sz w:val="23"/>
        </w:rPr>
      </w:pPr>
    </w:p>
    <w:p>
      <w:pPr>
        <w:pStyle w:val="ListParagraph"/>
        <w:numPr>
          <w:ilvl w:val="2"/>
          <w:numId w:val="1"/>
        </w:numPr>
        <w:tabs>
          <w:tab w:pos="1192" w:val="left" w:leader="none"/>
        </w:tabs>
        <w:spacing w:line="240" w:lineRule="auto" w:before="0" w:after="0"/>
        <w:ind w:left="1191" w:right="0" w:hanging="360"/>
        <w:jc w:val="left"/>
        <w:rPr>
          <w:sz w:val="20"/>
        </w:rPr>
      </w:pPr>
      <w:r>
        <w:rPr>
          <w:sz w:val="20"/>
        </w:rPr>
        <w:t>All costs taxed against the </w:t>
      </w:r>
      <w:r>
        <w:rPr>
          <w:b/>
          <w:sz w:val="20"/>
        </w:rPr>
        <w:t>Insured </w:t>
      </w:r>
      <w:r>
        <w:rPr>
          <w:sz w:val="20"/>
        </w:rPr>
        <w:t>in the</w:t>
      </w:r>
      <w:r>
        <w:rPr>
          <w:spacing w:val="6"/>
          <w:sz w:val="20"/>
        </w:rPr>
        <w:t> </w:t>
      </w:r>
      <w:r>
        <w:rPr>
          <w:b/>
          <w:sz w:val="20"/>
        </w:rPr>
        <w:t>suit</w:t>
      </w:r>
      <w:r>
        <w:rPr>
          <w:sz w:val="20"/>
        </w:rPr>
        <w:t>.</w:t>
      </w:r>
    </w:p>
    <w:p>
      <w:pPr>
        <w:spacing w:after="0" w:line="240" w:lineRule="auto"/>
        <w:jc w:val="left"/>
        <w:rPr>
          <w:sz w:val="20"/>
        </w:rPr>
        <w:sectPr>
          <w:type w:val="continuous"/>
          <w:pgSz w:w="12240" w:h="15840"/>
          <w:pgMar w:top="1360" w:bottom="920" w:left="1040" w:right="940"/>
        </w:sectPr>
      </w:pPr>
    </w:p>
    <w:p>
      <w:pPr>
        <w:pStyle w:val="ListParagraph"/>
        <w:numPr>
          <w:ilvl w:val="2"/>
          <w:numId w:val="1"/>
        </w:numPr>
        <w:tabs>
          <w:tab w:pos="1191" w:val="left" w:leader="none"/>
          <w:tab w:pos="1193" w:val="left" w:leader="none"/>
        </w:tabs>
        <w:spacing w:line="237" w:lineRule="auto" w:before="73" w:after="0"/>
        <w:ind w:left="1192" w:right="320" w:hanging="360"/>
        <w:jc w:val="left"/>
        <w:rPr>
          <w:sz w:val="20"/>
        </w:rPr>
      </w:pPr>
      <w:r>
        <w:rPr>
          <w:sz w:val="20"/>
        </w:rPr>
        <w:t>Premiums on appeal bonds required by law to appeal any </w:t>
      </w:r>
      <w:r>
        <w:rPr>
          <w:b/>
          <w:sz w:val="20"/>
        </w:rPr>
        <w:t>suit we </w:t>
      </w:r>
      <w:r>
        <w:rPr>
          <w:sz w:val="20"/>
        </w:rPr>
        <w:t>defend, but only for bond amounts within the applicable Limits of Liability. </w:t>
      </w:r>
      <w:r>
        <w:rPr>
          <w:b/>
          <w:sz w:val="20"/>
        </w:rPr>
        <w:t>We </w:t>
      </w:r>
      <w:r>
        <w:rPr>
          <w:sz w:val="20"/>
        </w:rPr>
        <w:t>are not obligated to apply for or furnish any such</w:t>
      </w:r>
      <w:r>
        <w:rPr>
          <w:spacing w:val="1"/>
          <w:sz w:val="20"/>
        </w:rPr>
        <w:t> </w:t>
      </w:r>
      <w:r>
        <w:rPr>
          <w:sz w:val="20"/>
        </w:rPr>
        <w:t>bond.</w:t>
      </w:r>
    </w:p>
    <w:p>
      <w:pPr>
        <w:pStyle w:val="BodyText"/>
        <w:spacing w:before="7"/>
        <w:rPr>
          <w:sz w:val="23"/>
        </w:rPr>
      </w:pPr>
    </w:p>
    <w:p>
      <w:pPr>
        <w:pStyle w:val="ListParagraph"/>
        <w:numPr>
          <w:ilvl w:val="1"/>
          <w:numId w:val="1"/>
        </w:numPr>
        <w:tabs>
          <w:tab w:pos="922" w:val="left" w:leader="none"/>
        </w:tabs>
        <w:spacing w:line="237" w:lineRule="auto" w:before="0" w:after="0"/>
        <w:ind w:left="922" w:right="107" w:hanging="450"/>
        <w:jc w:val="both"/>
        <w:rPr>
          <w:sz w:val="20"/>
        </w:rPr>
      </w:pPr>
      <w:r>
        <w:rPr>
          <w:b/>
          <w:sz w:val="20"/>
        </w:rPr>
        <w:t>Our </w:t>
      </w:r>
      <w:r>
        <w:rPr>
          <w:sz w:val="20"/>
        </w:rPr>
        <w:t>duty to defend any </w:t>
      </w:r>
      <w:r>
        <w:rPr>
          <w:b/>
          <w:sz w:val="20"/>
        </w:rPr>
        <w:t>claim </w:t>
      </w:r>
      <w:r>
        <w:rPr>
          <w:sz w:val="20"/>
        </w:rPr>
        <w:t>or </w:t>
      </w:r>
      <w:r>
        <w:rPr>
          <w:b/>
          <w:sz w:val="20"/>
        </w:rPr>
        <w:t>suit </w:t>
      </w:r>
      <w:r>
        <w:rPr>
          <w:sz w:val="20"/>
        </w:rPr>
        <w:t>ends, and </w:t>
      </w:r>
      <w:r>
        <w:rPr>
          <w:b/>
          <w:sz w:val="20"/>
        </w:rPr>
        <w:t>we </w:t>
      </w:r>
      <w:r>
        <w:rPr>
          <w:sz w:val="20"/>
        </w:rPr>
        <w:t>may withdraw from the defense, after the applicable Limit of Liability has been exhausted by the payment of settlements, judgments or awards.</w:t>
      </w:r>
    </w:p>
    <w:p>
      <w:pPr>
        <w:pStyle w:val="BodyText"/>
        <w:spacing w:before="7"/>
        <w:rPr>
          <w:sz w:val="23"/>
        </w:rPr>
      </w:pPr>
    </w:p>
    <w:p>
      <w:pPr>
        <w:pStyle w:val="ListParagraph"/>
        <w:numPr>
          <w:ilvl w:val="0"/>
          <w:numId w:val="1"/>
        </w:numPr>
        <w:tabs>
          <w:tab w:pos="472" w:val="left" w:leader="none"/>
        </w:tabs>
        <w:spacing w:line="237" w:lineRule="auto" w:before="0" w:after="0"/>
        <w:ind w:left="472" w:right="109" w:hanging="360"/>
        <w:jc w:val="both"/>
        <w:rPr>
          <w:sz w:val="20"/>
        </w:rPr>
      </w:pPr>
      <w:r>
        <w:rPr>
          <w:sz w:val="20"/>
        </w:rPr>
        <w:t>Paragraph C. Health Insurance Portability and Affordability Act (“HIPAA”) Defense Only Coverage of Section IV.  DEFENSE COSTS AND OTHER EXPENSES is deleted in its</w:t>
      </w:r>
      <w:r>
        <w:rPr>
          <w:spacing w:val="13"/>
          <w:sz w:val="20"/>
        </w:rPr>
        <w:t> </w:t>
      </w:r>
      <w:r>
        <w:rPr>
          <w:sz w:val="20"/>
        </w:rPr>
        <w:t>entirety.</w:t>
      </w:r>
    </w:p>
    <w:p>
      <w:pPr>
        <w:pStyle w:val="BodyText"/>
        <w:spacing w:before="7"/>
        <w:rPr>
          <w:sz w:val="23"/>
        </w:rPr>
      </w:pPr>
    </w:p>
    <w:p>
      <w:pPr>
        <w:pStyle w:val="ListParagraph"/>
        <w:numPr>
          <w:ilvl w:val="0"/>
          <w:numId w:val="1"/>
        </w:numPr>
        <w:tabs>
          <w:tab w:pos="472" w:val="left" w:leader="none"/>
        </w:tabs>
        <w:spacing w:line="237" w:lineRule="auto" w:before="0" w:after="0"/>
        <w:ind w:left="472" w:right="110" w:hanging="360"/>
        <w:jc w:val="both"/>
        <w:rPr>
          <w:sz w:val="20"/>
        </w:rPr>
      </w:pPr>
      <w:r>
        <w:rPr>
          <w:sz w:val="20"/>
        </w:rPr>
        <w:t>Paragraph D. </w:t>
      </w:r>
      <w:r>
        <w:rPr>
          <w:sz w:val="20"/>
          <w:u w:val="single"/>
        </w:rPr>
        <w:t>Administrative Hearings Defense Costs</w:t>
      </w:r>
      <w:r>
        <w:rPr>
          <w:sz w:val="20"/>
        </w:rPr>
        <w:t> of Section IV. DEFENSE COSTS AND OTHER EXPENSES is deleted in its</w:t>
      </w:r>
      <w:r>
        <w:rPr>
          <w:spacing w:val="5"/>
          <w:sz w:val="20"/>
        </w:rPr>
        <w:t> </w:t>
      </w:r>
      <w:r>
        <w:rPr>
          <w:sz w:val="20"/>
        </w:rPr>
        <w:t>entirety.</w:t>
      </w:r>
    </w:p>
    <w:p>
      <w:pPr>
        <w:pStyle w:val="BodyText"/>
        <w:spacing w:before="7"/>
        <w:rPr>
          <w:sz w:val="23"/>
        </w:rPr>
      </w:pPr>
    </w:p>
    <w:p>
      <w:pPr>
        <w:pStyle w:val="ListParagraph"/>
        <w:numPr>
          <w:ilvl w:val="0"/>
          <w:numId w:val="1"/>
        </w:numPr>
        <w:tabs>
          <w:tab w:pos="472" w:val="left" w:leader="none"/>
        </w:tabs>
        <w:spacing w:line="237" w:lineRule="auto" w:before="0" w:after="0"/>
        <w:ind w:left="472" w:right="109" w:hanging="360"/>
        <w:jc w:val="both"/>
        <w:rPr>
          <w:sz w:val="20"/>
        </w:rPr>
      </w:pPr>
      <w:r>
        <w:rPr>
          <w:sz w:val="20"/>
        </w:rPr>
        <w:t>Paragraph C. </w:t>
      </w:r>
      <w:r>
        <w:rPr>
          <w:sz w:val="20"/>
          <w:u w:val="single"/>
        </w:rPr>
        <w:t>U.S. Department of Health &amp; Human Services (HHS)</w:t>
      </w:r>
      <w:r>
        <w:rPr>
          <w:sz w:val="20"/>
        </w:rPr>
        <w:t> of Section V. GENERAL POLICY EXCLUSIONS APPLICABLE TO ALL COVERAGES AND BENEFITS is deleted in its entirety  and replaced with the</w:t>
      </w:r>
      <w:r>
        <w:rPr>
          <w:spacing w:val="3"/>
          <w:sz w:val="20"/>
        </w:rPr>
        <w:t> </w:t>
      </w:r>
      <w:r>
        <w:rPr>
          <w:sz w:val="20"/>
        </w:rPr>
        <w:t>following:</w:t>
      </w:r>
    </w:p>
    <w:p>
      <w:pPr>
        <w:pStyle w:val="BodyText"/>
        <w:spacing w:before="4"/>
        <w:rPr>
          <w:sz w:val="23"/>
        </w:rPr>
      </w:pPr>
    </w:p>
    <w:p>
      <w:pPr>
        <w:pStyle w:val="BodyText"/>
        <w:spacing w:before="1"/>
        <w:ind w:left="472"/>
      </w:pPr>
      <w:r>
        <w:rPr/>
        <w:t>C.  </w:t>
      </w:r>
      <w:r>
        <w:rPr>
          <w:u w:val="single"/>
        </w:rPr>
        <w:t>U.S. Department of Health &amp; Human Services (HHS)</w:t>
      </w:r>
    </w:p>
    <w:p>
      <w:pPr>
        <w:pStyle w:val="BodyText"/>
        <w:spacing w:before="2"/>
        <w:rPr>
          <w:sz w:val="15"/>
        </w:rPr>
      </w:pPr>
    </w:p>
    <w:p>
      <w:pPr>
        <w:pStyle w:val="BodyText"/>
        <w:spacing w:line="237" w:lineRule="auto" w:before="103"/>
        <w:ind w:left="831" w:hanging="1"/>
      </w:pPr>
      <w:r>
        <w:rPr/>
        <w:t>Any administrative or judicial hearings initiated against an </w:t>
      </w:r>
      <w:r>
        <w:rPr>
          <w:b/>
        </w:rPr>
        <w:t>Insured </w:t>
      </w:r>
      <w:r>
        <w:rPr/>
        <w:t>by HHS or by any utilization or quality review organization under contract with HHS.</w:t>
      </w:r>
    </w:p>
    <w:p>
      <w:pPr>
        <w:pStyle w:val="BodyText"/>
        <w:spacing w:before="5"/>
        <w:rPr>
          <w:sz w:val="23"/>
        </w:rPr>
      </w:pPr>
    </w:p>
    <w:p>
      <w:pPr>
        <w:pStyle w:val="BodyText"/>
        <w:spacing w:line="242" w:lineRule="exact"/>
        <w:ind w:left="831"/>
      </w:pPr>
      <w:r>
        <w:rPr/>
        <w:t>However, this exclusion does not apply to HHS proceedings that allege the violation of Section</w:t>
      </w:r>
    </w:p>
    <w:p>
      <w:pPr>
        <w:pStyle w:val="ListParagraph"/>
        <w:numPr>
          <w:ilvl w:val="0"/>
          <w:numId w:val="2"/>
        </w:numPr>
        <w:tabs>
          <w:tab w:pos="1168" w:val="left" w:leader="none"/>
        </w:tabs>
        <w:spacing w:line="242" w:lineRule="exact" w:before="0" w:after="0"/>
        <w:ind w:left="471" w:right="0" w:firstLine="361"/>
        <w:jc w:val="left"/>
        <w:rPr>
          <w:sz w:val="20"/>
        </w:rPr>
      </w:pPr>
      <w:r>
        <w:rPr>
          <w:sz w:val="20"/>
        </w:rPr>
        <w:t>C. Health Insurance Portability and Accountability Act (“HIPAA”) Defense Only</w:t>
      </w:r>
      <w:r>
        <w:rPr>
          <w:spacing w:val="15"/>
          <w:sz w:val="20"/>
        </w:rPr>
        <w:t> </w:t>
      </w:r>
      <w:r>
        <w:rPr>
          <w:sz w:val="20"/>
        </w:rPr>
        <w:t>Coverage.</w:t>
      </w:r>
    </w:p>
    <w:p>
      <w:pPr>
        <w:pStyle w:val="BodyText"/>
        <w:spacing w:before="5"/>
        <w:rPr>
          <w:sz w:val="23"/>
        </w:rPr>
      </w:pPr>
    </w:p>
    <w:p>
      <w:pPr>
        <w:pStyle w:val="ListParagraph"/>
        <w:numPr>
          <w:ilvl w:val="0"/>
          <w:numId w:val="2"/>
        </w:numPr>
        <w:tabs>
          <w:tab w:pos="472" w:val="left" w:leader="none"/>
        </w:tabs>
        <w:spacing w:line="240" w:lineRule="auto" w:before="0" w:after="0"/>
        <w:ind w:left="471" w:right="0" w:hanging="359"/>
        <w:jc w:val="left"/>
        <w:rPr>
          <w:sz w:val="20"/>
        </w:rPr>
      </w:pPr>
      <w:r>
        <w:rPr>
          <w:sz w:val="20"/>
        </w:rPr>
        <w:t>Paragraph A. </w:t>
      </w:r>
      <w:r>
        <w:rPr>
          <w:b/>
          <w:sz w:val="20"/>
        </w:rPr>
        <w:t>Administrative Entity </w:t>
      </w:r>
      <w:r>
        <w:rPr>
          <w:sz w:val="20"/>
        </w:rPr>
        <w:t>of Section IX. DEFINITIONS is deleted in its</w:t>
      </w:r>
      <w:r>
        <w:rPr>
          <w:spacing w:val="12"/>
          <w:sz w:val="20"/>
        </w:rPr>
        <w:t> </w:t>
      </w:r>
      <w:r>
        <w:rPr>
          <w:sz w:val="20"/>
        </w:rPr>
        <w:t>entirety.</w:t>
      </w:r>
    </w:p>
    <w:p>
      <w:pPr>
        <w:pStyle w:val="BodyText"/>
        <w:spacing w:before="4"/>
        <w:rPr>
          <w:sz w:val="23"/>
        </w:rPr>
      </w:pPr>
    </w:p>
    <w:p>
      <w:pPr>
        <w:pStyle w:val="ListParagraph"/>
        <w:numPr>
          <w:ilvl w:val="0"/>
          <w:numId w:val="2"/>
        </w:numPr>
        <w:tabs>
          <w:tab w:pos="472" w:val="left" w:leader="none"/>
        </w:tabs>
        <w:spacing w:line="240" w:lineRule="auto" w:before="1" w:after="0"/>
        <w:ind w:left="471" w:right="0" w:hanging="360"/>
        <w:jc w:val="left"/>
        <w:rPr>
          <w:sz w:val="20"/>
        </w:rPr>
      </w:pPr>
      <w:r>
        <w:rPr>
          <w:sz w:val="20"/>
        </w:rPr>
        <w:t>Paragraph B. </w:t>
      </w:r>
      <w:r>
        <w:rPr>
          <w:b/>
          <w:sz w:val="20"/>
        </w:rPr>
        <w:t>Administrative Hearing(s) </w:t>
      </w:r>
      <w:r>
        <w:rPr>
          <w:sz w:val="20"/>
        </w:rPr>
        <w:t>of Section IX. DEFINITIONS is deleted in its</w:t>
      </w:r>
      <w:r>
        <w:rPr>
          <w:spacing w:val="12"/>
          <w:sz w:val="20"/>
        </w:rPr>
        <w:t> </w:t>
      </w:r>
      <w:r>
        <w:rPr>
          <w:sz w:val="20"/>
        </w:rPr>
        <w:t>entirety.</w:t>
      </w:r>
    </w:p>
    <w:p>
      <w:pPr>
        <w:pStyle w:val="BodyText"/>
        <w:spacing w:before="7"/>
        <w:rPr>
          <w:sz w:val="23"/>
        </w:rPr>
      </w:pPr>
    </w:p>
    <w:p>
      <w:pPr>
        <w:pStyle w:val="ListParagraph"/>
        <w:numPr>
          <w:ilvl w:val="0"/>
          <w:numId w:val="2"/>
        </w:numPr>
        <w:tabs>
          <w:tab w:pos="472" w:val="left" w:leader="none"/>
        </w:tabs>
        <w:spacing w:line="237" w:lineRule="auto" w:before="0" w:after="0"/>
        <w:ind w:left="471" w:right="111" w:hanging="360"/>
        <w:jc w:val="left"/>
        <w:rPr>
          <w:sz w:val="20"/>
        </w:rPr>
      </w:pPr>
      <w:r>
        <w:rPr>
          <w:sz w:val="20"/>
        </w:rPr>
        <w:t>Paragraph G</w:t>
      </w:r>
      <w:r>
        <w:rPr>
          <w:b/>
          <w:sz w:val="20"/>
        </w:rPr>
        <w:t>. Defense Costs </w:t>
      </w:r>
      <w:r>
        <w:rPr>
          <w:sz w:val="20"/>
        </w:rPr>
        <w:t>of Section IX. DEFINITIONS is deleted in its entirety and replaced with the</w:t>
      </w:r>
      <w:r>
        <w:rPr>
          <w:spacing w:val="1"/>
          <w:sz w:val="20"/>
        </w:rPr>
        <w:t> </w:t>
      </w:r>
      <w:r>
        <w:rPr>
          <w:sz w:val="20"/>
        </w:rPr>
        <w:t>following:</w:t>
      </w:r>
    </w:p>
    <w:p>
      <w:pPr>
        <w:pStyle w:val="BodyText"/>
        <w:spacing w:before="6"/>
        <w:rPr>
          <w:sz w:val="23"/>
        </w:rPr>
      </w:pPr>
    </w:p>
    <w:p>
      <w:pPr>
        <w:spacing w:line="237" w:lineRule="auto" w:before="1"/>
        <w:ind w:left="831" w:right="164" w:hanging="360"/>
        <w:jc w:val="left"/>
        <w:rPr>
          <w:sz w:val="20"/>
        </w:rPr>
      </w:pPr>
      <w:r>
        <w:rPr>
          <w:sz w:val="20"/>
        </w:rPr>
        <w:t>G.  </w:t>
      </w:r>
      <w:r>
        <w:rPr>
          <w:b/>
          <w:sz w:val="20"/>
        </w:rPr>
        <w:t>Defense Costs: </w:t>
      </w:r>
      <w:r>
        <w:rPr>
          <w:sz w:val="20"/>
        </w:rPr>
        <w:t>means the costs and expenses incurred by </w:t>
      </w:r>
      <w:r>
        <w:rPr>
          <w:b/>
          <w:sz w:val="20"/>
        </w:rPr>
        <w:t>us </w:t>
      </w:r>
      <w:r>
        <w:rPr>
          <w:sz w:val="20"/>
        </w:rPr>
        <w:t>in connection with a legal defense of any </w:t>
      </w:r>
      <w:r>
        <w:rPr>
          <w:b/>
          <w:sz w:val="20"/>
        </w:rPr>
        <w:t>psychiatric service incident, occurrence, bodily injury, property damage, civil proceeding </w:t>
      </w:r>
      <w:r>
        <w:rPr>
          <w:sz w:val="20"/>
        </w:rPr>
        <w:t>or investigation including, but not limited to, legal fees charged by an attorney designated by </w:t>
      </w:r>
      <w:r>
        <w:rPr>
          <w:b/>
          <w:sz w:val="20"/>
        </w:rPr>
        <w:t>us </w:t>
      </w:r>
      <w:r>
        <w:rPr>
          <w:sz w:val="20"/>
        </w:rPr>
        <w:t>to investigate or defend any </w:t>
      </w:r>
      <w:r>
        <w:rPr>
          <w:b/>
          <w:sz w:val="20"/>
        </w:rPr>
        <w:t>claim </w:t>
      </w:r>
      <w:r>
        <w:rPr>
          <w:sz w:val="20"/>
        </w:rPr>
        <w:t>or </w:t>
      </w:r>
      <w:r>
        <w:rPr>
          <w:b/>
          <w:sz w:val="20"/>
        </w:rPr>
        <w:t>suit </w:t>
      </w:r>
      <w:r>
        <w:rPr>
          <w:sz w:val="20"/>
        </w:rPr>
        <w:t>brought against an </w:t>
      </w:r>
      <w:r>
        <w:rPr>
          <w:b/>
          <w:sz w:val="20"/>
        </w:rPr>
        <w:t>Insured</w:t>
      </w:r>
      <w:r>
        <w:rPr>
          <w:sz w:val="20"/>
        </w:rPr>
        <w:t>.</w:t>
      </w:r>
    </w:p>
    <w:p>
      <w:pPr>
        <w:pStyle w:val="BodyText"/>
        <w:spacing w:before="5"/>
        <w:rPr>
          <w:sz w:val="23"/>
        </w:rPr>
      </w:pPr>
    </w:p>
    <w:p>
      <w:pPr>
        <w:pStyle w:val="ListParagraph"/>
        <w:numPr>
          <w:ilvl w:val="0"/>
          <w:numId w:val="2"/>
        </w:numPr>
        <w:tabs>
          <w:tab w:pos="563" w:val="left" w:leader="none"/>
        </w:tabs>
        <w:spacing w:line="240" w:lineRule="auto" w:before="0" w:after="0"/>
        <w:ind w:left="562" w:right="0" w:hanging="450"/>
        <w:jc w:val="left"/>
        <w:rPr>
          <w:sz w:val="20"/>
        </w:rPr>
      </w:pPr>
      <w:r>
        <w:rPr>
          <w:sz w:val="20"/>
        </w:rPr>
        <w:t>Paragraph K</w:t>
      </w:r>
      <w:r>
        <w:rPr>
          <w:b/>
          <w:sz w:val="20"/>
        </w:rPr>
        <w:t>. Initiated </w:t>
      </w:r>
      <w:r>
        <w:rPr>
          <w:sz w:val="20"/>
        </w:rPr>
        <w:t>of Section IX. DEFINITIONS is deleted in its</w:t>
      </w:r>
      <w:r>
        <w:rPr>
          <w:spacing w:val="10"/>
          <w:sz w:val="20"/>
        </w:rPr>
        <w:t> </w:t>
      </w:r>
      <w:r>
        <w:rPr>
          <w:sz w:val="20"/>
        </w:rPr>
        <w:t>entirety.</w:t>
      </w:r>
    </w:p>
    <w:p>
      <w:pPr>
        <w:pStyle w:val="BodyText"/>
        <w:rPr>
          <w:sz w:val="24"/>
        </w:rPr>
      </w:pPr>
    </w:p>
    <w:p>
      <w:pPr>
        <w:pStyle w:val="BodyText"/>
        <w:rPr>
          <w:sz w:val="24"/>
        </w:rPr>
      </w:pPr>
    </w:p>
    <w:p>
      <w:pPr>
        <w:pStyle w:val="BodyText"/>
        <w:spacing w:before="9"/>
        <w:rPr>
          <w:sz w:val="18"/>
        </w:rPr>
      </w:pPr>
    </w:p>
    <w:p>
      <w:pPr>
        <w:pStyle w:val="BodyText"/>
        <w:spacing w:before="1"/>
        <w:ind w:left="112"/>
      </w:pPr>
      <w:r>
        <w:rPr/>
        <w:t>All other terms and conditions of the Policy remain the same.</w:t>
      </w: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73"/>
        <w:ind w:left="5134"/>
      </w:pPr>
      <w:r>
        <w:rPr/>
        <w:t>Authorized Representative</w:t>
      </w:r>
    </w:p>
    <w:sectPr>
      <w:pgSz w:w="12240" w:h="15840"/>
      <w:pgMar w:header="0" w:footer="738" w:top="1080" w:bottom="920" w:left="104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Univers ATT">
    <w:altName w:val="Univers ATT"/>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6.599998pt;margin-top:744.124268pt;width:70.350pt;height:12.85pt;mso-position-horizontal-relative:page;mso-position-vertical-relative:page;z-index:-3808" type="#_x0000_t202" filled="false" stroked="false">
          <v:textbox inset="0,0,0,0">
            <w:txbxContent>
              <w:p>
                <w:pPr>
                  <w:spacing w:before="20"/>
                  <w:ind w:left="20" w:right="0" w:firstLine="0"/>
                  <w:jc w:val="left"/>
                  <w:rPr>
                    <w:b/>
                    <w:sz w:val="18"/>
                  </w:rPr>
                </w:pPr>
                <w:r>
                  <w:rPr>
                    <w:b/>
                    <w:sz w:val="18"/>
                  </w:rPr>
                  <w:t>112006 (01/15)</w:t>
                </w:r>
              </w:p>
            </w:txbxContent>
          </v:textbox>
          <w10:wrap type="none"/>
        </v:shape>
      </w:pict>
    </w:r>
    <w:r>
      <w:rPr/>
      <w:pict>
        <v:shape style="position:absolute;margin-left:272.518585pt;margin-top:744.124268pt;width:51pt;height:12.85pt;mso-position-horizontal-relative:page;mso-position-vertical-relative:page;z-index:-3784" type="#_x0000_t202" filled="false" stroked="false">
          <v:textbox inset="0,0,0,0">
            <w:txbxContent>
              <w:p>
                <w:pPr>
                  <w:spacing w:before="20"/>
                  <w:ind w:left="20" w:right="0" w:firstLine="0"/>
                  <w:jc w:val="left"/>
                  <w:rPr>
                    <w:b/>
                    <w:sz w:val="18"/>
                  </w:rPr>
                </w:pPr>
                <w:r>
                  <w:rPr>
                    <w:b/>
                    <w:sz w:val="18"/>
                  </w:rPr>
                  <w:t>Page </w:t>
                </w:r>
                <w:r>
                  <w:rPr/>
                  <w:fldChar w:fldCharType="begin"/>
                </w:r>
                <w:r>
                  <w:rPr>
                    <w:b/>
                    <w:sz w:val="18"/>
                  </w:rPr>
                  <w:instrText> PAGE </w:instrText>
                </w:r>
                <w:r>
                  <w:rPr/>
                  <w:fldChar w:fldCharType="separate"/>
                </w:r>
                <w:r>
                  <w:rPr/>
                  <w:t>1</w:t>
                </w:r>
                <w:r>
                  <w:rPr/>
                  <w:fldChar w:fldCharType="end"/>
                </w:r>
                <w:r>
                  <w:rPr>
                    <w:b/>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4"/>
      <w:numFmt w:val="upperRoman"/>
      <w:lvlText w:val="%1."/>
      <w:lvlJc w:val="left"/>
      <w:pPr>
        <w:ind w:left="471" w:hanging="336"/>
        <w:jc w:val="right"/>
      </w:pPr>
      <w:rPr>
        <w:rFonts w:hint="default"/>
        <w:w w:val="100"/>
      </w:rPr>
    </w:lvl>
    <w:lvl w:ilvl="1">
      <w:start w:val="0"/>
      <w:numFmt w:val="bullet"/>
      <w:lvlText w:val="•"/>
      <w:lvlJc w:val="left"/>
      <w:pPr>
        <w:ind w:left="1448" w:hanging="336"/>
      </w:pPr>
      <w:rPr>
        <w:rFonts w:hint="default"/>
      </w:rPr>
    </w:lvl>
    <w:lvl w:ilvl="2">
      <w:start w:val="0"/>
      <w:numFmt w:val="bullet"/>
      <w:lvlText w:val="•"/>
      <w:lvlJc w:val="left"/>
      <w:pPr>
        <w:ind w:left="2416" w:hanging="336"/>
      </w:pPr>
      <w:rPr>
        <w:rFonts w:hint="default"/>
      </w:rPr>
    </w:lvl>
    <w:lvl w:ilvl="3">
      <w:start w:val="0"/>
      <w:numFmt w:val="bullet"/>
      <w:lvlText w:val="•"/>
      <w:lvlJc w:val="left"/>
      <w:pPr>
        <w:ind w:left="3384" w:hanging="336"/>
      </w:pPr>
      <w:rPr>
        <w:rFonts w:hint="default"/>
      </w:rPr>
    </w:lvl>
    <w:lvl w:ilvl="4">
      <w:start w:val="0"/>
      <w:numFmt w:val="bullet"/>
      <w:lvlText w:val="•"/>
      <w:lvlJc w:val="left"/>
      <w:pPr>
        <w:ind w:left="4352" w:hanging="336"/>
      </w:pPr>
      <w:rPr>
        <w:rFonts w:hint="default"/>
      </w:rPr>
    </w:lvl>
    <w:lvl w:ilvl="5">
      <w:start w:val="0"/>
      <w:numFmt w:val="bullet"/>
      <w:lvlText w:val="•"/>
      <w:lvlJc w:val="left"/>
      <w:pPr>
        <w:ind w:left="5320" w:hanging="336"/>
      </w:pPr>
      <w:rPr>
        <w:rFonts w:hint="default"/>
      </w:rPr>
    </w:lvl>
    <w:lvl w:ilvl="6">
      <w:start w:val="0"/>
      <w:numFmt w:val="bullet"/>
      <w:lvlText w:val="•"/>
      <w:lvlJc w:val="left"/>
      <w:pPr>
        <w:ind w:left="6288" w:hanging="336"/>
      </w:pPr>
      <w:rPr>
        <w:rFonts w:hint="default"/>
      </w:rPr>
    </w:lvl>
    <w:lvl w:ilvl="7">
      <w:start w:val="0"/>
      <w:numFmt w:val="bullet"/>
      <w:lvlText w:val="•"/>
      <w:lvlJc w:val="left"/>
      <w:pPr>
        <w:ind w:left="7256" w:hanging="336"/>
      </w:pPr>
      <w:rPr>
        <w:rFonts w:hint="default"/>
      </w:rPr>
    </w:lvl>
    <w:lvl w:ilvl="8">
      <w:start w:val="0"/>
      <w:numFmt w:val="bullet"/>
      <w:lvlText w:val="•"/>
      <w:lvlJc w:val="left"/>
      <w:pPr>
        <w:ind w:left="8224" w:hanging="336"/>
      </w:pPr>
      <w:rPr>
        <w:rFonts w:hint="default"/>
      </w:rPr>
    </w:lvl>
  </w:abstractNum>
  <w:abstractNum w:abstractNumId="0">
    <w:multiLevelType w:val="hybridMultilevel"/>
    <w:lvl w:ilvl="0">
      <w:start w:val="1"/>
      <w:numFmt w:val="upperRoman"/>
      <w:lvlText w:val="%1."/>
      <w:lvlJc w:val="left"/>
      <w:pPr>
        <w:ind w:left="472" w:hanging="360"/>
        <w:jc w:val="left"/>
      </w:pPr>
      <w:rPr>
        <w:rFonts w:hint="default" w:ascii="Univers ATT" w:hAnsi="Univers ATT" w:eastAsia="Univers ATT" w:cs="Univers ATT"/>
        <w:b/>
        <w:bCs/>
        <w:w w:val="100"/>
        <w:sz w:val="20"/>
        <w:szCs w:val="20"/>
      </w:rPr>
    </w:lvl>
    <w:lvl w:ilvl="1">
      <w:start w:val="1"/>
      <w:numFmt w:val="decimal"/>
      <w:lvlText w:val="%2."/>
      <w:lvlJc w:val="left"/>
      <w:pPr>
        <w:ind w:left="831" w:hanging="360"/>
        <w:jc w:val="left"/>
      </w:pPr>
      <w:rPr>
        <w:rFonts w:hint="default" w:ascii="Univers ATT" w:hAnsi="Univers ATT" w:eastAsia="Univers ATT" w:cs="Univers ATT"/>
        <w:spacing w:val="-1"/>
        <w:w w:val="100"/>
        <w:sz w:val="20"/>
        <w:szCs w:val="20"/>
      </w:rPr>
    </w:lvl>
    <w:lvl w:ilvl="2">
      <w:start w:val="1"/>
      <w:numFmt w:val="lowerLetter"/>
      <w:lvlText w:val="%3."/>
      <w:lvlJc w:val="left"/>
      <w:pPr>
        <w:ind w:left="1191" w:hanging="360"/>
        <w:jc w:val="left"/>
      </w:pPr>
      <w:rPr>
        <w:rFonts w:hint="default" w:ascii="Univers ATT" w:hAnsi="Univers ATT" w:eastAsia="Univers ATT" w:cs="Univers ATT"/>
        <w:w w:val="100"/>
        <w:sz w:val="20"/>
        <w:szCs w:val="20"/>
      </w:rPr>
    </w:lvl>
    <w:lvl w:ilvl="3">
      <w:start w:val="0"/>
      <w:numFmt w:val="bullet"/>
      <w:lvlText w:val="•"/>
      <w:lvlJc w:val="left"/>
      <w:pPr>
        <w:ind w:left="2332" w:hanging="360"/>
      </w:pPr>
      <w:rPr>
        <w:rFonts w:hint="default"/>
      </w:rPr>
    </w:lvl>
    <w:lvl w:ilvl="4">
      <w:start w:val="0"/>
      <w:numFmt w:val="bullet"/>
      <w:lvlText w:val="•"/>
      <w:lvlJc w:val="left"/>
      <w:pPr>
        <w:ind w:left="3465" w:hanging="360"/>
      </w:pPr>
      <w:rPr>
        <w:rFonts w:hint="default"/>
      </w:rPr>
    </w:lvl>
    <w:lvl w:ilvl="5">
      <w:start w:val="0"/>
      <w:numFmt w:val="bullet"/>
      <w:lvlText w:val="•"/>
      <w:lvlJc w:val="left"/>
      <w:pPr>
        <w:ind w:left="4597" w:hanging="360"/>
      </w:pPr>
      <w:rPr>
        <w:rFonts w:hint="default"/>
      </w:rPr>
    </w:lvl>
    <w:lvl w:ilvl="6">
      <w:start w:val="0"/>
      <w:numFmt w:val="bullet"/>
      <w:lvlText w:val="•"/>
      <w:lvlJc w:val="left"/>
      <w:pPr>
        <w:ind w:left="5730" w:hanging="360"/>
      </w:pPr>
      <w:rPr>
        <w:rFonts w:hint="default"/>
      </w:rPr>
    </w:lvl>
    <w:lvl w:ilvl="7">
      <w:start w:val="0"/>
      <w:numFmt w:val="bullet"/>
      <w:lvlText w:val="•"/>
      <w:lvlJc w:val="left"/>
      <w:pPr>
        <w:ind w:left="6862" w:hanging="360"/>
      </w:pPr>
      <w:rPr>
        <w:rFonts w:hint="default"/>
      </w:rPr>
    </w:lvl>
    <w:lvl w:ilvl="8">
      <w:start w:val="0"/>
      <w:numFmt w:val="bullet"/>
      <w:lvlText w:val="•"/>
      <w:lvlJc w:val="left"/>
      <w:pPr>
        <w:ind w:left="7995"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Univers ATT" w:hAnsi="Univers ATT" w:eastAsia="Univers ATT" w:cs="Univers ATT"/>
    </w:rPr>
  </w:style>
  <w:style w:styleId="BodyText" w:type="paragraph">
    <w:name w:val="Body Text"/>
    <w:basedOn w:val="Normal"/>
    <w:uiPriority w:val="1"/>
    <w:qFormat/>
    <w:pPr/>
    <w:rPr>
      <w:rFonts w:ascii="Univers ATT" w:hAnsi="Univers ATT" w:eastAsia="Univers ATT" w:cs="Univers ATT"/>
      <w:sz w:val="20"/>
      <w:szCs w:val="20"/>
    </w:rPr>
  </w:style>
  <w:style w:styleId="Heading1" w:type="paragraph">
    <w:name w:val="Heading 1"/>
    <w:basedOn w:val="Normal"/>
    <w:uiPriority w:val="1"/>
    <w:qFormat/>
    <w:pPr>
      <w:spacing w:before="1"/>
      <w:ind w:left="1462"/>
      <w:outlineLvl w:val="1"/>
    </w:pPr>
    <w:rPr>
      <w:rFonts w:ascii="Univers ATT" w:hAnsi="Univers ATT" w:eastAsia="Univers ATT" w:cs="Univers ATT"/>
      <w:b/>
      <w:bCs/>
      <w:sz w:val="20"/>
      <w:szCs w:val="20"/>
    </w:rPr>
  </w:style>
  <w:style w:styleId="ListParagraph" w:type="paragraph">
    <w:name w:val="List Paragraph"/>
    <w:basedOn w:val="Normal"/>
    <w:uiPriority w:val="1"/>
    <w:qFormat/>
    <w:pPr>
      <w:ind w:left="1191" w:hanging="360"/>
    </w:pPr>
    <w:rPr>
      <w:rFonts w:ascii="Univers ATT" w:hAnsi="Univers ATT" w:eastAsia="Univers ATT" w:cs="Univers ATT"/>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- 112006 _01-15_ MD Amendatory Endorsement-1-27-15.doc</dc:title>
  <dcterms:created xsi:type="dcterms:W3CDTF">2018-01-24T09:16:11Z</dcterms:created>
  <dcterms:modified xsi:type="dcterms:W3CDTF">2018-01-24T09:16:11Z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2015-02-09T00:00:00Z</vt:filetime>
  </property>
  <property fmtid="{D5CDD505-2E9C-101B-9397-08002B2CF9AE}" pid="3" name="Creator">
    <vt:lpwstr>PScript5.dll Version 5.2.2</vt:lpwstr>
  </property>
  <property fmtid="{D5CDD505-2E9C-101B-9397-08002B2CF9AE}" pid="4" name="LastSaved">
    <vt:filetime>2018-01-24T00:00:00Z</vt:filetime>
  </property>
</Properties>
</file>