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AF69A6" w:rsidP="00AF69A6">
      <w:pPr>
        <w:pStyle w:val="ListParagraph"/>
        <w:tabs>
          <w:tab w:val="left" w:pos="7425"/>
        </w:tabs>
        <w:autoSpaceDE w:val="0"/>
        <w:autoSpaceDN w:val="0"/>
        <w:adjustRightInd w:val="0"/>
        <w:spacing w:after="60"/>
        <w:ind w:left="0"/>
        <w:rPr>
          <w:rFonts w:ascii="Arial" w:hAnsi="Arial" w:cs="Arial"/>
          <w:b/>
          <w:sz w:val="20"/>
          <w:szCs w:val="20"/>
        </w:rPr>
      </w:pPr>
      <w:r>
        <w:rPr>
          <w:rFonts w:ascii="Arial" w:hAnsi="Arial" w:cs="Arial"/>
          <w:b/>
          <w:sz w:val="20"/>
          <w:szCs w:val="20"/>
        </w:rPr>
        <w:tab/>
      </w: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  This new form is used in conjunction with approved ISO property forms and offers the ability to amend the standard Limits of Insurance for various coverages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Pr="00A82BFB"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w:t>
      </w:r>
      <w:r w:rsidR="00A978B2">
        <w:rPr>
          <w:rFonts w:ascii="Arial" w:hAnsi="Arial" w:cs="Arial"/>
          <w:sz w:val="20"/>
          <w:szCs w:val="20"/>
        </w:rPr>
        <w:t>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all winery risks we write with Building and/or Busin</w:t>
      </w:r>
      <w:r w:rsidR="00A978B2">
        <w:rPr>
          <w:rFonts w:ascii="Arial" w:hAnsi="Arial" w:cs="Arial"/>
          <w:sz w:val="20"/>
          <w:szCs w:val="20"/>
        </w:rPr>
        <w:t>e</w:t>
      </w:r>
      <w:r w:rsidR="00EA1A6B" w:rsidRPr="00683F4C">
        <w:rPr>
          <w:rFonts w:ascii="Arial" w:hAnsi="Arial" w:cs="Arial"/>
          <w:sz w:val="20"/>
          <w:szCs w:val="20"/>
        </w:rPr>
        <w:t>ss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EA1A6B" w:rsidRPr="00EA1A6B" w:rsidRDefault="00EA1A6B" w:rsidP="00EA1A6B">
      <w:pPr>
        <w:autoSpaceDE w:val="0"/>
        <w:autoSpaceDN w:val="0"/>
        <w:adjustRightInd w:val="0"/>
        <w:ind w:left="72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w:t>
      </w:r>
      <w:bookmarkStart w:id="0" w:name="_GoBack"/>
      <w:r w:rsidR="002B1DA2" w:rsidRPr="00A82BFB">
        <w:rPr>
          <w:rFonts w:ascii="Arial" w:hAnsi="Arial" w:cs="Arial"/>
          <w:b/>
          <w:sz w:val="20"/>
          <w:szCs w:val="20"/>
        </w:rPr>
        <w:t>Vint</w:t>
      </w:r>
      <w:bookmarkEnd w:id="0"/>
      <w:r w:rsidR="002B1DA2" w:rsidRPr="00A82BFB">
        <w:rPr>
          <w:rFonts w:ascii="Arial" w:hAnsi="Arial" w:cs="Arial"/>
          <w:b/>
          <w:sz w:val="20"/>
          <w:szCs w:val="20"/>
        </w:rPr>
        <w:t xml:space="preserve">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7043B" w:rsidRDefault="0087043B" w:rsidP="0087043B">
      <w:pPr>
        <w:autoSpaceDE w:val="0"/>
        <w:autoSpaceDN w:val="0"/>
        <w:adjustRightInd w:val="0"/>
        <w:spacing w:after="60" w:line="240" w:lineRule="auto"/>
        <w:ind w:left="1440"/>
        <w:rPr>
          <w:rFonts w:ascii="Arial" w:hAnsi="Arial" w:cs="Arial"/>
          <w:bCs/>
          <w:sz w:val="20"/>
          <w:szCs w:val="20"/>
        </w:rPr>
      </w:pPr>
      <w:r w:rsidRPr="00E73875">
        <w:rPr>
          <w:rFonts w:ascii="Arial" w:hAnsi="Arial" w:cs="Arial"/>
          <w:bCs/>
          <w:sz w:val="20"/>
          <w:szCs w:val="20"/>
        </w:rPr>
        <w:t>Use the Business Personal Property (BPP) rate as the rate for this coverage</w:t>
      </w:r>
      <w:r>
        <w:rPr>
          <w:rFonts w:ascii="Arial" w:hAnsi="Arial" w:cs="Arial"/>
          <w:bCs/>
          <w:sz w:val="20"/>
          <w:szCs w:val="20"/>
        </w:rPr>
        <w:t xml:space="preserve"> and </w:t>
      </w:r>
      <w:r w:rsidRPr="00E73875">
        <w:rPr>
          <w:rFonts w:ascii="Arial" w:hAnsi="Arial" w:cs="Arial"/>
          <w:bCs/>
          <w:sz w:val="20"/>
          <w:szCs w:val="20"/>
        </w:rPr>
        <w:t>adjust</w:t>
      </w:r>
      <w:r>
        <w:rPr>
          <w:rFonts w:ascii="Arial" w:hAnsi="Arial" w:cs="Arial"/>
          <w:bCs/>
          <w:sz w:val="20"/>
          <w:szCs w:val="20"/>
        </w:rPr>
        <w:t xml:space="preserve"> </w:t>
      </w:r>
      <w:r w:rsidRPr="00E73875">
        <w:rPr>
          <w:rFonts w:ascii="Arial" w:hAnsi="Arial" w:cs="Arial"/>
          <w:bCs/>
          <w:sz w:val="20"/>
          <w:szCs w:val="20"/>
        </w:rPr>
        <w:t>the selected BPP rate by a factor of 0.25.</w:t>
      </w:r>
    </w:p>
    <w:p w:rsidR="00AA32C4" w:rsidRDefault="00AA32C4" w:rsidP="00EA1A6B">
      <w:pPr>
        <w:autoSpaceDE w:val="0"/>
        <w:autoSpaceDN w:val="0"/>
        <w:adjustRightInd w:val="0"/>
        <w:ind w:left="720"/>
        <w:rPr>
          <w:rFonts w:ascii="Arial" w:hAnsi="Arial" w:cs="Arial"/>
          <w:sz w:val="20"/>
          <w:szCs w:val="20"/>
        </w:rPr>
      </w:pPr>
    </w:p>
    <w:p w:rsidR="0087043B" w:rsidRPr="00A82BFB" w:rsidRDefault="0087043B"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lastRenderedPageBreak/>
        <w:t xml:space="preserve">118375 </w:t>
      </w:r>
      <w:r w:rsidR="002B1DA2" w:rsidRPr="00A82BFB">
        <w:rPr>
          <w:rFonts w:ascii="Arial" w:hAnsi="Arial" w:cs="Arial"/>
          <w:b/>
          <w:sz w:val="20"/>
          <w:szCs w:val="20"/>
        </w:rPr>
        <w:t>Beer Leakage Endorsement</w:t>
      </w:r>
      <w:r w:rsidR="000D6890" w:rsidRPr="00A82BFB">
        <w:rPr>
          <w:rFonts w:ascii="Arial" w:hAnsi="Arial" w:cs="Arial"/>
          <w:b/>
          <w:sz w:val="20"/>
          <w:szCs w:val="20"/>
        </w:rPr>
        <w:t xml:space="preserve"> </w:t>
      </w:r>
    </w:p>
    <w:p w:rsidR="00AA32C4" w:rsidRPr="00A82BFB" w:rsidRDefault="00AA32C4" w:rsidP="00455481">
      <w:pPr>
        <w:autoSpaceDE w:val="0"/>
        <w:autoSpaceDN w:val="0"/>
        <w:adjustRightInd w:val="0"/>
        <w:spacing w:after="24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118444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Vint</w:t>
      </w:r>
      <w:r w:rsidR="00A608B5">
        <w:rPr>
          <w:rFonts w:ascii="Arial" w:hAnsi="Arial" w:cs="Arial"/>
          <w:b/>
          <w:sz w:val="20"/>
          <w:szCs w:val="20"/>
        </w:rPr>
        <w:t>n</w:t>
      </w:r>
      <w:r w:rsidR="00614907" w:rsidRPr="00A82BFB">
        <w:rPr>
          <w:rFonts w:ascii="Arial" w:hAnsi="Arial" w:cs="Arial"/>
          <w:b/>
          <w:sz w:val="20"/>
          <w:szCs w:val="20"/>
        </w:rPr>
        <w:t>ers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614907" w:rsidRPr="00A82BFB" w:rsidRDefault="00614907" w:rsidP="00EA1A6B">
      <w:pPr>
        <w:autoSpaceDE w:val="0"/>
        <w:autoSpaceDN w:val="0"/>
        <w:adjustRightInd w:val="0"/>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sectPr w:rsidR="00614907" w:rsidRPr="00A82BFB" w:rsidSect="00595A86">
      <w:headerReference w:type="default" r:id="rId9"/>
      <w:footerReference w:type="default" r:id="rId10"/>
      <w:pgSz w:w="12240" w:h="15840" w:code="1"/>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96471019"/>
      <w:docPartObj>
        <w:docPartGallery w:val="Page Numbers (Bottom of Page)"/>
        <w:docPartUnique/>
      </w:docPartObj>
    </w:sdtPr>
    <w:sdtEndPr/>
    <w:sdtContent>
      <w:sdt>
        <w:sdtPr>
          <w:rPr>
            <w:sz w:val="18"/>
            <w:szCs w:val="18"/>
          </w:rPr>
          <w:id w:val="565050523"/>
          <w:docPartObj>
            <w:docPartGallery w:val="Page Numbers (Top of Page)"/>
            <w:docPartUnique/>
          </w:docPartObj>
        </w:sdtPr>
        <w:sdtEndPr/>
        <w:sdtContent>
          <w:p w:rsidR="00234708" w:rsidRPr="003A5165" w:rsidRDefault="007E5FCE" w:rsidP="000129CC">
            <w:pPr>
              <w:pStyle w:val="Footer"/>
              <w:rPr>
                <w:sz w:val="18"/>
                <w:szCs w:val="18"/>
                <w:lang w:val="fr-FR"/>
              </w:rPr>
            </w:pPr>
            <w:r w:rsidRPr="00AF69A6">
              <w:rPr>
                <w:sz w:val="18"/>
                <w:szCs w:val="18"/>
                <w:lang w:val="fr-FR"/>
              </w:rPr>
              <w:t>AIG-</w:t>
            </w:r>
            <w:r w:rsidR="00FA75E6" w:rsidRPr="00AF69A6">
              <w:rPr>
                <w:sz w:val="18"/>
                <w:szCs w:val="18"/>
                <w:lang w:val="fr-FR"/>
              </w:rPr>
              <w:t>MICROBREWERIES</w:t>
            </w:r>
            <w:r w:rsidR="003A5165" w:rsidRPr="00AF69A6">
              <w:rPr>
                <w:sz w:val="18"/>
                <w:szCs w:val="18"/>
                <w:lang w:val="fr-FR"/>
              </w:rPr>
              <w:t>-PROP-</w:t>
            </w:r>
            <w:r w:rsidR="00AF69A6" w:rsidRPr="00AF69A6">
              <w:rPr>
                <w:sz w:val="18"/>
                <w:szCs w:val="18"/>
                <w:lang w:val="fr-FR"/>
              </w:rPr>
              <w:t>NY</w:t>
            </w:r>
            <w:r w:rsidR="00234708" w:rsidRPr="00AF69A6">
              <w:rPr>
                <w:sz w:val="18"/>
                <w:szCs w:val="18"/>
                <w:lang w:val="fr-FR"/>
              </w:rPr>
              <w:t>-RU</w:t>
            </w:r>
            <w:r w:rsidR="00234708" w:rsidRPr="00AF69A6">
              <w:rPr>
                <w:sz w:val="18"/>
                <w:szCs w:val="18"/>
                <w:lang w:val="fr-FR"/>
              </w:rPr>
              <w:tab/>
            </w:r>
            <w:r w:rsidR="00234708" w:rsidRPr="00AF69A6">
              <w:rPr>
                <w:sz w:val="18"/>
                <w:szCs w:val="18"/>
                <w:lang w:val="fr-FR"/>
              </w:rPr>
              <w:tab/>
              <w:t xml:space="preserve">ED. </w:t>
            </w:r>
            <w:r w:rsidR="00AF69A6">
              <w:rPr>
                <w:sz w:val="18"/>
                <w:szCs w:val="18"/>
                <w:lang w:val="fr-FR"/>
              </w:rPr>
              <w:t>(3/16</w:t>
            </w:r>
            <w:r w:rsidR="00234708" w:rsidRPr="003A5165">
              <w:rPr>
                <w:sz w:val="18"/>
                <w:szCs w:val="18"/>
                <w:lang w:val="fr-FR"/>
              </w:rPr>
              <w:t>)</w:t>
            </w:r>
          </w:p>
          <w:p w:rsidR="00234708" w:rsidRPr="000129CC" w:rsidRDefault="00234708" w:rsidP="000129CC">
            <w:pPr>
              <w:pStyle w:val="Footer"/>
              <w:jc w:val="center"/>
              <w:rPr>
                <w:sz w:val="18"/>
                <w:szCs w:val="18"/>
              </w:rPr>
            </w:pPr>
            <w:r w:rsidRPr="003A5165">
              <w:rPr>
                <w:sz w:val="18"/>
                <w:szCs w:val="18"/>
                <w:lang w:val="fr-FR"/>
              </w:rPr>
              <w:t xml:space="preserve">Page </w:t>
            </w:r>
            <w:r w:rsidR="00635A20" w:rsidRPr="000129CC">
              <w:rPr>
                <w:b/>
                <w:sz w:val="18"/>
                <w:szCs w:val="18"/>
              </w:rPr>
              <w:fldChar w:fldCharType="begin"/>
            </w:r>
            <w:r w:rsidRPr="000129CC">
              <w:rPr>
                <w:b/>
                <w:sz w:val="18"/>
                <w:szCs w:val="18"/>
              </w:rPr>
              <w:instrText xml:space="preserve"> PAGE </w:instrText>
            </w:r>
            <w:r w:rsidR="00635A20" w:rsidRPr="000129CC">
              <w:rPr>
                <w:b/>
                <w:sz w:val="18"/>
                <w:szCs w:val="18"/>
              </w:rPr>
              <w:fldChar w:fldCharType="separate"/>
            </w:r>
            <w:r w:rsidR="00A608B5">
              <w:rPr>
                <w:b/>
                <w:noProof/>
                <w:sz w:val="18"/>
                <w:szCs w:val="18"/>
              </w:rPr>
              <w:t>2</w:t>
            </w:r>
            <w:r w:rsidR="00635A20" w:rsidRPr="000129CC">
              <w:rPr>
                <w:b/>
                <w:sz w:val="18"/>
                <w:szCs w:val="18"/>
              </w:rPr>
              <w:fldChar w:fldCharType="end"/>
            </w:r>
            <w:r w:rsidRPr="000129CC">
              <w:rPr>
                <w:sz w:val="18"/>
                <w:szCs w:val="18"/>
              </w:rPr>
              <w:t xml:space="preserve"> of </w:t>
            </w:r>
            <w:r w:rsidR="00635A20" w:rsidRPr="000129CC">
              <w:rPr>
                <w:b/>
                <w:sz w:val="18"/>
                <w:szCs w:val="18"/>
              </w:rPr>
              <w:fldChar w:fldCharType="begin"/>
            </w:r>
            <w:r w:rsidRPr="000129CC">
              <w:rPr>
                <w:b/>
                <w:sz w:val="18"/>
                <w:szCs w:val="18"/>
              </w:rPr>
              <w:instrText xml:space="preserve"> NUMPAGES  </w:instrText>
            </w:r>
            <w:r w:rsidR="00635A20" w:rsidRPr="000129CC">
              <w:rPr>
                <w:b/>
                <w:sz w:val="18"/>
                <w:szCs w:val="18"/>
              </w:rPr>
              <w:fldChar w:fldCharType="separate"/>
            </w:r>
            <w:r w:rsidR="00A608B5">
              <w:rPr>
                <w:b/>
                <w:noProof/>
                <w:sz w:val="18"/>
                <w:szCs w:val="18"/>
              </w:rPr>
              <w:t>2</w:t>
            </w:r>
            <w:r w:rsidR="00635A20" w:rsidRPr="000129CC">
              <w:rPr>
                <w:b/>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0E1F2C">
      <w:rPr>
        <w:rFonts w:ascii="Univers ATT" w:eastAsia="Times New Roman" w:hAnsi="Univers ATT" w:cs="Times New Roman"/>
        <w:b/>
        <w:smallCaps/>
        <w:sz w:val="24"/>
        <w:szCs w:val="24"/>
        <w:u w:val="single"/>
      </w:rPr>
      <w:t>Property Rule Page</w:t>
    </w:r>
    <w:r w:rsidRPr="003A5165">
      <w:rPr>
        <w:rFonts w:ascii="Univers ATT" w:eastAsia="Times New Roman" w:hAnsi="Univers ATT" w:cs="Times New Roman"/>
        <w:b/>
        <w:smallCaps/>
        <w:sz w:val="24"/>
        <w:szCs w:val="24"/>
      </w:rPr>
      <w:t xml:space="preserve">                          </w:t>
    </w:r>
    <w:r w:rsidR="002F59D8">
      <w:rPr>
        <w:rFonts w:ascii="Univers ATT" w:eastAsia="Times New Roman" w:hAnsi="Univers ATT" w:cs="Times New Roman"/>
        <w:b/>
        <w:smallCaps/>
        <w:sz w:val="24"/>
        <w:szCs w:val="24"/>
      </w:rPr>
      <w:t>New York</w:t>
    </w:r>
  </w:p>
  <w:p w:rsidR="00234708" w:rsidRDefault="00234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3F"/>
    <w:rsid w:val="000129CC"/>
    <w:rsid w:val="000362CD"/>
    <w:rsid w:val="0005158E"/>
    <w:rsid w:val="00055F7A"/>
    <w:rsid w:val="00071630"/>
    <w:rsid w:val="00084990"/>
    <w:rsid w:val="000D6890"/>
    <w:rsid w:val="000E1F2C"/>
    <w:rsid w:val="0016536A"/>
    <w:rsid w:val="001A46E6"/>
    <w:rsid w:val="001E7D15"/>
    <w:rsid w:val="001F4156"/>
    <w:rsid w:val="00234708"/>
    <w:rsid w:val="00257768"/>
    <w:rsid w:val="002B1DA2"/>
    <w:rsid w:val="002D030C"/>
    <w:rsid w:val="002E6442"/>
    <w:rsid w:val="002F59A8"/>
    <w:rsid w:val="002F59D8"/>
    <w:rsid w:val="0030511A"/>
    <w:rsid w:val="003156CA"/>
    <w:rsid w:val="00375161"/>
    <w:rsid w:val="003A5165"/>
    <w:rsid w:val="00423218"/>
    <w:rsid w:val="00426D5B"/>
    <w:rsid w:val="00436BD6"/>
    <w:rsid w:val="00455481"/>
    <w:rsid w:val="0049563C"/>
    <w:rsid w:val="004F4130"/>
    <w:rsid w:val="00511528"/>
    <w:rsid w:val="00524506"/>
    <w:rsid w:val="00526552"/>
    <w:rsid w:val="00554AC8"/>
    <w:rsid w:val="0057037D"/>
    <w:rsid w:val="00584406"/>
    <w:rsid w:val="0059257F"/>
    <w:rsid w:val="00595A86"/>
    <w:rsid w:val="005D49C7"/>
    <w:rsid w:val="005F7E25"/>
    <w:rsid w:val="00603C53"/>
    <w:rsid w:val="00614907"/>
    <w:rsid w:val="00635A20"/>
    <w:rsid w:val="006B65AB"/>
    <w:rsid w:val="006D60A2"/>
    <w:rsid w:val="006F0B45"/>
    <w:rsid w:val="00702ACB"/>
    <w:rsid w:val="00776EBE"/>
    <w:rsid w:val="007C05E6"/>
    <w:rsid w:val="007E5FCE"/>
    <w:rsid w:val="00813CD9"/>
    <w:rsid w:val="00817709"/>
    <w:rsid w:val="0084020D"/>
    <w:rsid w:val="0087043B"/>
    <w:rsid w:val="008D3A58"/>
    <w:rsid w:val="00955FA3"/>
    <w:rsid w:val="009E5B5C"/>
    <w:rsid w:val="009E5EE6"/>
    <w:rsid w:val="009F2ECE"/>
    <w:rsid w:val="00A05AAA"/>
    <w:rsid w:val="00A608B5"/>
    <w:rsid w:val="00A82BFB"/>
    <w:rsid w:val="00A978B2"/>
    <w:rsid w:val="00AA32C4"/>
    <w:rsid w:val="00AC2F30"/>
    <w:rsid w:val="00AE2E67"/>
    <w:rsid w:val="00AE521D"/>
    <w:rsid w:val="00AF69A6"/>
    <w:rsid w:val="00B02B07"/>
    <w:rsid w:val="00C74D1F"/>
    <w:rsid w:val="00CF685E"/>
    <w:rsid w:val="00D5150C"/>
    <w:rsid w:val="00D938F1"/>
    <w:rsid w:val="00E63450"/>
    <w:rsid w:val="00EA1A6B"/>
    <w:rsid w:val="00EC592E"/>
    <w:rsid w:val="00ED0655"/>
    <w:rsid w:val="00F11113"/>
    <w:rsid w:val="00F75094"/>
    <w:rsid w:val="00FA75E6"/>
    <w:rsid w:val="00FC3613"/>
    <w:rsid w:val="00FC7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CB1D8-A4EE-45CC-8991-FA576F38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3637</Characters>
  <Application>Microsoft Office Word</Application>
  <DocSecurity>0</DocSecurity>
  <Lines>77</Lines>
  <Paragraphs>52</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amarcott</dc:creator>
  <cp:lastModifiedBy>Hennessy, Gail</cp:lastModifiedBy>
  <cp:revision>9</cp:revision>
  <dcterms:created xsi:type="dcterms:W3CDTF">2016-03-02T21:51:00Z</dcterms:created>
  <dcterms:modified xsi:type="dcterms:W3CDTF">2016-03-02T22:00:00Z</dcterms:modified>
</cp:coreProperties>
</file>