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9"/>
        <w:ind w:left="1180" w:right="1083" w:firstLine="0"/>
        <w:jc w:val="center"/>
        <w:rPr>
          <w:b/>
          <w:sz w:val="20"/>
        </w:rPr>
      </w:pPr>
      <w:r>
        <w:rPr>
          <w:b/>
          <w:spacing w:val="-2"/>
          <w:sz w:val="20"/>
        </w:rPr>
        <w:t>ENDORSEMENT</w:t>
      </w:r>
    </w:p>
    <w:p>
      <w:pPr>
        <w:pStyle w:val="BodyText"/>
        <w:spacing w:before="10"/>
        <w:rPr>
          <w:b/>
          <w:sz w:val="19"/>
        </w:rPr>
      </w:pPr>
    </w:p>
    <w:p>
      <w:pPr>
        <w:spacing w:before="0"/>
        <w:ind w:left="1180" w:right="1083" w:firstLine="0"/>
        <w:jc w:val="center"/>
        <w:rPr>
          <w:b/>
          <w:sz w:val="20"/>
        </w:rPr>
      </w:pPr>
      <w:r>
        <w:rPr>
          <w:b/>
          <w:sz w:val="20"/>
        </w:rPr>
        <w:t>THIS</w:t>
      </w:r>
      <w:r>
        <w:rPr>
          <w:b/>
          <w:spacing w:val="-6"/>
          <w:sz w:val="20"/>
        </w:rPr>
        <w:t> </w:t>
      </w:r>
      <w:r>
        <w:rPr>
          <w:b/>
          <w:sz w:val="20"/>
        </w:rPr>
        <w:t>ENDORSEMENT</w:t>
      </w:r>
      <w:r>
        <w:rPr>
          <w:b/>
          <w:spacing w:val="-5"/>
          <w:sz w:val="20"/>
        </w:rPr>
        <w:t> </w:t>
      </w:r>
      <w:r>
        <w:rPr>
          <w:b/>
          <w:sz w:val="20"/>
        </w:rPr>
        <w:t>CHANGES</w:t>
      </w:r>
      <w:r>
        <w:rPr>
          <w:b/>
          <w:spacing w:val="-6"/>
          <w:sz w:val="20"/>
        </w:rPr>
        <w:t> </w:t>
      </w:r>
      <w:r>
        <w:rPr>
          <w:b/>
          <w:sz w:val="20"/>
        </w:rPr>
        <w:t>THE</w:t>
      </w:r>
      <w:r>
        <w:rPr>
          <w:b/>
          <w:spacing w:val="-6"/>
          <w:sz w:val="20"/>
        </w:rPr>
        <w:t> </w:t>
      </w:r>
      <w:r>
        <w:rPr>
          <w:b/>
          <w:sz w:val="20"/>
        </w:rPr>
        <w:t>POLICY.</w:t>
      </w:r>
      <w:r>
        <w:rPr>
          <w:b/>
          <w:spacing w:val="-8"/>
          <w:sz w:val="20"/>
        </w:rPr>
        <w:t> </w:t>
      </w:r>
      <w:r>
        <w:rPr>
          <w:b/>
          <w:sz w:val="20"/>
        </w:rPr>
        <w:t>PLEASE</w:t>
      </w:r>
      <w:r>
        <w:rPr>
          <w:b/>
          <w:spacing w:val="-8"/>
          <w:sz w:val="20"/>
        </w:rPr>
        <w:t> </w:t>
      </w:r>
      <w:r>
        <w:rPr>
          <w:b/>
          <w:sz w:val="20"/>
        </w:rPr>
        <w:t>READ</w:t>
      </w:r>
      <w:r>
        <w:rPr>
          <w:b/>
          <w:spacing w:val="-5"/>
          <w:sz w:val="20"/>
        </w:rPr>
        <w:t> </w:t>
      </w:r>
      <w:r>
        <w:rPr>
          <w:b/>
          <w:sz w:val="20"/>
        </w:rPr>
        <w:t>IT</w:t>
      </w:r>
      <w:r>
        <w:rPr>
          <w:b/>
          <w:spacing w:val="-7"/>
          <w:sz w:val="20"/>
        </w:rPr>
        <w:t> </w:t>
      </w:r>
      <w:r>
        <w:rPr>
          <w:b/>
          <w:spacing w:val="-2"/>
          <w:sz w:val="20"/>
        </w:rPr>
        <w:t>CAREFULLY.</w:t>
      </w:r>
    </w:p>
    <w:p>
      <w:pPr>
        <w:pStyle w:val="BodyText"/>
        <w:spacing w:before="1"/>
        <w:rPr>
          <w:b/>
          <w:sz w:val="20"/>
        </w:rPr>
      </w:pPr>
    </w:p>
    <w:p>
      <w:pPr>
        <w:spacing w:before="0"/>
        <w:ind w:left="219" w:right="5442" w:firstLine="0"/>
        <w:jc w:val="left"/>
        <w:rPr>
          <w:sz w:val="20"/>
        </w:rPr>
      </w:pPr>
      <w:r>
        <w:rPr>
          <w:sz w:val="20"/>
        </w:rPr>
        <w:t>This</w:t>
      </w:r>
      <w:r>
        <w:rPr>
          <w:spacing w:val="-11"/>
          <w:sz w:val="20"/>
        </w:rPr>
        <w:t> </w:t>
      </w:r>
      <w:r>
        <w:rPr>
          <w:sz w:val="20"/>
        </w:rPr>
        <w:t>endorsement,</w:t>
      </w:r>
      <w:r>
        <w:rPr>
          <w:spacing w:val="-10"/>
          <w:sz w:val="20"/>
        </w:rPr>
        <w:t> </w:t>
      </w:r>
      <w:r>
        <w:rPr>
          <w:sz w:val="20"/>
        </w:rPr>
        <w:t>effective</w:t>
      </w:r>
      <w:r>
        <w:rPr>
          <w:spacing w:val="-12"/>
          <w:sz w:val="20"/>
        </w:rPr>
        <w:t> </w:t>
      </w:r>
      <w:r>
        <w:rPr>
          <w:sz w:val="20"/>
        </w:rPr>
        <w:t>12:01</w:t>
      </w:r>
      <w:r>
        <w:rPr>
          <w:spacing w:val="-10"/>
          <w:sz w:val="20"/>
        </w:rPr>
        <w:t> </w:t>
      </w:r>
      <w:r>
        <w:rPr>
          <w:sz w:val="20"/>
        </w:rPr>
        <w:t>A.M., Forms a part of Policy No.:</w:t>
      </w:r>
    </w:p>
    <w:p>
      <w:pPr>
        <w:pStyle w:val="BodyText"/>
        <w:spacing w:before="2"/>
        <w:rPr>
          <w:sz w:val="24"/>
        </w:rPr>
      </w:pPr>
    </w:p>
    <w:p>
      <w:pPr>
        <w:pStyle w:val="Title"/>
      </w:pPr>
      <w:r>
        <w:rPr/>
        <w:t>LIQUOR</w:t>
      </w:r>
      <w:r>
        <w:rPr>
          <w:spacing w:val="-4"/>
        </w:rPr>
        <w:t> </w:t>
      </w:r>
      <w:r>
        <w:rPr/>
        <w:t>LIABILITY</w:t>
      </w:r>
      <w:r>
        <w:rPr>
          <w:spacing w:val="-4"/>
        </w:rPr>
        <w:t> </w:t>
      </w:r>
      <w:r>
        <w:rPr/>
        <w:t>EXCLUSION</w:t>
      </w:r>
      <w:r>
        <w:rPr>
          <w:spacing w:val="-3"/>
        </w:rPr>
        <w:t> </w:t>
      </w:r>
      <w:r>
        <w:rPr>
          <w:spacing w:val="-2"/>
        </w:rPr>
        <w:t>ENDORSEMENT</w:t>
      </w:r>
    </w:p>
    <w:p>
      <w:pPr>
        <w:spacing w:before="229"/>
        <w:ind w:left="220" w:right="0" w:firstLine="0"/>
        <w:jc w:val="left"/>
        <w:rPr>
          <w:sz w:val="20"/>
        </w:rPr>
      </w:pPr>
      <w:r>
        <w:rPr>
          <w:sz w:val="20"/>
        </w:rPr>
        <w:t>This</w:t>
      </w:r>
      <w:r>
        <w:rPr>
          <w:spacing w:val="-9"/>
          <w:sz w:val="20"/>
        </w:rPr>
        <w:t> </w:t>
      </w:r>
      <w:r>
        <w:rPr>
          <w:sz w:val="20"/>
        </w:rPr>
        <w:t>endorsement</w:t>
      </w:r>
      <w:r>
        <w:rPr>
          <w:spacing w:val="-7"/>
          <w:sz w:val="20"/>
        </w:rPr>
        <w:t> </w:t>
      </w:r>
      <w:r>
        <w:rPr>
          <w:sz w:val="20"/>
        </w:rPr>
        <w:t>modifies</w:t>
      </w:r>
      <w:r>
        <w:rPr>
          <w:spacing w:val="-6"/>
          <w:sz w:val="20"/>
        </w:rPr>
        <w:t> </w:t>
      </w:r>
      <w:r>
        <w:rPr>
          <w:sz w:val="20"/>
        </w:rPr>
        <w:t>insurance</w:t>
      </w:r>
      <w:r>
        <w:rPr>
          <w:spacing w:val="-9"/>
          <w:sz w:val="20"/>
        </w:rPr>
        <w:t> </w:t>
      </w:r>
      <w:r>
        <w:rPr>
          <w:sz w:val="20"/>
        </w:rPr>
        <w:t>provided</w:t>
      </w:r>
      <w:r>
        <w:rPr>
          <w:spacing w:val="-7"/>
          <w:sz w:val="20"/>
        </w:rPr>
        <w:t> </w:t>
      </w:r>
      <w:r>
        <w:rPr>
          <w:sz w:val="20"/>
        </w:rPr>
        <w:t>under</w:t>
      </w:r>
      <w:r>
        <w:rPr>
          <w:spacing w:val="-9"/>
          <w:sz w:val="20"/>
        </w:rPr>
        <w:t> </w:t>
      </w:r>
      <w:r>
        <w:rPr>
          <w:sz w:val="20"/>
        </w:rPr>
        <w:t>the</w:t>
      </w:r>
      <w:r>
        <w:rPr>
          <w:spacing w:val="-9"/>
          <w:sz w:val="20"/>
        </w:rPr>
        <w:t> </w:t>
      </w:r>
      <w:r>
        <w:rPr>
          <w:spacing w:val="-2"/>
          <w:sz w:val="20"/>
        </w:rPr>
        <w:t>following:</w:t>
      </w:r>
    </w:p>
    <w:p>
      <w:pPr>
        <w:pStyle w:val="BodyText"/>
        <w:spacing w:before="10"/>
        <w:rPr>
          <w:sz w:val="19"/>
        </w:rPr>
      </w:pPr>
    </w:p>
    <w:p>
      <w:pPr>
        <w:spacing w:before="1"/>
        <w:ind w:left="220" w:right="0" w:firstLine="0"/>
        <w:jc w:val="both"/>
        <w:rPr>
          <w:sz w:val="20"/>
        </w:rPr>
      </w:pPr>
      <w:r>
        <w:rPr>
          <w:sz w:val="20"/>
        </w:rPr>
        <w:t>EXCESS</w:t>
      </w:r>
      <w:r>
        <w:rPr>
          <w:spacing w:val="-9"/>
          <w:sz w:val="20"/>
        </w:rPr>
        <w:t> </w:t>
      </w:r>
      <w:r>
        <w:rPr>
          <w:sz w:val="20"/>
        </w:rPr>
        <w:t>LIABILITY</w:t>
      </w:r>
      <w:r>
        <w:rPr>
          <w:spacing w:val="-8"/>
          <w:sz w:val="20"/>
        </w:rPr>
        <w:t> </w:t>
      </w:r>
      <w:r>
        <w:rPr>
          <w:sz w:val="20"/>
        </w:rPr>
        <w:t>POLICY</w:t>
      </w:r>
      <w:r>
        <w:rPr>
          <w:spacing w:val="-10"/>
          <w:sz w:val="20"/>
        </w:rPr>
        <w:t> </w:t>
      </w:r>
      <w:r>
        <w:rPr>
          <w:spacing w:val="-4"/>
          <w:sz w:val="20"/>
        </w:rPr>
        <w:t>FORM</w:t>
      </w:r>
    </w:p>
    <w:p>
      <w:pPr>
        <w:pStyle w:val="BodyText"/>
      </w:pPr>
    </w:p>
    <w:p>
      <w:pPr>
        <w:pStyle w:val="BodyText"/>
      </w:pPr>
    </w:p>
    <w:p>
      <w:pPr>
        <w:pStyle w:val="BodyText"/>
        <w:rPr>
          <w:sz w:val="20"/>
        </w:rPr>
      </w:pPr>
    </w:p>
    <w:p>
      <w:pPr>
        <w:spacing w:before="1"/>
        <w:ind w:left="220" w:right="115" w:firstLine="0"/>
        <w:jc w:val="both"/>
        <w:rPr>
          <w:b/>
          <w:sz w:val="20"/>
        </w:rPr>
      </w:pPr>
      <w:r>
        <w:rPr>
          <w:b/>
          <w:sz w:val="20"/>
        </w:rPr>
        <w:t>IT IS AGREED AND UNDERSTOOD THAT TO THE EXTENT ANY COVERAGE MAY OTHERWISE BE PROVIDED UNDER THIS POLICY OR ANY OF ITS ENDORSEMENTS, THE PROVISIONS OF THIS EXCLUSION WILL SUPERSEDE.</w:t>
      </w:r>
    </w:p>
    <w:p>
      <w:pPr>
        <w:pStyle w:val="BodyText"/>
        <w:rPr>
          <w:b/>
        </w:rPr>
      </w:pPr>
    </w:p>
    <w:p>
      <w:pPr>
        <w:pStyle w:val="BodyText"/>
        <w:ind w:left="220"/>
      </w:pPr>
      <w:r>
        <w:rPr/>
        <w:t>This</w:t>
      </w:r>
      <w:r>
        <w:rPr>
          <w:spacing w:val="-4"/>
        </w:rPr>
        <w:t> </w:t>
      </w:r>
      <w:r>
        <w:rPr/>
        <w:t>policy</w:t>
      </w:r>
      <w:r>
        <w:rPr>
          <w:spacing w:val="-3"/>
        </w:rPr>
        <w:t> </w:t>
      </w:r>
      <w:r>
        <w:rPr/>
        <w:t>is</w:t>
      </w:r>
      <w:r>
        <w:rPr>
          <w:spacing w:val="-4"/>
        </w:rPr>
        <w:t> </w:t>
      </w:r>
      <w:r>
        <w:rPr/>
        <w:t>amended</w:t>
      </w:r>
      <w:r>
        <w:rPr>
          <w:spacing w:val="-4"/>
        </w:rPr>
        <w:t> </w:t>
      </w:r>
      <w:r>
        <w:rPr/>
        <w:t>as</w:t>
      </w:r>
      <w:r>
        <w:rPr>
          <w:spacing w:val="-3"/>
        </w:rPr>
        <w:t> </w:t>
      </w:r>
      <w:r>
        <w:rPr>
          <w:spacing w:val="-2"/>
        </w:rPr>
        <w:t>follows:</w:t>
      </w:r>
    </w:p>
    <w:p>
      <w:pPr>
        <w:pStyle w:val="BodyText"/>
      </w:pPr>
    </w:p>
    <w:p>
      <w:pPr>
        <w:pStyle w:val="BodyText"/>
        <w:spacing w:line="477" w:lineRule="auto" w:before="1"/>
        <w:ind w:left="220" w:right="1146"/>
      </w:pPr>
      <w:r>
        <w:rPr>
          <w:b/>
        </w:rPr>
        <w:t>Section</w:t>
      </w:r>
      <w:r>
        <w:rPr>
          <w:b/>
          <w:spacing w:val="-6"/>
        </w:rPr>
        <w:t> </w:t>
      </w:r>
      <w:r>
        <w:rPr>
          <w:b/>
        </w:rPr>
        <w:t>IV.</w:t>
      </w:r>
      <w:r>
        <w:rPr>
          <w:b/>
          <w:spacing w:val="-4"/>
        </w:rPr>
        <w:t> </w:t>
      </w:r>
      <w:r>
        <w:rPr>
          <w:b/>
        </w:rPr>
        <w:t>Exclusions</w:t>
      </w:r>
      <w:r>
        <w:rPr>
          <w:b/>
          <w:spacing w:val="-6"/>
        </w:rPr>
        <w:t> </w:t>
      </w:r>
      <w:r>
        <w:rPr/>
        <w:t>is</w:t>
      </w:r>
      <w:r>
        <w:rPr>
          <w:spacing w:val="-3"/>
        </w:rPr>
        <w:t> </w:t>
      </w:r>
      <w:r>
        <w:rPr/>
        <w:t>amended</w:t>
      </w:r>
      <w:r>
        <w:rPr>
          <w:spacing w:val="-6"/>
        </w:rPr>
        <w:t> </w:t>
      </w:r>
      <w:r>
        <w:rPr/>
        <w:t>to</w:t>
      </w:r>
      <w:r>
        <w:rPr>
          <w:spacing w:val="-6"/>
        </w:rPr>
        <w:t> </w:t>
      </w:r>
      <w:r>
        <w:rPr/>
        <w:t>include</w:t>
      </w:r>
      <w:r>
        <w:rPr>
          <w:spacing w:val="-4"/>
        </w:rPr>
        <w:t> </w:t>
      </w:r>
      <w:r>
        <w:rPr/>
        <w:t>the</w:t>
      </w:r>
      <w:r>
        <w:rPr>
          <w:spacing w:val="-4"/>
        </w:rPr>
        <w:t> </w:t>
      </w:r>
      <w:r>
        <w:rPr/>
        <w:t>following</w:t>
      </w:r>
      <w:r>
        <w:rPr>
          <w:spacing w:val="-4"/>
        </w:rPr>
        <w:t> </w:t>
      </w:r>
      <w:r>
        <w:rPr/>
        <w:t>additional</w:t>
      </w:r>
      <w:r>
        <w:rPr>
          <w:spacing w:val="-4"/>
        </w:rPr>
        <w:t> </w:t>
      </w:r>
      <w:r>
        <w:rPr/>
        <w:t>exclusions: This insurance shall not apply to:</w:t>
      </w:r>
    </w:p>
    <w:p>
      <w:pPr>
        <w:pStyle w:val="BodyText"/>
        <w:spacing w:before="3"/>
        <w:ind w:left="940"/>
      </w:pPr>
      <w:r>
        <w:rPr/>
        <w:t>Ultimate</w:t>
      </w:r>
      <w:r>
        <w:rPr>
          <w:spacing w:val="-6"/>
        </w:rPr>
        <w:t> </w:t>
      </w:r>
      <w:r>
        <w:rPr/>
        <w:t>Net</w:t>
      </w:r>
      <w:r>
        <w:rPr>
          <w:spacing w:val="-2"/>
        </w:rPr>
        <w:t> </w:t>
      </w:r>
      <w:r>
        <w:rPr/>
        <w:t>Loss</w:t>
      </w:r>
      <w:r>
        <w:rPr>
          <w:spacing w:val="-6"/>
        </w:rPr>
        <w:t> </w:t>
      </w:r>
      <w:r>
        <w:rPr/>
        <w:t>for</w:t>
      </w:r>
      <w:r>
        <w:rPr>
          <w:spacing w:val="-4"/>
        </w:rPr>
        <w:t> </w:t>
      </w:r>
      <w:r>
        <w:rPr/>
        <w:t>which</w:t>
      </w:r>
      <w:r>
        <w:rPr>
          <w:spacing w:val="-4"/>
        </w:rPr>
        <w:t> </w:t>
      </w:r>
      <w:r>
        <w:rPr/>
        <w:t>any</w:t>
      </w:r>
      <w:r>
        <w:rPr>
          <w:spacing w:val="-5"/>
        </w:rPr>
        <w:t> </w:t>
      </w:r>
      <w:r>
        <w:rPr/>
        <w:t>Insured</w:t>
      </w:r>
      <w:r>
        <w:rPr>
          <w:spacing w:val="-5"/>
        </w:rPr>
        <w:t> </w:t>
      </w:r>
      <w:r>
        <w:rPr/>
        <w:t>may</w:t>
      </w:r>
      <w:r>
        <w:rPr>
          <w:spacing w:val="-6"/>
        </w:rPr>
        <w:t> </w:t>
      </w:r>
      <w:r>
        <w:rPr/>
        <w:t>be</w:t>
      </w:r>
      <w:r>
        <w:rPr>
          <w:spacing w:val="-4"/>
        </w:rPr>
        <w:t> </w:t>
      </w:r>
      <w:r>
        <w:rPr/>
        <w:t>held</w:t>
      </w:r>
      <w:r>
        <w:rPr>
          <w:spacing w:val="-3"/>
        </w:rPr>
        <w:t> </w:t>
      </w:r>
      <w:r>
        <w:rPr/>
        <w:t>liable</w:t>
      </w:r>
      <w:r>
        <w:rPr>
          <w:spacing w:val="-4"/>
        </w:rPr>
        <w:t> </w:t>
      </w:r>
      <w:r>
        <w:rPr/>
        <w:t>by</w:t>
      </w:r>
      <w:r>
        <w:rPr>
          <w:spacing w:val="-3"/>
        </w:rPr>
        <w:t> </w:t>
      </w:r>
      <w:r>
        <w:rPr/>
        <w:t>reason</w:t>
      </w:r>
      <w:r>
        <w:rPr>
          <w:spacing w:val="-5"/>
        </w:rPr>
        <w:t> of:</w:t>
      </w:r>
    </w:p>
    <w:p>
      <w:pPr>
        <w:pStyle w:val="BodyText"/>
      </w:pPr>
    </w:p>
    <w:p>
      <w:pPr>
        <w:pStyle w:val="ListParagraph"/>
        <w:numPr>
          <w:ilvl w:val="0"/>
          <w:numId w:val="1"/>
        </w:numPr>
        <w:tabs>
          <w:tab w:pos="1300" w:val="left" w:leader="none"/>
        </w:tabs>
        <w:spacing w:line="240" w:lineRule="auto" w:before="0" w:after="0"/>
        <w:ind w:left="1299" w:right="0" w:hanging="360"/>
        <w:jc w:val="left"/>
        <w:rPr>
          <w:sz w:val="22"/>
        </w:rPr>
      </w:pPr>
      <w:r>
        <w:rPr>
          <w:sz w:val="22"/>
        </w:rPr>
        <w:t>causing</w:t>
      </w:r>
      <w:r>
        <w:rPr>
          <w:spacing w:val="-5"/>
          <w:sz w:val="22"/>
        </w:rPr>
        <w:t> </w:t>
      </w:r>
      <w:r>
        <w:rPr>
          <w:sz w:val="22"/>
        </w:rPr>
        <w:t>or</w:t>
      </w:r>
      <w:r>
        <w:rPr>
          <w:spacing w:val="-5"/>
          <w:sz w:val="22"/>
        </w:rPr>
        <w:t> </w:t>
      </w:r>
      <w:r>
        <w:rPr>
          <w:sz w:val="22"/>
        </w:rPr>
        <w:t>contributing</w:t>
      </w:r>
      <w:r>
        <w:rPr>
          <w:spacing w:val="-6"/>
          <w:sz w:val="22"/>
        </w:rPr>
        <w:t> </w:t>
      </w:r>
      <w:r>
        <w:rPr>
          <w:sz w:val="22"/>
        </w:rPr>
        <w:t>to</w:t>
      </w:r>
      <w:r>
        <w:rPr>
          <w:spacing w:val="-4"/>
          <w:sz w:val="22"/>
        </w:rPr>
        <w:t> </w:t>
      </w:r>
      <w:r>
        <w:rPr>
          <w:sz w:val="22"/>
        </w:rPr>
        <w:t>the</w:t>
      </w:r>
      <w:r>
        <w:rPr>
          <w:spacing w:val="-6"/>
          <w:sz w:val="22"/>
        </w:rPr>
        <w:t> </w:t>
      </w:r>
      <w:r>
        <w:rPr>
          <w:sz w:val="22"/>
        </w:rPr>
        <w:t>intoxication</w:t>
      </w:r>
      <w:r>
        <w:rPr>
          <w:spacing w:val="-6"/>
          <w:sz w:val="22"/>
        </w:rPr>
        <w:t> </w:t>
      </w:r>
      <w:r>
        <w:rPr>
          <w:sz w:val="22"/>
        </w:rPr>
        <w:t>of</w:t>
      </w:r>
      <w:r>
        <w:rPr>
          <w:spacing w:val="-5"/>
          <w:sz w:val="22"/>
        </w:rPr>
        <w:t> </w:t>
      </w:r>
      <w:r>
        <w:rPr>
          <w:sz w:val="22"/>
        </w:rPr>
        <w:t>any</w:t>
      </w:r>
      <w:r>
        <w:rPr>
          <w:spacing w:val="-6"/>
          <w:sz w:val="22"/>
        </w:rPr>
        <w:t> </w:t>
      </w:r>
      <w:r>
        <w:rPr>
          <w:spacing w:val="-2"/>
          <w:sz w:val="22"/>
        </w:rPr>
        <w:t>person;</w:t>
      </w:r>
    </w:p>
    <w:p>
      <w:pPr>
        <w:pStyle w:val="BodyText"/>
      </w:pPr>
    </w:p>
    <w:p>
      <w:pPr>
        <w:pStyle w:val="ListParagraph"/>
        <w:numPr>
          <w:ilvl w:val="0"/>
          <w:numId w:val="1"/>
        </w:numPr>
        <w:tabs>
          <w:tab w:pos="1300" w:val="left" w:leader="none"/>
        </w:tabs>
        <w:spacing w:line="240" w:lineRule="auto" w:before="1" w:after="0"/>
        <w:ind w:left="1300" w:right="120" w:hanging="361"/>
        <w:jc w:val="left"/>
        <w:rPr>
          <w:sz w:val="22"/>
        </w:rPr>
      </w:pPr>
      <w:r>
        <w:rPr>
          <w:sz w:val="22"/>
        </w:rPr>
        <w:t>the</w:t>
      </w:r>
      <w:r>
        <w:rPr>
          <w:spacing w:val="36"/>
          <w:sz w:val="22"/>
        </w:rPr>
        <w:t> </w:t>
      </w:r>
      <w:r>
        <w:rPr>
          <w:sz w:val="22"/>
        </w:rPr>
        <w:t>furnishing</w:t>
      </w:r>
      <w:r>
        <w:rPr>
          <w:spacing w:val="36"/>
          <w:sz w:val="22"/>
        </w:rPr>
        <w:t> </w:t>
      </w:r>
      <w:r>
        <w:rPr>
          <w:sz w:val="22"/>
        </w:rPr>
        <w:t>of</w:t>
      </w:r>
      <w:r>
        <w:rPr>
          <w:spacing w:val="37"/>
          <w:sz w:val="22"/>
        </w:rPr>
        <w:t> </w:t>
      </w:r>
      <w:r>
        <w:rPr>
          <w:sz w:val="22"/>
        </w:rPr>
        <w:t>alcoholic</w:t>
      </w:r>
      <w:r>
        <w:rPr>
          <w:spacing w:val="36"/>
          <w:sz w:val="22"/>
        </w:rPr>
        <w:t> </w:t>
      </w:r>
      <w:r>
        <w:rPr>
          <w:sz w:val="22"/>
        </w:rPr>
        <w:t>beverages</w:t>
      </w:r>
      <w:r>
        <w:rPr>
          <w:spacing w:val="36"/>
          <w:sz w:val="22"/>
        </w:rPr>
        <w:t> </w:t>
      </w:r>
      <w:r>
        <w:rPr>
          <w:sz w:val="22"/>
        </w:rPr>
        <w:t>to</w:t>
      </w:r>
      <w:r>
        <w:rPr>
          <w:spacing w:val="36"/>
          <w:sz w:val="22"/>
        </w:rPr>
        <w:t> </w:t>
      </w:r>
      <w:r>
        <w:rPr>
          <w:sz w:val="22"/>
        </w:rPr>
        <w:t>a</w:t>
      </w:r>
      <w:r>
        <w:rPr>
          <w:spacing w:val="33"/>
          <w:sz w:val="22"/>
        </w:rPr>
        <w:t> </w:t>
      </w:r>
      <w:r>
        <w:rPr>
          <w:sz w:val="22"/>
        </w:rPr>
        <w:t>person</w:t>
      </w:r>
      <w:r>
        <w:rPr>
          <w:spacing w:val="36"/>
          <w:sz w:val="22"/>
        </w:rPr>
        <w:t> </w:t>
      </w:r>
      <w:r>
        <w:rPr>
          <w:sz w:val="22"/>
        </w:rPr>
        <w:t>under</w:t>
      </w:r>
      <w:r>
        <w:rPr>
          <w:spacing w:val="37"/>
          <w:sz w:val="22"/>
        </w:rPr>
        <w:t> </w:t>
      </w:r>
      <w:r>
        <w:rPr>
          <w:sz w:val="22"/>
        </w:rPr>
        <w:t>the</w:t>
      </w:r>
      <w:r>
        <w:rPr>
          <w:spacing w:val="36"/>
          <w:sz w:val="22"/>
        </w:rPr>
        <w:t> </w:t>
      </w:r>
      <w:r>
        <w:rPr>
          <w:sz w:val="22"/>
        </w:rPr>
        <w:t>legal</w:t>
      </w:r>
      <w:r>
        <w:rPr>
          <w:spacing w:val="35"/>
          <w:sz w:val="22"/>
        </w:rPr>
        <w:t> </w:t>
      </w:r>
      <w:r>
        <w:rPr>
          <w:sz w:val="22"/>
        </w:rPr>
        <w:t>drinking</w:t>
      </w:r>
      <w:r>
        <w:rPr>
          <w:spacing w:val="36"/>
          <w:sz w:val="22"/>
        </w:rPr>
        <w:t> </w:t>
      </w:r>
      <w:r>
        <w:rPr>
          <w:sz w:val="22"/>
        </w:rPr>
        <w:t>age</w:t>
      </w:r>
      <w:r>
        <w:rPr>
          <w:spacing w:val="36"/>
          <w:sz w:val="22"/>
        </w:rPr>
        <w:t> </w:t>
      </w:r>
      <w:r>
        <w:rPr>
          <w:sz w:val="22"/>
        </w:rPr>
        <w:t>or under the influence of alcohol; or</w:t>
      </w:r>
    </w:p>
    <w:p>
      <w:pPr>
        <w:pStyle w:val="BodyText"/>
        <w:spacing w:before="10"/>
        <w:rPr>
          <w:sz w:val="21"/>
        </w:rPr>
      </w:pPr>
    </w:p>
    <w:p>
      <w:pPr>
        <w:pStyle w:val="ListParagraph"/>
        <w:numPr>
          <w:ilvl w:val="0"/>
          <w:numId w:val="1"/>
        </w:numPr>
        <w:tabs>
          <w:tab w:pos="1300" w:val="left" w:leader="none"/>
        </w:tabs>
        <w:spacing w:line="240" w:lineRule="auto" w:before="0" w:after="0"/>
        <w:ind w:left="1299" w:right="115" w:hanging="360"/>
        <w:jc w:val="left"/>
        <w:rPr>
          <w:sz w:val="22"/>
        </w:rPr>
      </w:pPr>
      <w:r>
        <w:rPr>
          <w:sz w:val="22"/>
        </w:rPr>
        <w:t>any</w:t>
      </w:r>
      <w:r>
        <w:rPr>
          <w:spacing w:val="34"/>
          <w:sz w:val="22"/>
        </w:rPr>
        <w:t> </w:t>
      </w:r>
      <w:r>
        <w:rPr>
          <w:sz w:val="22"/>
        </w:rPr>
        <w:t>statute,</w:t>
      </w:r>
      <w:r>
        <w:rPr>
          <w:spacing w:val="32"/>
          <w:sz w:val="22"/>
        </w:rPr>
        <w:t> </w:t>
      </w:r>
      <w:r>
        <w:rPr>
          <w:sz w:val="22"/>
        </w:rPr>
        <w:t>ordinance</w:t>
      </w:r>
      <w:r>
        <w:rPr>
          <w:spacing w:val="31"/>
          <w:sz w:val="22"/>
        </w:rPr>
        <w:t> </w:t>
      </w:r>
      <w:r>
        <w:rPr>
          <w:sz w:val="22"/>
        </w:rPr>
        <w:t>or</w:t>
      </w:r>
      <w:r>
        <w:rPr>
          <w:spacing w:val="32"/>
          <w:sz w:val="22"/>
        </w:rPr>
        <w:t> </w:t>
      </w:r>
      <w:r>
        <w:rPr>
          <w:sz w:val="22"/>
        </w:rPr>
        <w:t>regulation</w:t>
      </w:r>
      <w:r>
        <w:rPr>
          <w:spacing w:val="31"/>
          <w:sz w:val="22"/>
        </w:rPr>
        <w:t> </w:t>
      </w:r>
      <w:r>
        <w:rPr>
          <w:sz w:val="22"/>
        </w:rPr>
        <w:t>relating</w:t>
      </w:r>
      <w:r>
        <w:rPr>
          <w:spacing w:val="31"/>
          <w:sz w:val="22"/>
        </w:rPr>
        <w:t> </w:t>
      </w:r>
      <w:r>
        <w:rPr>
          <w:sz w:val="22"/>
        </w:rPr>
        <w:t>to</w:t>
      </w:r>
      <w:r>
        <w:rPr>
          <w:spacing w:val="31"/>
          <w:sz w:val="22"/>
        </w:rPr>
        <w:t> </w:t>
      </w:r>
      <w:r>
        <w:rPr>
          <w:sz w:val="22"/>
        </w:rPr>
        <w:t>the</w:t>
      </w:r>
      <w:r>
        <w:rPr>
          <w:spacing w:val="33"/>
          <w:sz w:val="22"/>
        </w:rPr>
        <w:t> </w:t>
      </w:r>
      <w:r>
        <w:rPr>
          <w:sz w:val="22"/>
        </w:rPr>
        <w:t>sale,</w:t>
      </w:r>
      <w:r>
        <w:rPr>
          <w:spacing w:val="32"/>
          <w:sz w:val="22"/>
        </w:rPr>
        <w:t> </w:t>
      </w:r>
      <w:r>
        <w:rPr>
          <w:sz w:val="22"/>
        </w:rPr>
        <w:t>gift,</w:t>
      </w:r>
      <w:r>
        <w:rPr>
          <w:spacing w:val="32"/>
          <w:sz w:val="22"/>
        </w:rPr>
        <w:t> </w:t>
      </w:r>
      <w:r>
        <w:rPr>
          <w:sz w:val="22"/>
        </w:rPr>
        <w:t>distribution</w:t>
      </w:r>
      <w:r>
        <w:rPr>
          <w:spacing w:val="33"/>
          <w:sz w:val="22"/>
        </w:rPr>
        <w:t> </w:t>
      </w:r>
      <w:r>
        <w:rPr>
          <w:sz w:val="22"/>
        </w:rPr>
        <w:t>or</w:t>
      </w:r>
      <w:r>
        <w:rPr>
          <w:spacing w:val="31"/>
          <w:sz w:val="22"/>
        </w:rPr>
        <w:t> </w:t>
      </w:r>
      <w:r>
        <w:rPr>
          <w:sz w:val="22"/>
        </w:rPr>
        <w:t>use</w:t>
      </w:r>
      <w:r>
        <w:rPr>
          <w:spacing w:val="31"/>
          <w:sz w:val="22"/>
        </w:rPr>
        <w:t> </w:t>
      </w:r>
      <w:r>
        <w:rPr>
          <w:sz w:val="22"/>
        </w:rPr>
        <w:t>of alcoholic beverages.</w:t>
      </w:r>
    </w:p>
    <w:p>
      <w:pPr>
        <w:pStyle w:val="BodyText"/>
        <w:rPr>
          <w:sz w:val="24"/>
        </w:rPr>
      </w:pPr>
    </w:p>
    <w:p>
      <w:pPr>
        <w:pStyle w:val="BodyText"/>
        <w:rPr>
          <w:sz w:val="24"/>
        </w:rPr>
      </w:pPr>
    </w:p>
    <w:p>
      <w:pPr>
        <w:pStyle w:val="BodyText"/>
        <w:rPr>
          <w:sz w:val="24"/>
        </w:rPr>
      </w:pPr>
    </w:p>
    <w:p>
      <w:pPr>
        <w:pStyle w:val="BodyText"/>
        <w:spacing w:before="185"/>
        <w:ind w:left="220"/>
      </w:pPr>
      <w:r>
        <w:rPr/>
        <w:t>All</w:t>
      </w:r>
      <w:r>
        <w:rPr>
          <w:spacing w:val="-6"/>
        </w:rPr>
        <w:t> </w:t>
      </w:r>
      <w:r>
        <w:rPr/>
        <w:t>other</w:t>
      </w:r>
      <w:r>
        <w:rPr>
          <w:spacing w:val="-7"/>
        </w:rPr>
        <w:t> </w:t>
      </w:r>
      <w:r>
        <w:rPr/>
        <w:t>terms,</w:t>
      </w:r>
      <w:r>
        <w:rPr>
          <w:spacing w:val="-4"/>
        </w:rPr>
        <w:t> </w:t>
      </w:r>
      <w:r>
        <w:rPr/>
        <w:t>definitions,</w:t>
      </w:r>
      <w:r>
        <w:rPr>
          <w:spacing w:val="-4"/>
        </w:rPr>
        <w:t> </w:t>
      </w:r>
      <w:r>
        <w:rPr/>
        <w:t>conditions,</w:t>
      </w:r>
      <w:r>
        <w:rPr>
          <w:spacing w:val="-4"/>
        </w:rPr>
        <w:t> </w:t>
      </w:r>
      <w:r>
        <w:rPr/>
        <w:t>and</w:t>
      </w:r>
      <w:r>
        <w:rPr>
          <w:spacing w:val="-6"/>
        </w:rPr>
        <w:t> </w:t>
      </w:r>
      <w:r>
        <w:rPr/>
        <w:t>exclusions</w:t>
      </w:r>
      <w:r>
        <w:rPr>
          <w:spacing w:val="-5"/>
        </w:rPr>
        <w:t> </w:t>
      </w:r>
      <w:r>
        <w:rPr/>
        <w:t>of</w:t>
      </w:r>
      <w:r>
        <w:rPr>
          <w:spacing w:val="-6"/>
        </w:rPr>
        <w:t> </w:t>
      </w:r>
      <w:r>
        <w:rPr/>
        <w:t>this</w:t>
      </w:r>
      <w:r>
        <w:rPr>
          <w:spacing w:val="-8"/>
        </w:rPr>
        <w:t> </w:t>
      </w:r>
      <w:r>
        <w:rPr/>
        <w:t>policy</w:t>
      </w:r>
      <w:r>
        <w:rPr>
          <w:spacing w:val="-5"/>
        </w:rPr>
        <w:t> </w:t>
      </w:r>
      <w:r>
        <w:rPr/>
        <w:t>remain</w:t>
      </w:r>
      <w:r>
        <w:rPr>
          <w:spacing w:val="-7"/>
        </w:rPr>
        <w:t> </w:t>
      </w:r>
      <w:r>
        <w:rPr>
          <w:spacing w:val="-2"/>
        </w:rPr>
        <w:t>unchanged.</w:t>
      </w:r>
    </w:p>
    <w:p>
      <w:pPr>
        <w:pStyle w:val="BodyText"/>
        <w:rPr>
          <w:sz w:val="20"/>
        </w:rPr>
      </w:pPr>
    </w:p>
    <w:p>
      <w:pPr>
        <w:pStyle w:val="BodyText"/>
        <w:rPr>
          <w:sz w:val="20"/>
        </w:rPr>
      </w:pPr>
    </w:p>
    <w:p>
      <w:pPr>
        <w:pStyle w:val="BodyText"/>
        <w:rPr>
          <w:sz w:val="20"/>
        </w:rPr>
      </w:pPr>
    </w:p>
    <w:p>
      <w:pPr>
        <w:pStyle w:val="BodyText"/>
        <w:spacing w:before="7"/>
        <w:rPr>
          <w:sz w:val="11"/>
        </w:rPr>
      </w:pPr>
      <w:r>
        <w:rPr/>
        <w:pict>
          <v:shape style="position:absolute;margin-left:288pt;margin-top:7.919726pt;width:216pt;height:.1pt;mso-position-horizontal-relative:page;mso-position-vertical-relative:paragraph;z-index:-15728640;mso-wrap-distance-left:0;mso-wrap-distance-right:0" id="docshape1" coordorigin="5760,158" coordsize="4320,0" path="m5760,158l10080,158e" filled="false" stroked="true" strokeweight=".88pt" strokecolor="#000000">
            <v:path arrowok="t"/>
            <v:stroke dashstyle="solid"/>
            <w10:wrap type="topAndBottom"/>
          </v:shape>
        </w:pict>
      </w:r>
    </w:p>
    <w:p>
      <w:pPr>
        <w:pStyle w:val="BodyText"/>
        <w:spacing w:before="9"/>
        <w:ind w:left="5380"/>
      </w:pPr>
      <w:r>
        <w:rPr>
          <w:spacing w:val="-2"/>
        </w:rPr>
        <w:t>Authorized</w:t>
      </w:r>
      <w:r>
        <w:rPr>
          <w:spacing w:val="-15"/>
        </w:rPr>
        <w:t> </w:t>
      </w:r>
      <w:r>
        <w:rPr>
          <w:spacing w:val="-2"/>
        </w:rPr>
        <w:t>Representative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after="1"/>
        <w:rPr>
          <w:sz w:val="1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28"/>
        <w:gridCol w:w="5760"/>
        <w:gridCol w:w="1980"/>
      </w:tblGrid>
      <w:tr>
        <w:trPr>
          <w:trHeight w:val="758" w:hRule="atLeast"/>
        </w:trPr>
        <w:tc>
          <w:tcPr>
            <w:tcW w:w="1728" w:type="dxa"/>
          </w:tcPr>
          <w:p>
            <w:pPr>
              <w:pStyle w:val="TableParagraph"/>
              <w:rPr>
                <w:sz w:val="18"/>
              </w:rPr>
            </w:pPr>
          </w:p>
          <w:p>
            <w:pPr>
              <w:pStyle w:val="TableParagraph"/>
              <w:ind w:left="107"/>
              <w:rPr>
                <w:sz w:val="18"/>
              </w:rPr>
            </w:pPr>
            <w:r>
              <w:rPr>
                <w:sz w:val="18"/>
              </w:rPr>
              <w:t>142175</w:t>
            </w:r>
            <w:r>
              <w:rPr>
                <w:spacing w:val="-3"/>
                <w:sz w:val="18"/>
              </w:rPr>
              <w:t> </w:t>
            </w:r>
            <w:r>
              <w:rPr>
                <w:spacing w:val="-2"/>
                <w:sz w:val="18"/>
              </w:rPr>
              <w:t>(4/23)</w:t>
            </w:r>
          </w:p>
        </w:tc>
        <w:tc>
          <w:tcPr>
            <w:tcW w:w="5760" w:type="dxa"/>
          </w:tcPr>
          <w:p>
            <w:pPr>
              <w:pStyle w:val="TableParagraph"/>
              <w:spacing w:before="10"/>
              <w:rPr>
                <w:sz w:val="15"/>
              </w:rPr>
            </w:pPr>
          </w:p>
          <w:p>
            <w:pPr>
              <w:pStyle w:val="TableParagraph"/>
              <w:spacing w:before="1"/>
              <w:ind w:left="1589" w:right="1578"/>
              <w:jc w:val="center"/>
              <w:rPr>
                <w:sz w:val="16"/>
              </w:rPr>
            </w:pPr>
            <w:r>
              <w:rPr>
                <w:sz w:val="16"/>
              </w:rPr>
              <w:t>©</w:t>
            </w:r>
            <w:r>
              <w:rPr>
                <w:spacing w:val="-13"/>
                <w:sz w:val="16"/>
              </w:rPr>
              <w:t> </w:t>
            </w:r>
            <w:r>
              <w:rPr>
                <w:sz w:val="16"/>
              </w:rPr>
              <w:t>American</w:t>
            </w:r>
            <w:r>
              <w:rPr>
                <w:spacing w:val="-10"/>
                <w:sz w:val="16"/>
              </w:rPr>
              <w:t> </w:t>
            </w:r>
            <w:r>
              <w:rPr>
                <w:sz w:val="16"/>
              </w:rPr>
              <w:t>International</w:t>
            </w:r>
            <w:r>
              <w:rPr>
                <w:spacing w:val="-8"/>
                <w:sz w:val="16"/>
              </w:rPr>
              <w:t> </w:t>
            </w:r>
            <w:r>
              <w:rPr>
                <w:sz w:val="16"/>
              </w:rPr>
              <w:t>Group,</w:t>
            </w:r>
            <w:r>
              <w:rPr>
                <w:spacing w:val="-10"/>
                <w:sz w:val="16"/>
              </w:rPr>
              <w:t> </w:t>
            </w:r>
            <w:r>
              <w:rPr>
                <w:spacing w:val="-4"/>
                <w:sz w:val="16"/>
              </w:rPr>
              <w:t>Inc.</w:t>
            </w:r>
          </w:p>
          <w:p>
            <w:pPr>
              <w:pStyle w:val="TableParagraph"/>
              <w:ind w:left="1583" w:right="1578"/>
              <w:jc w:val="center"/>
              <w:rPr>
                <w:sz w:val="16"/>
              </w:rPr>
            </w:pPr>
            <w:r>
              <w:rPr>
                <w:sz w:val="16"/>
              </w:rPr>
              <w:t>All</w:t>
            </w:r>
            <w:r>
              <w:rPr>
                <w:spacing w:val="-5"/>
                <w:sz w:val="16"/>
              </w:rPr>
              <w:t> </w:t>
            </w:r>
            <w:r>
              <w:rPr>
                <w:sz w:val="16"/>
              </w:rPr>
              <w:t>rights</w:t>
            </w:r>
            <w:r>
              <w:rPr>
                <w:spacing w:val="-5"/>
                <w:sz w:val="16"/>
              </w:rPr>
              <w:t> </w:t>
            </w:r>
            <w:r>
              <w:rPr>
                <w:spacing w:val="-2"/>
                <w:sz w:val="16"/>
              </w:rPr>
              <w:t>reserved.</w:t>
            </w:r>
          </w:p>
        </w:tc>
        <w:tc>
          <w:tcPr>
            <w:tcW w:w="1980" w:type="dxa"/>
          </w:tcPr>
          <w:p>
            <w:pPr>
              <w:pStyle w:val="TableParagraph"/>
              <w:rPr>
                <w:sz w:val="18"/>
              </w:rPr>
            </w:pPr>
          </w:p>
          <w:p>
            <w:pPr>
              <w:pStyle w:val="TableParagraph"/>
              <w:ind w:left="950"/>
              <w:rPr>
                <w:sz w:val="18"/>
              </w:rPr>
            </w:pPr>
            <w:r>
              <w:rPr>
                <w:sz w:val="18"/>
              </w:rPr>
              <w:t>Page 1</w:t>
            </w:r>
            <w:r>
              <w:rPr>
                <w:spacing w:val="-2"/>
                <w:sz w:val="18"/>
              </w:rPr>
              <w:t> </w:t>
            </w:r>
            <w:r>
              <w:rPr>
                <w:sz w:val="18"/>
              </w:rPr>
              <w:t>of </w:t>
            </w:r>
            <w:r>
              <w:rPr>
                <w:spacing w:val="-10"/>
                <w:sz w:val="18"/>
              </w:rPr>
              <w:t>1</w:t>
            </w:r>
          </w:p>
        </w:tc>
      </w:tr>
    </w:tbl>
    <w:sectPr>
      <w:type w:val="continuous"/>
      <w:pgSz w:w="12240" w:h="15840"/>
      <w:pgMar w:top="1360" w:bottom="280" w:left="12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299" w:hanging="360"/>
        <w:jc w:val="left"/>
      </w:pPr>
      <w:rPr>
        <w:rFonts w:hint="default" w:ascii="Arial" w:hAnsi="Arial" w:eastAsia="Arial" w:cs="Arial"/>
        <w:b w:val="0"/>
        <w:bCs w:val="0"/>
        <w:i w:val="0"/>
        <w:iCs w:val="0"/>
        <w:spacing w:val="-1"/>
        <w:w w:val="100"/>
        <w:sz w:val="22"/>
        <w:szCs w:val="22"/>
        <w:lang w:val="en-US" w:eastAsia="en-US" w:bidi="ar-SA"/>
      </w:rPr>
    </w:lvl>
    <w:lvl w:ilvl="1">
      <w:start w:val="0"/>
      <w:numFmt w:val="bullet"/>
      <w:lvlText w:val="•"/>
      <w:lvlJc w:val="left"/>
      <w:pPr>
        <w:ind w:left="2140" w:hanging="360"/>
      </w:pPr>
      <w:rPr>
        <w:rFonts w:hint="default"/>
        <w:lang w:val="en-US" w:eastAsia="en-US" w:bidi="ar-SA"/>
      </w:rPr>
    </w:lvl>
    <w:lvl w:ilvl="2">
      <w:start w:val="0"/>
      <w:numFmt w:val="bullet"/>
      <w:lvlText w:val="•"/>
      <w:lvlJc w:val="left"/>
      <w:pPr>
        <w:ind w:left="2980" w:hanging="360"/>
      </w:pPr>
      <w:rPr>
        <w:rFonts w:hint="default"/>
        <w:lang w:val="en-US" w:eastAsia="en-US" w:bidi="ar-SA"/>
      </w:rPr>
    </w:lvl>
    <w:lvl w:ilvl="3">
      <w:start w:val="0"/>
      <w:numFmt w:val="bullet"/>
      <w:lvlText w:val="•"/>
      <w:lvlJc w:val="left"/>
      <w:pPr>
        <w:ind w:left="3820" w:hanging="360"/>
      </w:pPr>
      <w:rPr>
        <w:rFonts w:hint="default"/>
        <w:lang w:val="en-US" w:eastAsia="en-US" w:bidi="ar-SA"/>
      </w:rPr>
    </w:lvl>
    <w:lvl w:ilvl="4">
      <w:start w:val="0"/>
      <w:numFmt w:val="bullet"/>
      <w:lvlText w:val="•"/>
      <w:lvlJc w:val="left"/>
      <w:pPr>
        <w:ind w:left="4660" w:hanging="360"/>
      </w:pPr>
      <w:rPr>
        <w:rFonts w:hint="default"/>
        <w:lang w:val="en-US" w:eastAsia="en-US" w:bidi="ar-SA"/>
      </w:rPr>
    </w:lvl>
    <w:lvl w:ilvl="5">
      <w:start w:val="0"/>
      <w:numFmt w:val="bullet"/>
      <w:lvlText w:val="•"/>
      <w:lvlJc w:val="left"/>
      <w:pPr>
        <w:ind w:left="5500" w:hanging="360"/>
      </w:pPr>
      <w:rPr>
        <w:rFonts w:hint="default"/>
        <w:lang w:val="en-US" w:eastAsia="en-US" w:bidi="ar-SA"/>
      </w:rPr>
    </w:lvl>
    <w:lvl w:ilvl="6">
      <w:start w:val="0"/>
      <w:numFmt w:val="bullet"/>
      <w:lvlText w:val="•"/>
      <w:lvlJc w:val="left"/>
      <w:pPr>
        <w:ind w:left="6340" w:hanging="360"/>
      </w:pPr>
      <w:rPr>
        <w:rFonts w:hint="default"/>
        <w:lang w:val="en-US" w:eastAsia="en-US" w:bidi="ar-SA"/>
      </w:rPr>
    </w:lvl>
    <w:lvl w:ilvl="7">
      <w:start w:val="0"/>
      <w:numFmt w:val="bullet"/>
      <w:lvlText w:val="•"/>
      <w:lvlJc w:val="left"/>
      <w:pPr>
        <w:ind w:left="7180" w:hanging="360"/>
      </w:pPr>
      <w:rPr>
        <w:rFonts w:hint="default"/>
        <w:lang w:val="en-US" w:eastAsia="en-US" w:bidi="ar-SA"/>
      </w:rPr>
    </w:lvl>
    <w:lvl w:ilvl="8">
      <w:start w:val="0"/>
      <w:numFmt w:val="bullet"/>
      <w:lvlText w:val="•"/>
      <w:lvlJc w:val="left"/>
      <w:pPr>
        <w:ind w:left="8020"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Title" w:type="paragraph">
    <w:name w:val="Title"/>
    <w:basedOn w:val="Normal"/>
    <w:uiPriority w:val="1"/>
    <w:qFormat/>
    <w:pPr>
      <w:ind w:left="1180" w:right="1083"/>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1299" w:hanging="360"/>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PMOONEY</dc:creator>
  <dc:title>Liquor Liability Exclusion 137046(12-21)</dc:title>
  <dcterms:created xsi:type="dcterms:W3CDTF">2023-05-15T13:27:19Z</dcterms:created>
  <dcterms:modified xsi:type="dcterms:W3CDTF">2023-05-15T13:27:19Z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ount">
    <vt:lpwstr>New Jersey Sports and Exposition Authority</vt:lpwstr>
  </property>
  <property fmtid="{D5CDD505-2E9C-101B-9397-08002B2CF9AE}" pid="3" name="Alias_Number">
    <vt:lpwstr/>
  </property>
  <property fmtid="{D5CDD505-2E9C-101B-9397-08002B2CF9AE}" pid="4" name="Authority Level">
    <vt:lpwstr>Level 2</vt:lpwstr>
  </property>
  <property fmtid="{D5CDD505-2E9C-101B-9397-08002B2CF9AE}" pid="5" name="Broadens, Restricts, Other">
    <vt:lpwstr>Restricts</vt:lpwstr>
  </property>
  <property fmtid="{D5CDD505-2E9C-101B-9397-08002B2CF9AE}" pid="6" name="Broker">
    <vt:lpwstr/>
  </property>
  <property fmtid="{D5CDD505-2E9C-101B-9397-08002B2CF9AE}" pid="7" name="Business Approver">
    <vt:lpwstr>Matthew Bateman</vt:lpwstr>
  </property>
  <property fmtid="{D5CDD505-2E9C-101B-9397-08002B2CF9AE}" pid="8" name="Country">
    <vt:lpwstr>;#US;#</vt:lpwstr>
  </property>
  <property fmtid="{D5CDD505-2E9C-101B-9397-08002B2CF9AE}" pid="9" name="Coverage Module">
    <vt:lpwstr/>
  </property>
  <property fmtid="{D5CDD505-2E9C-101B-9397-08002B2CF9AE}" pid="10" name="Created">
    <vt:filetime>2023-04-06T00:00:00Z</vt:filetime>
  </property>
  <property fmtid="{D5CDD505-2E9C-101B-9397-08002B2CF9AE}" pid="11" name="Creator">
    <vt:lpwstr>Acrobat PDFMaker 22 for Word</vt:lpwstr>
  </property>
  <property fmtid="{D5CDD505-2E9C-101B-9397-08002B2CF9AE}" pid="12" name="Description_">
    <vt:lpwstr>This endorsement excludes coverage for any Ultimate Net Loss for which any Insured may be held liable by reason of causing or contributing to the intoxication of any person, the furnishing of alcoholic beverages to a person under the legal drinking age or</vt:lpwstr>
  </property>
  <property fmtid="{D5CDD505-2E9C-101B-9397-08002B2CF9AE}" pid="13" name="DocType">
    <vt:lpwstr/>
  </property>
  <property fmtid="{D5CDD505-2E9C-101B-9397-08002B2CF9AE}" pid="14" name="EditionDt">
    <vt:lpwstr>(12/21)</vt:lpwstr>
  </property>
  <property fmtid="{D5CDD505-2E9C-101B-9397-08002B2CF9AE}" pid="15" name="EndtGroup">
    <vt:lpwstr/>
  </property>
  <property fmtid="{D5CDD505-2E9C-101B-9397-08002B2CF9AE}" pid="16" name="FI Approved">
    <vt:lpwstr/>
  </property>
  <property fmtid="{D5CDD505-2E9C-101B-9397-08002B2CF9AE}" pid="17" name="FileNext">
    <vt:lpwstr>0</vt:lpwstr>
  </property>
  <property fmtid="{D5CDD505-2E9C-101B-9397-08002B2CF9AE}" pid="18" name="Filing Process">
    <vt:lpwstr/>
  </property>
  <property fmtid="{D5CDD505-2E9C-101B-9397-08002B2CF9AE}" pid="19" name="Form">
    <vt:lpwstr>137046</vt:lpwstr>
  </property>
  <property fmtid="{D5CDD505-2E9C-101B-9397-08002B2CF9AE}" pid="20" name="Issuing Company(s)">
    <vt:lpwstr/>
  </property>
  <property fmtid="{D5CDD505-2E9C-101B-9397-08002B2CF9AE}" pid="21" name="Keywords_">
    <vt:lpwstr/>
  </property>
  <property fmtid="{D5CDD505-2E9C-101B-9397-08002B2CF9AE}" pid="22" name="LastSaved">
    <vt:filetime>2023-05-15T00:00:00Z</vt:filetime>
  </property>
  <property fmtid="{D5CDD505-2E9C-101B-9397-08002B2CF9AE}" pid="23" name="Legal Approver">
    <vt:lpwstr>Matthew Bateman</vt:lpwstr>
  </property>
  <property fmtid="{D5CDD505-2E9C-101B-9397-08002B2CF9AE}" pid="24" name="Mandatory">
    <vt:lpwstr>Optional</vt:lpwstr>
  </property>
  <property fmtid="{D5CDD505-2E9C-101B-9397-08002B2CF9AE}" pid="25" name="Obsolete">
    <vt:lpwstr>0</vt:lpwstr>
  </property>
  <property fmtid="{D5CDD505-2E9C-101B-9397-08002B2CF9AE}" pid="26" name="Order">
    <vt:lpwstr>300.000000000000</vt:lpwstr>
  </property>
  <property fmtid="{D5CDD505-2E9C-101B-9397-08002B2CF9AE}" pid="27" name="Policy Form">
    <vt:lpwstr>14</vt:lpwstr>
  </property>
  <property fmtid="{D5CDD505-2E9C-101B-9397-08002B2CF9AE}" pid="28" name="Preferred">
    <vt:lpwstr>Preferred</vt:lpwstr>
  </property>
  <property fmtid="{D5CDD505-2E9C-101B-9397-08002B2CF9AE}" pid="29" name="Producer">
    <vt:lpwstr>Adobe PDF Library 22.3.86</vt:lpwstr>
  </property>
  <property fmtid="{D5CDD505-2E9C-101B-9397-08002B2CF9AE}" pid="30" name="Rate">
    <vt:lpwstr>No</vt:lpwstr>
  </property>
  <property fmtid="{D5CDD505-2E9C-101B-9397-08002B2CF9AE}" pid="31" name="Replacement">
    <vt:lpwstr/>
  </property>
  <property fmtid="{D5CDD505-2E9C-101B-9397-08002B2CF9AE}" pid="32" name="Replacement Form #">
    <vt:lpwstr/>
  </property>
  <property fmtid="{D5CDD505-2E9C-101B-9397-08002B2CF9AE}" pid="33" name="ReviewForFiling">
    <vt:lpwstr>LSR</vt:lpwstr>
  </property>
  <property fmtid="{D5CDD505-2E9C-101B-9397-08002B2CF9AE}" pid="34" name="ReviewForFiling_Comments">
    <vt:lpwstr/>
  </property>
  <property fmtid="{D5CDD505-2E9C-101B-9397-08002B2CF9AE}" pid="35" name="Reviewed">
    <vt:lpwstr>0</vt:lpwstr>
  </property>
  <property fmtid="{D5CDD505-2E9C-101B-9397-08002B2CF9AE}" pid="36" name="Rules">
    <vt:lpwstr/>
  </property>
  <property fmtid="{D5CDD505-2E9C-101B-9397-08002B2CF9AE}" pid="37" name="SourceModified">
    <vt:lpwstr>D:20230406141409</vt:lpwstr>
  </property>
  <property fmtid="{D5CDD505-2E9C-101B-9397-08002B2CF9AE}" pid="38" name="State Approval Comments">
    <vt:lpwstr/>
  </property>
  <property fmtid="{D5CDD505-2E9C-101B-9397-08002B2CF9AE}" pid="39" name="StateFilingsDescription">
    <vt:lpwstr/>
  </property>
  <property fmtid="{D5CDD505-2E9C-101B-9397-08002B2CF9AE}" pid="40" name="Visible">
    <vt:lpwstr>1</vt:lpwstr>
  </property>
  <property fmtid="{D5CDD505-2E9C-101B-9397-08002B2CF9AE}" pid="41" name="_CopySource">
    <vt:lpwstr>+</vt:lpwstr>
  </property>
  <property fmtid="{D5CDD505-2E9C-101B-9397-08002B2CF9AE}" pid="42" name="display_urn:schemas-microsoft-com:office:office#Author">
    <vt:lpwstr>King, Ian</vt:lpwstr>
  </property>
  <property fmtid="{D5CDD505-2E9C-101B-9397-08002B2CF9AE}" pid="43" name="display_urn:schemas-microsoft-com:office:office#Editor">
    <vt:lpwstr>King, Ian</vt:lpwstr>
  </property>
</Properties>
</file>