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1421" w:right="162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1421" w:right="1621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ind w:left="460" w:right="5981"/>
      </w:pPr>
      <w:r>
        <w:rPr/>
        <w:t>This</w:t>
      </w:r>
      <w:r>
        <w:rPr>
          <w:spacing w:val="-11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2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A.M., Forms a part of Policy No.:</w:t>
      </w:r>
    </w:p>
    <w:p>
      <w:pPr>
        <w:pStyle w:val="BodyText"/>
        <w:spacing w:before="1"/>
        <w:rPr>
          <w:sz w:val="24"/>
        </w:rPr>
      </w:pPr>
    </w:p>
    <w:p>
      <w:pPr>
        <w:pStyle w:val="Title"/>
      </w:pPr>
      <w:r>
        <w:rPr/>
        <w:t>SPECIFIED</w:t>
      </w:r>
      <w:r>
        <w:rPr>
          <w:spacing w:val="-8"/>
        </w:rPr>
        <w:t> </w:t>
      </w:r>
      <w:r>
        <w:rPr/>
        <w:t>SUBLIMITED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ENDORSEMENT</w:t>
      </w:r>
    </w:p>
    <w:p>
      <w:pPr>
        <w:pStyle w:val="BodyText"/>
        <w:spacing w:before="230"/>
        <w:ind w:left="460"/>
      </w:pPr>
      <w:r>
        <w:rPr/>
        <w:t>This</w:t>
      </w:r>
      <w:r>
        <w:rPr>
          <w:spacing w:val="-9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under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2"/>
        </w:rPr>
        <w:t>following: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460"/>
      </w:pPr>
      <w:r>
        <w:rPr/>
        <w:t>EXCESS</w:t>
      </w:r>
      <w:r>
        <w:rPr>
          <w:spacing w:val="-9"/>
        </w:rPr>
        <w:t> </w:t>
      </w:r>
      <w:r>
        <w:rPr/>
        <w:t>LIABILITY</w:t>
      </w:r>
      <w:r>
        <w:rPr>
          <w:spacing w:val="-8"/>
        </w:rPr>
        <w:t> </w:t>
      </w:r>
      <w:r>
        <w:rPr/>
        <w:t>POLICY</w:t>
      </w:r>
      <w:r>
        <w:rPr>
          <w:spacing w:val="-10"/>
        </w:rPr>
        <w:t> </w:t>
      </w:r>
      <w:r>
        <w:rPr>
          <w:spacing w:val="-4"/>
        </w:rPr>
        <w:t>FORM</w:t>
      </w:r>
    </w:p>
    <w:p>
      <w:pPr>
        <w:pStyle w:val="BodyText"/>
        <w:spacing w:before="4"/>
        <w:rPr>
          <w:sz w:val="32"/>
        </w:rPr>
      </w:pPr>
    </w:p>
    <w:p>
      <w:pPr>
        <w:spacing w:before="1"/>
        <w:ind w:left="1258" w:right="1621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SCHEDULE</w:t>
      </w:r>
      <w:r>
        <w:rPr>
          <w:b/>
          <w:spacing w:val="-6"/>
          <w:sz w:val="20"/>
        </w:rPr>
        <w:t> </w:t>
      </w:r>
      <w:r>
        <w:rPr>
          <w:b/>
          <w:spacing w:val="-12"/>
          <w:sz w:val="20"/>
        </w:rPr>
        <w:t>A</w:t>
      </w:r>
    </w:p>
    <w:p>
      <w:pPr>
        <w:pStyle w:val="BodyText"/>
        <w:spacing w:before="1"/>
        <w:rPr>
          <w:b/>
          <w:sz w:val="17"/>
        </w:rPr>
      </w:pPr>
      <w:r>
        <w:rPr/>
        <w:pict>
          <v:group style="position:absolute;margin-left:54pt;margin-top:11.04807pt;width:513.7pt;height:44.5pt;mso-position-horizontal-relative:page;mso-position-vertical-relative:paragraph;z-index:-15728640;mso-wrap-distance-left:0;mso-wrap-distance-right:0" id="docshapegroup1" coordorigin="1080,221" coordsize="10274,890">
            <v:shape style="position:absolute;left:1079;top:220;width:10275;height:890" id="docshape2" coordorigin="1080,221" coordsize="10275,890" path="m11354,221l1080,221,1080,227,1080,1103,1080,1111,11354,1111,11354,1103,1089,1103,1089,227,11344,227,11344,1103,11354,1103,11354,227,11354,221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89;top:226;width:10255;height:876" type="#_x0000_t202" id="docshape3" filled="false" stroked="false">
              <v:textbox inset="0,0,0,0">
                <w:txbxContent>
                  <w:p>
                    <w:pPr>
                      <w:spacing w:line="228" w:lineRule="auto" w:before="56"/>
                      <w:ind w:left="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This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policy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applies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to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following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coverage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contained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First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Underlying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Insurance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Policy,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subject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to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 provisions of this endorsement: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0"/>
        <w:ind w:left="1255" w:right="1621" w:firstLine="0"/>
        <w:jc w:val="center"/>
        <w:rPr>
          <w:b/>
          <w:sz w:val="20"/>
        </w:rPr>
      </w:pPr>
      <w:r>
        <w:rPr/>
        <w:pict>
          <v:shape style="position:absolute;margin-left:53.649002pt;margin-top:22.60725pt;width:513.7pt;height:38.3pt;mso-position-horizontal-relative:page;mso-position-vertical-relative:paragraph;z-index:-15772672" id="docshape4" coordorigin="1073,452" coordsize="10274,766" path="m11347,452l11337,452,11337,462,11337,1202,1082,1202,1082,462,11337,462,11337,452,1073,452,1073,462,1073,1202,1073,1218,11337,1218,11337,1217,11347,1217,11347,452xe" filled="true" fillcolor="#000000" stroked="false">
            <v:path arrowok="t"/>
            <v:fill type="solid"/>
            <w10:wrap type="none"/>
          </v:shape>
        </w:pict>
      </w:r>
      <w:r>
        <w:rPr>
          <w:b/>
          <w:spacing w:val="-2"/>
          <w:sz w:val="20"/>
        </w:rPr>
        <w:t>SCHEDULE</w:t>
      </w:r>
      <w:r>
        <w:rPr>
          <w:b/>
          <w:spacing w:val="-8"/>
          <w:sz w:val="20"/>
        </w:rPr>
        <w:t> </w:t>
      </w:r>
      <w:r>
        <w:rPr>
          <w:b/>
          <w:spacing w:val="-10"/>
          <w:sz w:val="20"/>
        </w:rPr>
        <w:t>B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57"/>
        <w:gridCol w:w="2237"/>
      </w:tblGrid>
      <w:tr>
        <w:trPr>
          <w:trHeight w:val="752" w:hRule="atLeast"/>
        </w:trPr>
        <w:tc>
          <w:tcPr>
            <w:tcW w:w="5357" w:type="dxa"/>
          </w:tcPr>
          <w:p>
            <w:pPr>
              <w:pStyle w:val="TableParagraph"/>
              <w:spacing w:line="290" w:lineRule="auto" w:before="111"/>
              <w:ind w:left="50" w:right="1212"/>
              <w:rPr>
                <w:sz w:val="20"/>
              </w:rPr>
            </w:pPr>
            <w:r>
              <w:rPr>
                <w:spacing w:val="-2"/>
                <w:sz w:val="20"/>
              </w:rPr>
              <w:t>Each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Occurrence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Limit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Insurance: </w:t>
            </w:r>
            <w:r>
              <w:rPr>
                <w:sz w:val="20"/>
              </w:rPr>
              <w:t>Aggregate Limit of Insurance:</w:t>
            </w:r>
          </w:p>
        </w:tc>
        <w:tc>
          <w:tcPr>
            <w:tcW w:w="2237" w:type="dxa"/>
          </w:tcPr>
          <w:p>
            <w:pPr>
              <w:pStyle w:val="TableParagraph"/>
              <w:spacing w:before="140"/>
              <w:ind w:right="47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  <w:p>
            <w:pPr>
              <w:pStyle w:val="TableParagraph"/>
              <w:spacing w:before="53"/>
              <w:ind w:right="47"/>
              <w:jc w:val="right"/>
              <w:rPr>
                <w:sz w:val="20"/>
              </w:rPr>
            </w:pPr>
            <w:r>
              <w:rPr>
                <w:w w:val="98"/>
                <w:sz w:val="20"/>
              </w:rPr>
              <w:t>$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</w:tabs>
        <w:spacing w:line="240" w:lineRule="auto" w:before="0" w:after="0"/>
        <w:ind w:left="940" w:right="952" w:hanging="361"/>
        <w:jc w:val="both"/>
        <w:rPr>
          <w:sz w:val="20"/>
        </w:rPr>
      </w:pPr>
      <w:r>
        <w:rPr>
          <w:sz w:val="20"/>
        </w:rPr>
        <w:t>This insurance applies to the First Underlying Insurance Policy coverage listed in Schedule A above, only to the extent that valid Underlying Insurance for such exposure exists or would have existed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9"/>
          <w:sz w:val="20"/>
        </w:rPr>
        <w:t> </w:t>
      </w:r>
      <w:r>
        <w:rPr>
          <w:sz w:val="20"/>
        </w:rPr>
        <w:t>full</w:t>
      </w:r>
      <w:r>
        <w:rPr>
          <w:spacing w:val="-7"/>
          <w:sz w:val="20"/>
        </w:rPr>
        <w:t> </w:t>
      </w:r>
      <w:r>
        <w:rPr>
          <w:sz w:val="20"/>
        </w:rPr>
        <w:t>limits</w:t>
      </w:r>
      <w:r>
        <w:rPr>
          <w:spacing w:val="-7"/>
          <w:sz w:val="20"/>
        </w:rPr>
        <w:t> </w:t>
      </w:r>
      <w:r>
        <w:rPr>
          <w:sz w:val="20"/>
        </w:rPr>
        <w:t>shown</w:t>
      </w:r>
      <w:r>
        <w:rPr>
          <w:spacing w:val="-9"/>
          <w:sz w:val="20"/>
        </w:rPr>
        <w:t> </w:t>
      </w:r>
      <w:r>
        <w:rPr>
          <w:sz w:val="20"/>
        </w:rPr>
        <w:t>under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Schedule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Underlying</w:t>
      </w:r>
      <w:r>
        <w:rPr>
          <w:spacing w:val="-7"/>
          <w:sz w:val="20"/>
        </w:rPr>
        <w:t> </w:t>
      </w:r>
      <w:r>
        <w:rPr>
          <w:sz w:val="20"/>
        </w:rPr>
        <w:t>Insurance</w:t>
      </w:r>
      <w:r>
        <w:rPr>
          <w:spacing w:val="-9"/>
          <w:sz w:val="20"/>
        </w:rPr>
        <w:t> </w:t>
      </w:r>
      <w:r>
        <w:rPr>
          <w:sz w:val="20"/>
        </w:rPr>
        <w:t>but</w:t>
      </w:r>
      <w:r>
        <w:rPr>
          <w:spacing w:val="-9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exhaustion of underlying limits.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</w:tabs>
        <w:spacing w:line="240" w:lineRule="auto" w:before="134" w:after="0"/>
        <w:ind w:left="940" w:right="0" w:hanging="360"/>
        <w:jc w:val="both"/>
        <w:rPr>
          <w:sz w:val="20"/>
        </w:rPr>
      </w:pPr>
      <w:r>
        <w:rPr>
          <w:sz w:val="20"/>
        </w:rPr>
        <w:t>For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1"/>
          <w:sz w:val="20"/>
        </w:rPr>
        <w:t> </w:t>
      </w:r>
      <w:r>
        <w:rPr>
          <w:sz w:val="20"/>
        </w:rPr>
        <w:t>purposes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3"/>
          <w:sz w:val="20"/>
        </w:rPr>
        <w:t> </w:t>
      </w:r>
      <w:r>
        <w:rPr>
          <w:sz w:val="20"/>
        </w:rPr>
        <w:t>this</w:t>
      </w:r>
      <w:r>
        <w:rPr>
          <w:spacing w:val="-12"/>
          <w:sz w:val="20"/>
        </w:rPr>
        <w:t> </w:t>
      </w:r>
      <w:r>
        <w:rPr>
          <w:sz w:val="20"/>
        </w:rPr>
        <w:t>endorsement,</w:t>
      </w:r>
      <w:r>
        <w:rPr>
          <w:spacing w:val="-12"/>
          <w:sz w:val="20"/>
        </w:rPr>
        <w:t> </w:t>
      </w:r>
      <w:r>
        <w:rPr>
          <w:sz w:val="20"/>
        </w:rPr>
        <w:t>the</w:t>
      </w:r>
      <w:r>
        <w:rPr>
          <w:spacing w:val="-12"/>
          <w:sz w:val="20"/>
        </w:rPr>
        <w:t> </w:t>
      </w:r>
      <w:r>
        <w:rPr>
          <w:sz w:val="20"/>
        </w:rPr>
        <w:t>following</w:t>
      </w:r>
      <w:r>
        <w:rPr>
          <w:spacing w:val="-11"/>
          <w:sz w:val="20"/>
        </w:rPr>
        <w:t> </w:t>
      </w:r>
      <w:r>
        <w:rPr>
          <w:sz w:val="20"/>
        </w:rPr>
        <w:t>is</w:t>
      </w:r>
      <w:r>
        <w:rPr>
          <w:spacing w:val="-9"/>
          <w:sz w:val="20"/>
        </w:rPr>
        <w:t> </w:t>
      </w:r>
      <w:r>
        <w:rPr>
          <w:sz w:val="20"/>
        </w:rPr>
        <w:t>added</w:t>
      </w:r>
      <w:r>
        <w:rPr>
          <w:spacing w:val="-13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Section</w:t>
      </w:r>
      <w:r>
        <w:rPr>
          <w:spacing w:val="-13"/>
          <w:sz w:val="20"/>
        </w:rPr>
        <w:t> </w:t>
      </w:r>
      <w:r>
        <w:rPr>
          <w:b/>
          <w:sz w:val="20"/>
        </w:rPr>
        <w:t>I.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Coverage,</w:t>
      </w:r>
      <w:r>
        <w:rPr>
          <w:b/>
          <w:spacing w:val="-11"/>
          <w:sz w:val="20"/>
        </w:rPr>
        <w:t> </w:t>
      </w:r>
      <w:r>
        <w:rPr>
          <w:sz w:val="20"/>
        </w:rPr>
        <w:t>Paragraph</w:t>
      </w:r>
      <w:r>
        <w:rPr>
          <w:spacing w:val="-11"/>
          <w:sz w:val="20"/>
        </w:rPr>
        <w:t> </w:t>
      </w:r>
      <w:r>
        <w:rPr>
          <w:b/>
          <w:spacing w:val="-5"/>
          <w:sz w:val="20"/>
        </w:rPr>
        <w:t>B.</w:t>
      </w:r>
      <w:r>
        <w:rPr>
          <w:spacing w:val="-5"/>
          <w:sz w:val="20"/>
        </w:rPr>
        <w:t>:</w:t>
      </w:r>
    </w:p>
    <w:p>
      <w:pPr>
        <w:pStyle w:val="ListParagraph"/>
        <w:numPr>
          <w:ilvl w:val="1"/>
          <w:numId w:val="1"/>
        </w:numPr>
        <w:tabs>
          <w:tab w:pos="1300" w:val="left" w:leader="none"/>
        </w:tabs>
        <w:spacing w:line="228" w:lineRule="auto" w:before="84" w:after="0"/>
        <w:ind w:left="1300" w:right="962" w:hanging="360"/>
        <w:jc w:val="both"/>
        <w:rPr>
          <w:sz w:val="20"/>
        </w:rPr>
      </w:pPr>
      <w:r>
        <w:rPr>
          <w:sz w:val="20"/>
        </w:rPr>
        <w:t>The Aggregate</w:t>
      </w:r>
      <w:r>
        <w:rPr>
          <w:spacing w:val="-2"/>
          <w:sz w:val="20"/>
        </w:rPr>
        <w:t> </w:t>
      </w:r>
      <w:r>
        <w:rPr>
          <w:sz w:val="20"/>
        </w:rPr>
        <w:t>Limit of</w:t>
      </w:r>
      <w:r>
        <w:rPr>
          <w:spacing w:val="-2"/>
          <w:sz w:val="20"/>
        </w:rPr>
        <w:t> </w:t>
      </w:r>
      <w:r>
        <w:rPr>
          <w:sz w:val="20"/>
        </w:rPr>
        <w:t>Insurance</w:t>
      </w:r>
      <w:r>
        <w:rPr>
          <w:spacing w:val="-2"/>
          <w:sz w:val="20"/>
        </w:rPr>
        <w:t> </w:t>
      </w:r>
      <w:r>
        <w:rPr>
          <w:sz w:val="20"/>
        </w:rPr>
        <w:t>stated in Schedule B</w:t>
      </w:r>
      <w:r>
        <w:rPr>
          <w:spacing w:val="-2"/>
          <w:sz w:val="20"/>
        </w:rPr>
        <w:t> </w:t>
      </w:r>
      <w:r>
        <w:rPr>
          <w:sz w:val="20"/>
        </w:rPr>
        <w:t>above, is the most we</w:t>
      </w:r>
      <w:r>
        <w:rPr>
          <w:spacing w:val="-2"/>
          <w:sz w:val="20"/>
        </w:rPr>
        <w:t> </w:t>
      </w:r>
      <w:r>
        <w:rPr>
          <w:sz w:val="20"/>
        </w:rPr>
        <w:t>will</w:t>
      </w:r>
      <w:r>
        <w:rPr>
          <w:spacing w:val="-3"/>
          <w:sz w:val="20"/>
        </w:rPr>
        <w:t> </w:t>
      </w:r>
      <w:r>
        <w:rPr>
          <w:sz w:val="20"/>
        </w:rPr>
        <w:t>pay for</w:t>
      </w:r>
      <w:r>
        <w:rPr>
          <w:spacing w:val="-1"/>
          <w:sz w:val="20"/>
        </w:rPr>
        <w:t> </w:t>
      </w:r>
      <w:r>
        <w:rPr>
          <w:sz w:val="20"/>
        </w:rPr>
        <w:t>the sum of all Ultimate Net Loss for the coverage listed in Schedule A above.</w:t>
      </w:r>
    </w:p>
    <w:p>
      <w:pPr>
        <w:pStyle w:val="ListParagraph"/>
        <w:numPr>
          <w:ilvl w:val="1"/>
          <w:numId w:val="1"/>
        </w:numPr>
        <w:tabs>
          <w:tab w:pos="1300" w:val="left" w:leader="none"/>
        </w:tabs>
        <w:spacing w:line="228" w:lineRule="auto" w:before="84" w:after="0"/>
        <w:ind w:left="1300" w:right="955" w:hanging="360"/>
        <w:jc w:val="both"/>
        <w:rPr>
          <w:sz w:val="20"/>
        </w:rPr>
      </w:pPr>
      <w:r>
        <w:rPr>
          <w:sz w:val="20"/>
        </w:rPr>
        <w:t>Subject to Paragraph </w:t>
      </w:r>
      <w:r>
        <w:rPr>
          <w:b/>
          <w:sz w:val="20"/>
        </w:rPr>
        <w:t>(1) </w:t>
      </w:r>
      <w:r>
        <w:rPr>
          <w:sz w:val="20"/>
        </w:rPr>
        <w:t>above, the Each Occurrence Limit of Insurance stated in Schedule B above is the most we will pay for the sum of all Ultimate Net Loss, arising out of any one occurrence, for the coverage listed in Schedule A above.</w:t>
      </w:r>
    </w:p>
    <w:p>
      <w:pPr>
        <w:pStyle w:val="BodyText"/>
        <w:spacing w:before="81"/>
        <w:ind w:left="940" w:right="957"/>
        <w:jc w:val="both"/>
      </w:pPr>
      <w:r>
        <w:rPr/>
        <w:t>The</w:t>
      </w:r>
      <w:r>
        <w:rPr>
          <w:spacing w:val="-14"/>
        </w:rPr>
        <w:t> </w:t>
      </w:r>
      <w:r>
        <w:rPr/>
        <w:t>above</w:t>
      </w:r>
      <w:r>
        <w:rPr>
          <w:spacing w:val="-14"/>
        </w:rPr>
        <w:t> </w:t>
      </w:r>
      <w:r>
        <w:rPr/>
        <w:t>described</w:t>
      </w:r>
      <w:r>
        <w:rPr>
          <w:spacing w:val="-14"/>
        </w:rPr>
        <w:t> </w:t>
      </w:r>
      <w:r>
        <w:rPr/>
        <w:t>limits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insurance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paragraphs</w:t>
      </w:r>
      <w:r>
        <w:rPr>
          <w:spacing w:val="-14"/>
        </w:rPr>
        <w:t> </w:t>
      </w:r>
      <w:r>
        <w:rPr>
          <w:b/>
        </w:rPr>
        <w:t>(1)</w:t>
      </w:r>
      <w:r>
        <w:rPr>
          <w:b/>
          <w:spacing w:val="-14"/>
        </w:rPr>
        <w:t> </w:t>
      </w:r>
      <w:r>
        <w:rPr/>
        <w:t>and</w:t>
      </w:r>
      <w:r>
        <w:rPr>
          <w:spacing w:val="-13"/>
        </w:rPr>
        <w:t> </w:t>
      </w:r>
      <w:r>
        <w:rPr>
          <w:b/>
        </w:rPr>
        <w:t>(2)</w:t>
      </w:r>
      <w:r>
        <w:rPr>
          <w:b/>
          <w:spacing w:val="-14"/>
        </w:rPr>
        <w:t> </w:t>
      </w:r>
      <w:r>
        <w:rPr/>
        <w:t>are</w:t>
      </w:r>
      <w:r>
        <w:rPr>
          <w:spacing w:val="-14"/>
        </w:rPr>
        <w:t> </w:t>
      </w:r>
      <w:r>
        <w:rPr/>
        <w:t>subject</w:t>
      </w:r>
      <w:r>
        <w:rPr>
          <w:spacing w:val="-14"/>
        </w:rPr>
        <w:t> </w:t>
      </w:r>
      <w:r>
        <w:rPr/>
        <w:t>to,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not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addition to,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Aggregate</w:t>
      </w:r>
      <w:r>
        <w:rPr>
          <w:spacing w:val="-7"/>
        </w:rPr>
        <w:t> </w:t>
      </w:r>
      <w:r>
        <w:rPr/>
        <w:t>Limit</w:t>
      </w:r>
      <w:r>
        <w:rPr>
          <w:spacing w:val="-6"/>
        </w:rPr>
        <w:t> </w:t>
      </w:r>
      <w:r>
        <w:rPr/>
        <w:t>or</w:t>
      </w:r>
      <w:r>
        <w:rPr>
          <w:spacing w:val="-3"/>
        </w:rPr>
        <w:t> </w:t>
      </w:r>
      <w:r>
        <w:rPr/>
        <w:t>Aggregate</w:t>
      </w:r>
      <w:r>
        <w:rPr>
          <w:spacing w:val="-7"/>
        </w:rPr>
        <w:t> </w:t>
      </w:r>
      <w:r>
        <w:rPr/>
        <w:t>Limit</w:t>
      </w:r>
      <w:r>
        <w:rPr>
          <w:spacing w:val="-6"/>
        </w:rPr>
        <w:t> </w:t>
      </w:r>
      <w:r>
        <w:rPr/>
        <w:t>shown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Item</w:t>
      </w:r>
      <w:r>
        <w:rPr>
          <w:spacing w:val="-5"/>
        </w:rPr>
        <w:t> </w:t>
      </w:r>
      <w:r>
        <w:rPr/>
        <w:t>4.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Declarations</w:t>
      </w:r>
      <w:r>
        <w:rPr>
          <w:spacing w:val="-5"/>
        </w:rPr>
        <w:t> </w:t>
      </w:r>
      <w:r>
        <w:rPr/>
        <w:t>page</w:t>
      </w:r>
      <w:r>
        <w:rPr>
          <w:spacing w:val="-4"/>
        </w:rPr>
        <w:t> </w:t>
      </w:r>
      <w:r>
        <w:rPr/>
        <w:t>of this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Underlying</w:t>
      </w:r>
      <w:r>
        <w:rPr>
          <w:spacing w:val="-2"/>
        </w:rPr>
        <w:t> </w:t>
      </w:r>
      <w:r>
        <w:rPr/>
        <w:t>Insurance.</w:t>
      </w:r>
      <w:r>
        <w:rPr>
          <w:spacing w:val="-2"/>
        </w:rPr>
        <w:t> </w:t>
      </w:r>
      <w:r>
        <w:rPr/>
        <w:t>Any</w:t>
      </w:r>
      <w:r>
        <w:rPr>
          <w:spacing w:val="-3"/>
        </w:rPr>
        <w:t> </w:t>
      </w:r>
      <w:r>
        <w:rPr/>
        <w:t>payments</w:t>
      </w:r>
      <w:r>
        <w:rPr>
          <w:spacing w:val="-3"/>
        </w:rPr>
        <w:t> </w:t>
      </w:r>
      <w:r>
        <w:rPr/>
        <w:t>under</w:t>
      </w:r>
      <w:r>
        <w:rPr>
          <w:spacing w:val="-3"/>
        </w:rPr>
        <w:t> </w:t>
      </w:r>
      <w:r>
        <w:rPr/>
        <w:t>these</w:t>
      </w:r>
      <w:r>
        <w:rPr>
          <w:spacing w:val="-2"/>
        </w:rPr>
        <w:t> </w:t>
      </w:r>
      <w:r>
        <w:rPr/>
        <w:t>limits of</w:t>
      </w:r>
      <w:r>
        <w:rPr>
          <w:spacing w:val="-2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reduce</w:t>
      </w:r>
      <w:r>
        <w:rPr>
          <w:spacing w:val="-4"/>
        </w:rPr>
        <w:t> </w:t>
      </w:r>
      <w:r>
        <w:rPr/>
        <w:t>the applicable Aggregate Limit</w:t>
      </w:r>
      <w:r>
        <w:rPr>
          <w:spacing w:val="40"/>
        </w:rPr>
        <w:t> </w:t>
      </w:r>
      <w:r>
        <w:rPr/>
        <w:t>or Aggregate Limit shown in Item 4. of the Declarations page as Underlying Insurance.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459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323.996613pt;margin-top:11.09385pt;width:144.450pt;height:.1pt;mso-position-horizontal-relative:page;mso-position-vertical-relative:paragraph;z-index:-15728128;mso-wrap-distance-left:0;mso-wrap-distance-right:0" id="docshape5" coordorigin="6480,222" coordsize="2889,0" path="m6480,222l9369,222e" filled="false" stroked="true" strokeweight=".62748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ind w:left="549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tbl>
      <w:tblPr>
        <w:tblW w:w="0" w:type="auto"/>
        <w:jc w:val="left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758" w:hRule="atLeast"/>
        </w:trPr>
        <w:tc>
          <w:tcPr>
            <w:tcW w:w="1711" w:type="dxa"/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142176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(4/23)</w:t>
            </w:r>
          </w:p>
        </w:tc>
        <w:tc>
          <w:tcPr>
            <w:tcW w:w="5683" w:type="dxa"/>
          </w:tcPr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ind w:left="1548" w:right="1541"/>
              <w:jc w:val="center"/>
              <w:rPr>
                <w:sz w:val="16"/>
              </w:rPr>
            </w:pPr>
            <w:r>
              <w:rPr>
                <w:sz w:val="16"/>
              </w:rPr>
              <w:t>©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American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International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Group,</w:t>
            </w:r>
            <w:r>
              <w:rPr>
                <w:spacing w:val="-10"/>
                <w:sz w:val="16"/>
              </w:rPr>
              <w:t> </w:t>
            </w:r>
            <w:r>
              <w:rPr>
                <w:spacing w:val="-4"/>
                <w:sz w:val="16"/>
              </w:rPr>
              <w:t>Inc.</w:t>
            </w:r>
          </w:p>
          <w:p>
            <w:pPr>
              <w:pStyle w:val="TableParagraph"/>
              <w:spacing w:before="0"/>
              <w:ind w:left="1547" w:right="1541"/>
              <w:jc w:val="center"/>
              <w:rPr>
                <w:sz w:val="16"/>
              </w:rPr>
            </w:pPr>
            <w:r>
              <w:rPr>
                <w:sz w:val="16"/>
              </w:rPr>
              <w:t>All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rights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reserved.</w:t>
            </w:r>
          </w:p>
        </w:tc>
        <w:tc>
          <w:tcPr>
            <w:tcW w:w="1956" w:type="dxa"/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924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9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940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98"/>
        <w:sz w:val="20"/>
        <w:szCs w:val="20"/>
        <w:lang w:val="en-US" w:eastAsia="en-US" w:bidi="ar-SA"/>
      </w:rPr>
    </w:lvl>
    <w:lvl w:ilvl="1">
      <w:start w:val="1"/>
      <w:numFmt w:val="decimal"/>
      <w:lvlText w:val="(%2)"/>
      <w:lvlJc w:val="left"/>
      <w:pPr>
        <w:ind w:left="1300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8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4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421" w:right="1621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4"/>
      <w:ind w:left="940" w:hanging="360"/>
      <w:jc w:val="both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2023-05-15T13:28:10Z</dcterms:created>
  <dcterms:modified xsi:type="dcterms:W3CDTF">2023-05-15T13:28:10Z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2023-04-06T00:00:00Z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2023-05-15T00:00:00Z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urceModified">
    <vt:lpwstr>D:20230406141523</vt:lpwstr>
  </property>
</Properties>
</file>