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8"/>
        <w:ind w:right="1641"/>
      </w:pPr>
      <w:r>
        <w:rPr/>
        <w:t>ENDORSEMENT</w:t>
      </w:r>
    </w:p>
    <w:p>
      <w:pPr>
        <w:pStyle w:val="BodyText"/>
        <w:spacing w:before="3"/>
        <w:rPr>
          <w:b/>
          <w:sz w:val="21"/>
        </w:rPr>
      </w:pPr>
    </w:p>
    <w:p>
      <w:pPr>
        <w:spacing w:before="0"/>
        <w:ind w:left="1658" w:right="1640" w:firstLine="0"/>
        <w:jc w:val="center"/>
        <w:rPr>
          <w:b/>
          <w:sz w:val="20"/>
        </w:rPr>
      </w:pPr>
      <w:r>
        <w:rPr>
          <w:b/>
          <w:sz w:val="20"/>
        </w:rPr>
        <w:t>THIS ENDORSEMENT CHANGES THE POLICY. PLEASE READ IT CAREFULLY.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ind w:left="479" w:right="6603"/>
      </w:pPr>
      <w:bookmarkStart w:name="This endorsement, effective 12:01 a.m.  " w:id="1"/>
      <w:bookmarkEnd w:id="1"/>
      <w:r>
        <w:rPr/>
      </w:r>
      <w:r>
        <w:rPr/>
        <w:t>This endorsement, effective 12:01 a.m. forms a part of Policy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5"/>
        </w:rPr>
      </w:pPr>
    </w:p>
    <w:p>
      <w:pPr>
        <w:spacing w:before="1"/>
        <w:ind w:left="1658" w:right="1641" w:firstLine="0"/>
        <w:jc w:val="center"/>
        <w:rPr>
          <w:b/>
          <w:sz w:val="24"/>
        </w:rPr>
      </w:pPr>
      <w:r>
        <w:rPr>
          <w:b/>
          <w:sz w:val="24"/>
        </w:rPr>
        <w:t>NO RETURN PREMIUM FOR EARLY COMPLETION ENDORSEMENT</w:t>
      </w:r>
    </w:p>
    <w:p>
      <w:pPr>
        <w:pStyle w:val="BodyText"/>
        <w:spacing w:line="456" w:lineRule="exact" w:before="43"/>
        <w:ind w:left="839" w:right="3939" w:hanging="720"/>
      </w:pPr>
      <w:r>
        <w:rPr/>
        <w:t>This endorsement modifies insurance provided under the following: BUILDERS’ RISK COVERAGE FORM</w:t>
      </w:r>
    </w:p>
    <w:p>
      <w:pPr>
        <w:pStyle w:val="BodyText"/>
        <w:spacing w:line="179" w:lineRule="exact"/>
        <w:ind w:left="839"/>
      </w:pPr>
      <w:r>
        <w:rPr/>
        <w:t>COMMON POLICY CONDITIONS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39" w:val="left" w:leader="none"/>
          <w:tab w:pos="840" w:val="left" w:leader="none"/>
        </w:tabs>
        <w:spacing w:line="230" w:lineRule="auto" w:before="171" w:after="0"/>
        <w:ind w:left="839" w:right="99" w:hanging="720"/>
        <w:jc w:val="left"/>
        <w:rPr>
          <w:sz w:val="20"/>
        </w:rPr>
      </w:pPr>
      <w:r>
        <w:rPr>
          <w:sz w:val="20"/>
        </w:rPr>
        <w:t>The following Paragraph is added to the </w:t>
      </w:r>
      <w:r>
        <w:rPr>
          <w:b/>
          <w:sz w:val="20"/>
        </w:rPr>
        <w:t>OTHER CONDITIONS </w:t>
      </w:r>
      <w:r>
        <w:rPr>
          <w:sz w:val="20"/>
        </w:rPr>
        <w:t>section of the Builder’s Risk Coverage Form as follows: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1111" w:right="99" w:hanging="1"/>
        <w:jc w:val="both"/>
      </w:pPr>
      <w:r>
        <w:rPr>
          <w:b/>
        </w:rPr>
        <w:t>Premium </w:t>
      </w:r>
      <w:r>
        <w:rPr/>
        <w:t>– Premium for this policy is based on the completed value exposure for the covered “buildings or structures”.</w:t>
      </w:r>
      <w:r>
        <w:rPr>
          <w:spacing w:val="-4"/>
        </w:rPr>
        <w:t> </w:t>
      </w:r>
      <w:r>
        <w:rPr/>
        <w:t>Therefore,</w:t>
      </w:r>
      <w:r>
        <w:rPr>
          <w:spacing w:val="-4"/>
        </w:rPr>
        <w:t> </w:t>
      </w:r>
      <w:r>
        <w:rPr/>
        <w:t>completion</w:t>
      </w:r>
      <w:r>
        <w:rPr>
          <w:spacing w:val="-5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5"/>
        </w:rPr>
        <w:t> </w:t>
      </w:r>
      <w:r>
        <w:rPr/>
        <w:t>covered</w:t>
      </w:r>
      <w:r>
        <w:rPr>
          <w:spacing w:val="-5"/>
        </w:rPr>
        <w:t> </w:t>
      </w:r>
      <w:r>
        <w:rPr/>
        <w:t>“buildings</w:t>
      </w:r>
      <w:r>
        <w:rPr>
          <w:spacing w:val="-5"/>
        </w:rPr>
        <w:t> </w:t>
      </w:r>
      <w:r>
        <w:rPr/>
        <w:t>or</w:t>
      </w:r>
      <w:r>
        <w:rPr>
          <w:spacing w:val="-6"/>
        </w:rPr>
        <w:t> </w:t>
      </w:r>
      <w:r>
        <w:rPr/>
        <w:t>structures”</w:t>
      </w:r>
      <w:r>
        <w:rPr>
          <w:spacing w:val="-6"/>
        </w:rPr>
        <w:t> </w:t>
      </w:r>
      <w:r>
        <w:rPr/>
        <w:t>prior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expiration</w:t>
      </w:r>
      <w:r>
        <w:rPr>
          <w:spacing w:val="-6"/>
        </w:rPr>
        <w:t> </w:t>
      </w:r>
      <w:r>
        <w:rPr/>
        <w:t>date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this</w:t>
      </w:r>
      <w:r>
        <w:rPr>
          <w:spacing w:val="-6"/>
        </w:rPr>
        <w:t> </w:t>
      </w:r>
      <w:r>
        <w:rPr/>
        <w:t>pol- icy</w:t>
      </w:r>
      <w:r>
        <w:rPr>
          <w:spacing w:val="-11"/>
        </w:rPr>
        <w:t> </w:t>
      </w:r>
      <w:r>
        <w:rPr/>
        <w:t>will</w:t>
      </w:r>
      <w:r>
        <w:rPr>
          <w:spacing w:val="-7"/>
        </w:rPr>
        <w:t> </w:t>
      </w:r>
      <w:r>
        <w:rPr/>
        <w:t>not</w:t>
      </w:r>
      <w:r>
        <w:rPr>
          <w:spacing w:val="-6"/>
        </w:rPr>
        <w:t> </w:t>
      </w:r>
      <w:r>
        <w:rPr/>
        <w:t>result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change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rate</w:t>
      </w:r>
      <w:r>
        <w:rPr>
          <w:spacing w:val="-6"/>
        </w:rPr>
        <w:t> </w:t>
      </w:r>
      <w:r>
        <w:rPr/>
        <w:t>or</w:t>
      </w:r>
      <w:r>
        <w:rPr>
          <w:spacing w:val="-4"/>
        </w:rPr>
        <w:t> </w:t>
      </w:r>
      <w:r>
        <w:rPr/>
        <w:t>any</w:t>
      </w:r>
      <w:r>
        <w:rPr>
          <w:spacing w:val="-11"/>
        </w:rPr>
        <w:t> </w:t>
      </w:r>
      <w:r>
        <w:rPr/>
        <w:t>return</w:t>
      </w:r>
      <w:r>
        <w:rPr>
          <w:spacing w:val="-6"/>
        </w:rPr>
        <w:t> </w:t>
      </w:r>
      <w:r>
        <w:rPr/>
        <w:t>premium</w:t>
      </w:r>
      <w:r>
        <w:rPr>
          <w:spacing w:val="-1"/>
        </w:rPr>
        <w:t> </w:t>
      </w:r>
      <w:r>
        <w:rPr/>
        <w:t>to</w:t>
      </w:r>
      <w:r>
        <w:rPr>
          <w:spacing w:val="-6"/>
        </w:rPr>
        <w:t> </w:t>
      </w:r>
      <w:r>
        <w:rPr/>
        <w:t>“you”.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1"/>
        </w:numPr>
        <w:tabs>
          <w:tab w:pos="839" w:val="left" w:leader="none"/>
          <w:tab w:pos="840" w:val="left" w:leader="none"/>
        </w:tabs>
        <w:spacing w:line="240" w:lineRule="auto" w:before="0" w:after="0"/>
        <w:ind w:left="839" w:right="98" w:hanging="720"/>
        <w:jc w:val="left"/>
        <w:rPr>
          <w:sz w:val="20"/>
        </w:rPr>
      </w:pPr>
      <w:r>
        <w:rPr>
          <w:sz w:val="20"/>
        </w:rPr>
        <w:t>The first Subparagraph of Paragraph </w:t>
      </w:r>
      <w:r>
        <w:rPr>
          <w:b/>
          <w:sz w:val="20"/>
        </w:rPr>
        <w:t>2. Cancellation </w:t>
      </w:r>
      <w:r>
        <w:rPr>
          <w:sz w:val="20"/>
        </w:rPr>
        <w:t>of the COMMON POLICY CONDITIONS is amended to include the</w:t>
      </w:r>
      <w:r>
        <w:rPr>
          <w:spacing w:val="-29"/>
          <w:sz w:val="20"/>
        </w:rPr>
        <w:t> </w:t>
      </w:r>
      <w:r>
        <w:rPr>
          <w:sz w:val="20"/>
        </w:rPr>
        <w:t>following: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839"/>
      </w:pPr>
      <w:r>
        <w:rPr/>
        <w:t>However, if “you” cancel this policy based on the early completion of the “buildings or structures”, “we” will not re- fund any premium.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76"/>
        <w:ind w:left="119"/>
      </w:pPr>
      <w:r>
        <w:rPr/>
        <w:t>All other terms and conditions of the policy remain the same.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4"/>
        </w:rPr>
      </w:pPr>
      <w:r>
        <w:rPr/>
        <w:pict>
          <v:line style="position:absolute;mso-position-horizontal-relative:page;mso-position-vertical-relative:paragraph;z-index:0;mso-wrap-distance-left:0;mso-wrap-distance-right:0" from="305.975769pt,10.646948pt" to="449.439616pt,10.646948pt" stroked="true" strokeweight=".627480pt" strokecolor="#000000">
            <v:stroke dashstyle="solid"/>
            <w10:wrap type="topAndBottom"/>
          </v:line>
        </w:pict>
      </w:r>
    </w:p>
    <w:p>
      <w:pPr>
        <w:pStyle w:val="BodyText"/>
        <w:spacing w:line="202" w:lineRule="exact"/>
        <w:ind w:left="5519"/>
      </w:pPr>
      <w:r>
        <w:rPr/>
        <w:t>Authorized Representative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2240" w:h="15840"/>
          <w:pgMar w:top="800" w:bottom="280" w:left="600" w:right="620"/>
        </w:sectPr>
      </w:pPr>
    </w:p>
    <w:p>
      <w:pPr>
        <w:tabs>
          <w:tab w:pos="4108" w:val="left" w:leader="none"/>
        </w:tabs>
        <w:spacing w:before="110"/>
        <w:ind w:left="480" w:right="0" w:firstLine="0"/>
        <w:jc w:val="left"/>
        <w:rPr>
          <w:b/>
          <w:sz w:val="16"/>
        </w:rPr>
      </w:pPr>
      <w:r>
        <w:rPr>
          <w:b/>
          <w:position w:val="2"/>
          <w:sz w:val="16"/>
        </w:rPr>
        <w:t>102231</w:t>
      </w:r>
      <w:r>
        <w:rPr>
          <w:b/>
          <w:spacing w:val="-2"/>
          <w:position w:val="2"/>
          <w:sz w:val="16"/>
        </w:rPr>
        <w:t> </w:t>
      </w:r>
      <w:r>
        <w:rPr>
          <w:b/>
          <w:position w:val="2"/>
          <w:sz w:val="16"/>
        </w:rPr>
        <w:t>(7-10)</w:t>
        <w:tab/>
      </w:r>
      <w:r>
        <w:rPr>
          <w:b/>
          <w:sz w:val="16"/>
        </w:rPr>
        <w:t>Includes copyrighted material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of</w:t>
      </w:r>
    </w:p>
    <w:p>
      <w:pPr>
        <w:spacing w:before="36"/>
        <w:ind w:left="2692" w:right="0" w:firstLine="0"/>
        <w:jc w:val="left"/>
        <w:rPr>
          <w:b/>
          <w:sz w:val="16"/>
        </w:rPr>
      </w:pPr>
      <w:r>
        <w:rPr>
          <w:b/>
          <w:sz w:val="16"/>
        </w:rPr>
        <w:t>American Association of Insurance Services, Inc., with its permission</w:t>
      </w:r>
    </w:p>
    <w:p>
      <w:pPr>
        <w:pStyle w:val="BodyText"/>
        <w:spacing w:before="93"/>
        <w:ind w:left="480"/>
      </w:pPr>
      <w:r>
        <w:rPr/>
        <w:br w:type="column"/>
      </w:r>
      <w:r>
        <w:rPr/>
        <w:t>Page 1 of 1</w:t>
      </w:r>
    </w:p>
    <w:sectPr>
      <w:type w:val="continuous"/>
      <w:pgSz w:w="12240" w:h="15840"/>
      <w:pgMar w:top="800" w:bottom="280" w:left="600" w:right="620"/>
      <w:cols w:num="2" w:equalWidth="0">
        <w:col w:w="7995" w:space="1045"/>
        <w:col w:w="19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839" w:hanging="721"/>
        <w:jc w:val="left"/>
      </w:pPr>
      <w:rPr>
        <w:rFonts w:hint="default" w:ascii="Arial" w:hAnsi="Arial" w:eastAsia="Arial" w:cs="Arial"/>
        <w:b/>
        <w:bCs/>
        <w:spacing w:val="-7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1858" w:hanging="7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76" w:hanging="7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94" w:hanging="7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12" w:hanging="7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7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948" w:hanging="7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66" w:hanging="7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84" w:hanging="7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658" w:right="1640"/>
      <w:jc w:val="center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839" w:right="98" w:hanging="72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</dc:creator>
  <dc:title>FLORIDA CHANGES – WINDSTORM OR HAIL</dc:title>
  <dcterms:created xsi:type="dcterms:W3CDTF">2018-05-09T13:19:48Z</dcterms:created>
  <dcterms:modified xsi:type="dcterms:W3CDTF">2018-05-09T13:19:48Z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2018-05-09T00:00:00Z</vt:filetime>
  </property>
</Properties>
</file>