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D5" w:rsidRDefault="00A045F7" w:rsidP="00FE2CD5">
      <w:pPr>
        <w:jc w:val="center"/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b/>
          <w:sz w:val="20"/>
          <w:szCs w:val="20"/>
        </w:rPr>
        <w:t xml:space="preserve">UNDERWRITING </w:t>
      </w:r>
      <w:r w:rsidR="00A01B78">
        <w:rPr>
          <w:rFonts w:ascii="Arial" w:hAnsi="Arial" w:cs="Arial"/>
          <w:b/>
          <w:sz w:val="20"/>
          <w:szCs w:val="20"/>
        </w:rPr>
        <w:t>RULES</w:t>
      </w:r>
      <w:r w:rsidR="002A1D7B" w:rsidRPr="007D7449">
        <w:rPr>
          <w:rFonts w:ascii="Arial" w:hAnsi="Arial" w:cs="Arial"/>
          <w:b/>
          <w:sz w:val="20"/>
          <w:szCs w:val="20"/>
        </w:rPr>
        <w:t>/</w:t>
      </w:r>
      <w:r w:rsidR="007D519D" w:rsidRPr="007D7449">
        <w:rPr>
          <w:rFonts w:ascii="Arial" w:hAnsi="Arial" w:cs="Arial"/>
          <w:b/>
          <w:sz w:val="20"/>
          <w:szCs w:val="20"/>
        </w:rPr>
        <w:t>GUIDELINES</w:t>
      </w:r>
    </w:p>
    <w:p w:rsidR="00FE2CD5" w:rsidRPr="00F50B7F" w:rsidRDefault="00FE2CD5" w:rsidP="00FE2C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45F7" w:rsidRPr="00FE2CD5" w:rsidRDefault="00A045F7" w:rsidP="009824E3">
      <w:pPr>
        <w:tabs>
          <w:tab w:val="left" w:pos="6480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A045F7" w:rsidRPr="003B2023" w:rsidRDefault="00A045F7" w:rsidP="00AE1A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35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990"/>
        <w:gridCol w:w="1170"/>
        <w:gridCol w:w="1170"/>
        <w:gridCol w:w="1170"/>
        <w:gridCol w:w="2880"/>
        <w:gridCol w:w="4140"/>
      </w:tblGrid>
      <w:tr w:rsidR="00BD435F" w:rsidRPr="003B2023" w:rsidTr="00E04950">
        <w:trPr>
          <w:trHeight w:val="800"/>
        </w:trPr>
        <w:tc>
          <w:tcPr>
            <w:tcW w:w="2070" w:type="dxa"/>
            <w:shd w:val="clear" w:color="auto" w:fill="auto"/>
            <w:vAlign w:val="bottom"/>
            <w:hideMark/>
          </w:tcPr>
          <w:p w:rsidR="002A1D7B" w:rsidRPr="003B2023" w:rsidRDefault="002A1D7B" w:rsidP="003B20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Title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No.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Mandatory or Optional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Restricts, Broadens or Other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Rate Impact</w:t>
            </w:r>
          </w:p>
          <w:p w:rsidR="00BD435F" w:rsidRPr="003B2023" w:rsidRDefault="00BD435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(Yes of No)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 of Form</w:t>
            </w:r>
          </w:p>
        </w:tc>
        <w:tc>
          <w:tcPr>
            <w:tcW w:w="4140" w:type="dxa"/>
            <w:vAlign w:val="bottom"/>
          </w:tcPr>
          <w:p w:rsidR="00BC516F" w:rsidRPr="003B2023" w:rsidRDefault="008B7604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Terms of Usage</w:t>
            </w:r>
            <w:r w:rsidR="00BC516F"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2A1D7B" w:rsidRPr="003B2023" w:rsidRDefault="00BC516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(see instructions below)</w:t>
            </w:r>
          </w:p>
        </w:tc>
      </w:tr>
      <w:tr w:rsidR="004C2A54" w:rsidRPr="003B2023" w:rsidTr="00E04950">
        <w:trPr>
          <w:trHeight w:val="2006"/>
        </w:trPr>
        <w:tc>
          <w:tcPr>
            <w:tcW w:w="2070" w:type="dxa"/>
            <w:shd w:val="clear" w:color="auto" w:fill="auto"/>
            <w:vAlign w:val="bottom"/>
          </w:tcPr>
          <w:p w:rsidR="004C2A54" w:rsidRPr="003B2023" w:rsidRDefault="004C2A54" w:rsidP="00570FE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9A74E0">
              <w:rPr>
                <w:rFonts w:ascii="Arial" w:eastAsia="Times New Roman" w:hAnsi="Arial" w:cs="Arial"/>
                <w:sz w:val="16"/>
                <w:szCs w:val="16"/>
              </w:rPr>
              <w:t>Pollution Exclusion Amendment Endorsement (Programs Only)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4C2A54" w:rsidRPr="003B2023" w:rsidRDefault="004C2A54" w:rsidP="00570FE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7E6375">
              <w:rPr>
                <w:rFonts w:ascii="Arial" w:eastAsia="Times New Roman" w:hAnsi="Arial" w:cs="Arial"/>
                <w:sz w:val="16"/>
                <w:szCs w:val="16"/>
              </w:rPr>
              <w:t>119837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3B2023" w:rsidRDefault="004C2A54" w:rsidP="00570FE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B219F2">
              <w:rPr>
                <w:rFonts w:ascii="Arial" w:eastAsia="Times New Roman" w:hAnsi="Arial" w:cs="Arial"/>
                <w:sz w:val="16"/>
                <w:szCs w:val="16"/>
              </w:rPr>
              <w:t>Optional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3B2023" w:rsidRDefault="004C2A54" w:rsidP="00570FE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7E6375">
              <w:rPr>
                <w:rFonts w:ascii="Arial" w:eastAsia="Times New Roman" w:hAnsi="Arial" w:cs="Arial"/>
                <w:sz w:val="16"/>
                <w:szCs w:val="16"/>
              </w:rPr>
              <w:t>Broadens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3B2023" w:rsidRDefault="004C2A54" w:rsidP="00570F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4C2A54" w:rsidRPr="003B2023" w:rsidRDefault="004C2A54" w:rsidP="00570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2A13C2">
              <w:rPr>
                <w:rFonts w:eastAsia="Times New Roman"/>
                <w:color w:val="000000"/>
                <w:sz w:val="20"/>
                <w:szCs w:val="20"/>
              </w:rPr>
              <w:t xml:space="preserve"> This endorsement w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ill be used with Commercial Umbrella Liability Policy with </w:t>
            </w:r>
            <w:r>
              <w:rPr>
                <w:sz w:val="20"/>
                <w:szCs w:val="20"/>
              </w:rPr>
              <w:t>CrisisResponse®80517.T</w:t>
            </w:r>
            <w:r>
              <w:rPr>
                <w:rFonts w:ascii="Arial" w:hAnsi="Arial" w:cs="Arial"/>
                <w:sz w:val="20"/>
                <w:szCs w:val="20"/>
              </w:rPr>
              <w:t xml:space="preserve">his endorsement will modify the Pollution  Exclusion to include coverage for applications of pesticides and herbicides including pool chemicals. </w:t>
            </w:r>
          </w:p>
        </w:tc>
        <w:tc>
          <w:tcPr>
            <w:tcW w:w="4140" w:type="dxa"/>
            <w:vAlign w:val="bottom"/>
          </w:tcPr>
          <w:p w:rsidR="004C2A54" w:rsidRPr="003B2023" w:rsidRDefault="004C2A54" w:rsidP="00570FE7">
            <w:pPr>
              <w:pStyle w:val="BodyText"/>
              <w:kinsoku w:val="0"/>
              <w:overflowPunct w:val="0"/>
              <w:spacing w:before="71"/>
              <w:ind w:left="120" w:right="817"/>
              <w:rPr>
                <w:sz w:val="16"/>
                <w:szCs w:val="16"/>
              </w:rPr>
            </w:pPr>
            <w:r w:rsidRPr="002A13C2">
              <w:rPr>
                <w:rFonts w:eastAsia="Times New Roman"/>
                <w:color w:val="000000"/>
                <w:sz w:val="20"/>
                <w:szCs w:val="20"/>
              </w:rPr>
              <w:t>This endorsement w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ill be used with Commercial Umbrella Liability Policy with </w:t>
            </w:r>
            <w:r>
              <w:rPr>
                <w:sz w:val="20"/>
                <w:szCs w:val="20"/>
              </w:rPr>
              <w:t xml:space="preserve">Crisis Response® 80517. </w:t>
            </w:r>
            <w:r w:rsidRPr="001C2954">
              <w:rPr>
                <w:sz w:val="20"/>
                <w:szCs w:val="20"/>
              </w:rPr>
              <w:t xml:space="preserve">There is no impact on current book of business This is </w:t>
            </w:r>
            <w:r>
              <w:rPr>
                <w:sz w:val="20"/>
                <w:szCs w:val="20"/>
              </w:rPr>
              <w:t>broadening</w:t>
            </w:r>
            <w:r w:rsidRPr="001C2954">
              <w:rPr>
                <w:sz w:val="20"/>
                <w:szCs w:val="20"/>
              </w:rPr>
              <w:t xml:space="preserve"> coverage. There is no additional premium charge</w:t>
            </w:r>
            <w:r>
              <w:rPr>
                <w:sz w:val="20"/>
                <w:szCs w:val="20"/>
              </w:rPr>
              <w:t>. We do not charge for this as we are modifying the Pollution Exclusion to include the coverage of pesticides and herbicides including pool chemicals.</w:t>
            </w:r>
          </w:p>
        </w:tc>
      </w:tr>
      <w:tr w:rsidR="004C2A54" w:rsidRPr="003B2023" w:rsidTr="00E04950">
        <w:trPr>
          <w:trHeight w:val="1070"/>
        </w:trPr>
        <w:tc>
          <w:tcPr>
            <w:tcW w:w="2070" w:type="dxa"/>
            <w:shd w:val="clear" w:color="auto" w:fill="auto"/>
            <w:vAlign w:val="bottom"/>
          </w:tcPr>
          <w:p w:rsidR="004C2A54" w:rsidRPr="00E04950" w:rsidRDefault="004C2A54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4C2A54" w:rsidRDefault="004C2A54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Default="004C2A54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Pr="003B2023" w:rsidRDefault="004C2A54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C2A54" w:rsidRDefault="004C2A54" w:rsidP="00BD4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 w:rsidR="004C2A54" w:rsidRPr="008876F1" w:rsidRDefault="004C2A54" w:rsidP="00E04950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40" w:type="dxa"/>
            <w:vAlign w:val="bottom"/>
          </w:tcPr>
          <w:p w:rsidR="004C2A54" w:rsidRDefault="004C2A54" w:rsidP="006005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45F7" w:rsidRPr="003B2023" w:rsidRDefault="00A045F7" w:rsidP="00F676E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3B2023">
        <w:rPr>
          <w:rFonts w:ascii="Arial" w:hAnsi="Arial" w:cs="Arial"/>
          <w:b/>
          <w:sz w:val="16"/>
          <w:szCs w:val="16"/>
          <w:u w:val="single"/>
        </w:rPr>
        <w:t>Instructions:</w:t>
      </w: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C516F" w:rsidRPr="003B2023" w:rsidRDefault="00BC516F" w:rsidP="00BC516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b/>
          <w:sz w:val="16"/>
          <w:szCs w:val="16"/>
        </w:rPr>
        <w:t>Terms of Usage</w:t>
      </w:r>
      <w:r w:rsidR="009644D5" w:rsidRPr="003B2023">
        <w:rPr>
          <w:rFonts w:ascii="Arial" w:hAnsi="Arial" w:cs="Arial"/>
          <w:b/>
          <w:sz w:val="16"/>
          <w:szCs w:val="16"/>
        </w:rPr>
        <w:t xml:space="preserve"> - </w:t>
      </w:r>
      <w:r w:rsidRPr="003B2023">
        <w:rPr>
          <w:rFonts w:ascii="Arial" w:hAnsi="Arial" w:cs="Arial"/>
          <w:sz w:val="16"/>
          <w:szCs w:val="16"/>
        </w:rPr>
        <w:t>If applicable, complete as follows:</w:t>
      </w:r>
    </w:p>
    <w:p w:rsidR="00BC516F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Who are eligible insureds?</w:t>
      </w:r>
    </w:p>
    <w:p w:rsidR="006C0CE3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What is the impact of the change in coverage to the current book of business?</w:t>
      </w:r>
    </w:p>
    <w:p w:rsidR="006C0CE3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If broadening</w:t>
      </w:r>
      <w:r w:rsidR="006C0CE3" w:rsidRPr="003B2023">
        <w:rPr>
          <w:rFonts w:ascii="Arial" w:hAnsi="Arial" w:cs="Arial"/>
          <w:sz w:val="16"/>
          <w:szCs w:val="16"/>
        </w:rPr>
        <w:t xml:space="preserve"> coverage with no additional premium charge, explain why.</w:t>
      </w:r>
    </w:p>
    <w:p w:rsidR="00BC516F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 xml:space="preserve">If </w:t>
      </w:r>
      <w:r w:rsidR="00BC516F" w:rsidRPr="003B2023">
        <w:rPr>
          <w:rFonts w:ascii="Arial" w:hAnsi="Arial" w:cs="Arial"/>
          <w:sz w:val="16"/>
          <w:szCs w:val="16"/>
        </w:rPr>
        <w:t xml:space="preserve">restricting coverage, </w:t>
      </w:r>
      <w:r w:rsidRPr="003B2023">
        <w:rPr>
          <w:rFonts w:ascii="Arial" w:hAnsi="Arial" w:cs="Arial"/>
          <w:sz w:val="16"/>
          <w:szCs w:val="16"/>
        </w:rPr>
        <w:t>what premium adjustments will be applied?   if none, explain why</w:t>
      </w:r>
      <w:r w:rsidR="00BC516F" w:rsidRPr="003B2023">
        <w:rPr>
          <w:rFonts w:ascii="Arial" w:hAnsi="Arial" w:cs="Arial"/>
          <w:sz w:val="16"/>
          <w:szCs w:val="16"/>
        </w:rPr>
        <w:t>?</w:t>
      </w:r>
      <w:r w:rsidRPr="003B2023">
        <w:rPr>
          <w:rFonts w:ascii="Arial" w:hAnsi="Arial" w:cs="Arial"/>
          <w:sz w:val="16"/>
          <w:szCs w:val="16"/>
        </w:rPr>
        <w:t xml:space="preserve">  Is there a buyback option?</w:t>
      </w:r>
    </w:p>
    <w:p w:rsidR="00BD435F" w:rsidRPr="003B2023" w:rsidRDefault="00BD435F" w:rsidP="00F676E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D435F" w:rsidRPr="003B2023" w:rsidRDefault="009644D5" w:rsidP="00BD435F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3B2023">
        <w:rPr>
          <w:rFonts w:ascii="Arial" w:eastAsia="Times New Roman" w:hAnsi="Arial" w:cs="Arial"/>
          <w:b/>
          <w:sz w:val="16"/>
          <w:szCs w:val="16"/>
          <w:u w:val="single"/>
        </w:rPr>
        <w:t>Rate Impact</w:t>
      </w:r>
      <w:r w:rsidRPr="003B2023">
        <w:rPr>
          <w:rFonts w:ascii="Arial" w:eastAsia="Times New Roman" w:hAnsi="Arial" w:cs="Arial"/>
          <w:b/>
          <w:sz w:val="16"/>
          <w:szCs w:val="16"/>
        </w:rPr>
        <w:t>:</w:t>
      </w:r>
    </w:p>
    <w:p w:rsidR="00BD435F" w:rsidRPr="003B2023" w:rsidRDefault="00BD435F" w:rsidP="009644D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eastAsia="Times New Roman" w:hAnsi="Arial" w:cs="Arial"/>
          <w:sz w:val="16"/>
          <w:szCs w:val="16"/>
        </w:rPr>
        <w:t xml:space="preserve">Answer Yes or No.  If </w:t>
      </w:r>
      <w:r w:rsidR="006C0CE3" w:rsidRPr="003B2023">
        <w:rPr>
          <w:rFonts w:ascii="Arial" w:eastAsia="Times New Roman" w:hAnsi="Arial" w:cs="Arial"/>
          <w:sz w:val="16"/>
          <w:szCs w:val="16"/>
        </w:rPr>
        <w:t>“</w:t>
      </w:r>
      <w:r w:rsidRPr="003B2023">
        <w:rPr>
          <w:rFonts w:ascii="Arial" w:eastAsia="Times New Roman" w:hAnsi="Arial" w:cs="Arial"/>
          <w:sz w:val="16"/>
          <w:szCs w:val="16"/>
        </w:rPr>
        <w:t>No</w:t>
      </w:r>
      <w:r w:rsidR="006C0CE3" w:rsidRPr="003B2023">
        <w:rPr>
          <w:rFonts w:ascii="Arial" w:eastAsia="Times New Roman" w:hAnsi="Arial" w:cs="Arial"/>
          <w:sz w:val="16"/>
          <w:szCs w:val="16"/>
        </w:rPr>
        <w:t>”</w:t>
      </w:r>
      <w:r w:rsidRPr="003B2023">
        <w:rPr>
          <w:rFonts w:ascii="Arial" w:eastAsia="Times New Roman" w:hAnsi="Arial" w:cs="Arial"/>
          <w:sz w:val="16"/>
          <w:szCs w:val="16"/>
        </w:rPr>
        <w:t xml:space="preserve"> is selected, is there additional premium or pricing for the endorsement in the rate plan or on a separate manual page?</w:t>
      </w:r>
    </w:p>
    <w:sectPr w:rsidR="00BD435F" w:rsidRPr="003B2023" w:rsidSect="006C0CE3">
      <w:headerReference w:type="default" r:id="rId8"/>
      <w:footerReference w:type="default" r:id="rId9"/>
      <w:pgSz w:w="15840" w:h="12240" w:orient="landscape"/>
      <w:pgMar w:top="1008" w:right="1440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2E" w:rsidRDefault="004F322E" w:rsidP="008364BF">
      <w:pPr>
        <w:spacing w:after="0" w:line="240" w:lineRule="auto"/>
      </w:pPr>
      <w:r>
        <w:separator/>
      </w:r>
    </w:p>
  </w:endnote>
  <w:endnote w:type="continuationSeparator" w:id="0">
    <w:p w:rsidR="004F322E" w:rsidRDefault="004F322E" w:rsidP="0083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22E" w:rsidRDefault="004F322E" w:rsidP="00A01B78">
    <w:pPr>
      <w:pStyle w:val="Footer"/>
      <w:tabs>
        <w:tab w:val="clear" w:pos="4680"/>
        <w:tab w:val="clear" w:pos="9360"/>
        <w:tab w:val="left" w:pos="34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2E" w:rsidRDefault="004F322E" w:rsidP="008364BF">
      <w:pPr>
        <w:spacing w:after="0" w:line="240" w:lineRule="auto"/>
      </w:pPr>
      <w:r>
        <w:separator/>
      </w:r>
    </w:p>
  </w:footnote>
  <w:footnote w:type="continuationSeparator" w:id="0">
    <w:p w:rsidR="004F322E" w:rsidRDefault="004F322E" w:rsidP="0083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22E" w:rsidRPr="007D7449" w:rsidRDefault="004F322E" w:rsidP="00A01B78">
    <w:pPr>
      <w:jc w:val="right"/>
      <w:rPr>
        <w:rFonts w:ascii="Arial" w:hAnsi="Arial" w:cs="Arial"/>
        <w:b/>
        <w:sz w:val="20"/>
        <w:szCs w:val="20"/>
      </w:rPr>
    </w:pPr>
    <w:r w:rsidRPr="007D7449">
      <w:rPr>
        <w:rFonts w:ascii="Arial" w:hAnsi="Arial" w:cs="Arial"/>
        <w:b/>
        <w:sz w:val="20"/>
        <w:szCs w:val="20"/>
      </w:rPr>
      <w:t>Exhibit 18</w:t>
    </w:r>
  </w:p>
  <w:p w:rsidR="004F322E" w:rsidRDefault="004F32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."/>
      <w:lvlJc w:val="left"/>
      <w:pPr>
        <w:ind w:left="839"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892" w:hanging="308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61" w:hanging="308"/>
      </w:pPr>
    </w:lvl>
    <w:lvl w:ilvl="2">
      <w:numFmt w:val="bullet"/>
      <w:lvlText w:val="•"/>
      <w:lvlJc w:val="left"/>
      <w:pPr>
        <w:ind w:left="2630" w:hanging="308"/>
      </w:pPr>
    </w:lvl>
    <w:lvl w:ilvl="3">
      <w:numFmt w:val="bullet"/>
      <w:lvlText w:val="•"/>
      <w:lvlJc w:val="left"/>
      <w:pPr>
        <w:ind w:left="3498" w:hanging="308"/>
      </w:pPr>
    </w:lvl>
    <w:lvl w:ilvl="4">
      <w:numFmt w:val="bullet"/>
      <w:lvlText w:val="•"/>
      <w:lvlJc w:val="left"/>
      <w:pPr>
        <w:ind w:left="4367" w:hanging="308"/>
      </w:pPr>
    </w:lvl>
    <w:lvl w:ilvl="5">
      <w:numFmt w:val="bullet"/>
      <w:lvlText w:val="•"/>
      <w:lvlJc w:val="left"/>
      <w:pPr>
        <w:ind w:left="5236" w:hanging="308"/>
      </w:pPr>
    </w:lvl>
    <w:lvl w:ilvl="6">
      <w:numFmt w:val="bullet"/>
      <w:lvlText w:val="•"/>
      <w:lvlJc w:val="left"/>
      <w:pPr>
        <w:ind w:left="6105" w:hanging="308"/>
      </w:pPr>
    </w:lvl>
    <w:lvl w:ilvl="7">
      <w:numFmt w:val="bullet"/>
      <w:lvlText w:val="•"/>
      <w:lvlJc w:val="left"/>
      <w:pPr>
        <w:ind w:left="6973" w:hanging="308"/>
      </w:pPr>
    </w:lvl>
    <w:lvl w:ilvl="8">
      <w:numFmt w:val="bullet"/>
      <w:lvlText w:val="•"/>
      <w:lvlJc w:val="left"/>
      <w:pPr>
        <w:ind w:left="7842" w:hanging="308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0" w:hanging="361"/>
      </w:pPr>
      <w:rPr>
        <w:rFonts w:ascii="Symbol" w:hAnsi="Symbol"/>
        <w:b w:val="0"/>
        <w:w w:val="99"/>
        <w:sz w:val="22"/>
      </w:rPr>
    </w:lvl>
    <w:lvl w:ilvl="1">
      <w:numFmt w:val="bullet"/>
      <w:lvlText w:val="•"/>
      <w:lvlJc w:val="left"/>
      <w:pPr>
        <w:ind w:left="1694" w:hanging="361"/>
      </w:pPr>
    </w:lvl>
    <w:lvl w:ilvl="2">
      <w:numFmt w:val="bullet"/>
      <w:lvlText w:val="•"/>
      <w:lvlJc w:val="left"/>
      <w:pPr>
        <w:ind w:left="2568" w:hanging="361"/>
      </w:pPr>
    </w:lvl>
    <w:lvl w:ilvl="3">
      <w:numFmt w:val="bullet"/>
      <w:lvlText w:val="•"/>
      <w:lvlJc w:val="left"/>
      <w:pPr>
        <w:ind w:left="3442" w:hanging="361"/>
      </w:pPr>
    </w:lvl>
    <w:lvl w:ilvl="4">
      <w:numFmt w:val="bullet"/>
      <w:lvlText w:val="•"/>
      <w:lvlJc w:val="left"/>
      <w:pPr>
        <w:ind w:left="4316" w:hanging="361"/>
      </w:pPr>
    </w:lvl>
    <w:lvl w:ilvl="5">
      <w:numFmt w:val="bullet"/>
      <w:lvlText w:val="•"/>
      <w:lvlJc w:val="left"/>
      <w:pPr>
        <w:ind w:left="5190" w:hanging="361"/>
      </w:pPr>
    </w:lvl>
    <w:lvl w:ilvl="6">
      <w:numFmt w:val="bullet"/>
      <w:lvlText w:val="•"/>
      <w:lvlJc w:val="left"/>
      <w:pPr>
        <w:ind w:left="6064" w:hanging="361"/>
      </w:pPr>
    </w:lvl>
    <w:lvl w:ilvl="7">
      <w:numFmt w:val="bullet"/>
      <w:lvlText w:val="•"/>
      <w:lvlJc w:val="left"/>
      <w:pPr>
        <w:ind w:left="6938" w:hanging="361"/>
      </w:pPr>
    </w:lvl>
    <w:lvl w:ilvl="8">
      <w:numFmt w:val="bullet"/>
      <w:lvlText w:val="•"/>
      <w:lvlJc w:val="left"/>
      <w:pPr>
        <w:ind w:left="7812" w:hanging="361"/>
      </w:pPr>
    </w:lvl>
  </w:abstractNum>
  <w:abstractNum w:abstractNumId="3">
    <w:nsid w:val="401B1FC6"/>
    <w:multiLevelType w:val="hybridMultilevel"/>
    <w:tmpl w:val="645EC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46457"/>
    <w:multiLevelType w:val="hybridMultilevel"/>
    <w:tmpl w:val="742A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8516C"/>
    <w:multiLevelType w:val="hybridMultilevel"/>
    <w:tmpl w:val="864E0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A"/>
    <w:rsid w:val="0001263A"/>
    <w:rsid w:val="00013065"/>
    <w:rsid w:val="000E40AE"/>
    <w:rsid w:val="000F316D"/>
    <w:rsid w:val="00100E62"/>
    <w:rsid w:val="00152CDB"/>
    <w:rsid w:val="0016355F"/>
    <w:rsid w:val="00181AA4"/>
    <w:rsid w:val="00187873"/>
    <w:rsid w:val="00195002"/>
    <w:rsid w:val="001A12FE"/>
    <w:rsid w:val="001A5AE8"/>
    <w:rsid w:val="001C2954"/>
    <w:rsid w:val="00200AAE"/>
    <w:rsid w:val="002141F8"/>
    <w:rsid w:val="0021540F"/>
    <w:rsid w:val="002370AC"/>
    <w:rsid w:val="00256FC0"/>
    <w:rsid w:val="0027032F"/>
    <w:rsid w:val="002A13C2"/>
    <w:rsid w:val="002A1D7B"/>
    <w:rsid w:val="00301FB7"/>
    <w:rsid w:val="0030799A"/>
    <w:rsid w:val="00313CC6"/>
    <w:rsid w:val="00324866"/>
    <w:rsid w:val="003662E7"/>
    <w:rsid w:val="0038234E"/>
    <w:rsid w:val="003B2023"/>
    <w:rsid w:val="003D0765"/>
    <w:rsid w:val="003D56E7"/>
    <w:rsid w:val="004161C7"/>
    <w:rsid w:val="00427BC8"/>
    <w:rsid w:val="004358BA"/>
    <w:rsid w:val="00441485"/>
    <w:rsid w:val="00451124"/>
    <w:rsid w:val="004C2A54"/>
    <w:rsid w:val="004D0190"/>
    <w:rsid w:val="004F322E"/>
    <w:rsid w:val="005800D3"/>
    <w:rsid w:val="005C10E6"/>
    <w:rsid w:val="00600569"/>
    <w:rsid w:val="00612DFA"/>
    <w:rsid w:val="00624609"/>
    <w:rsid w:val="006256C8"/>
    <w:rsid w:val="00697B8F"/>
    <w:rsid w:val="006C0CE3"/>
    <w:rsid w:val="007550EE"/>
    <w:rsid w:val="007C3857"/>
    <w:rsid w:val="007D519D"/>
    <w:rsid w:val="007D7449"/>
    <w:rsid w:val="007E2476"/>
    <w:rsid w:val="00817219"/>
    <w:rsid w:val="008175D3"/>
    <w:rsid w:val="00827CA7"/>
    <w:rsid w:val="008364BF"/>
    <w:rsid w:val="008378CF"/>
    <w:rsid w:val="00881C27"/>
    <w:rsid w:val="008876F1"/>
    <w:rsid w:val="00897B03"/>
    <w:rsid w:val="008B1BDB"/>
    <w:rsid w:val="008B7604"/>
    <w:rsid w:val="009644D5"/>
    <w:rsid w:val="00982479"/>
    <w:rsid w:val="009824E3"/>
    <w:rsid w:val="00982EF8"/>
    <w:rsid w:val="009A0DEB"/>
    <w:rsid w:val="009A7C22"/>
    <w:rsid w:val="009B5025"/>
    <w:rsid w:val="009B5913"/>
    <w:rsid w:val="009C3426"/>
    <w:rsid w:val="009C7344"/>
    <w:rsid w:val="009E0FB5"/>
    <w:rsid w:val="00A01B78"/>
    <w:rsid w:val="00A045F7"/>
    <w:rsid w:val="00A0678D"/>
    <w:rsid w:val="00A0715C"/>
    <w:rsid w:val="00A10B7A"/>
    <w:rsid w:val="00A14005"/>
    <w:rsid w:val="00A17CA3"/>
    <w:rsid w:val="00A35A6E"/>
    <w:rsid w:val="00A35F56"/>
    <w:rsid w:val="00A43150"/>
    <w:rsid w:val="00A908C1"/>
    <w:rsid w:val="00A96997"/>
    <w:rsid w:val="00AA1815"/>
    <w:rsid w:val="00AD724F"/>
    <w:rsid w:val="00AE1ABA"/>
    <w:rsid w:val="00B46F2F"/>
    <w:rsid w:val="00B666F8"/>
    <w:rsid w:val="00BA5358"/>
    <w:rsid w:val="00BB2B8D"/>
    <w:rsid w:val="00BC516F"/>
    <w:rsid w:val="00BD435F"/>
    <w:rsid w:val="00BE76F1"/>
    <w:rsid w:val="00C039C9"/>
    <w:rsid w:val="00C10E58"/>
    <w:rsid w:val="00C57402"/>
    <w:rsid w:val="00C834E6"/>
    <w:rsid w:val="00CD1D46"/>
    <w:rsid w:val="00CE75D1"/>
    <w:rsid w:val="00CF519A"/>
    <w:rsid w:val="00D071F9"/>
    <w:rsid w:val="00D218F8"/>
    <w:rsid w:val="00D230E0"/>
    <w:rsid w:val="00DC7ACE"/>
    <w:rsid w:val="00DF586B"/>
    <w:rsid w:val="00E00AE6"/>
    <w:rsid w:val="00E04950"/>
    <w:rsid w:val="00E30821"/>
    <w:rsid w:val="00E77EC3"/>
    <w:rsid w:val="00F16CED"/>
    <w:rsid w:val="00F237F6"/>
    <w:rsid w:val="00F56DF0"/>
    <w:rsid w:val="00F6119F"/>
    <w:rsid w:val="00F676EF"/>
    <w:rsid w:val="00FB20BE"/>
    <w:rsid w:val="00FC6C43"/>
    <w:rsid w:val="00FD0D2D"/>
    <w:rsid w:val="00FE2CD5"/>
    <w:rsid w:val="00FE563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B2023"/>
    <w:rPr>
      <w:rFonts w:ascii="Arial" w:eastAsiaTheme="minorEastAsia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B2023"/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vwolan</dc:creator>
  <cp:lastModifiedBy>Martell, Elaine</cp:lastModifiedBy>
  <cp:revision>2</cp:revision>
  <cp:lastPrinted>2016-03-25T15:00:00Z</cp:lastPrinted>
  <dcterms:created xsi:type="dcterms:W3CDTF">2016-08-18T12:08:00Z</dcterms:created>
  <dcterms:modified xsi:type="dcterms:W3CDTF">2016-08-18T12:08:00Z</dcterms:modified>
</cp:coreProperties>
</file>