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8"/>
        <w:ind w:left="3722" w:right="0" w:hanging="723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pacing w:val="-1"/>
          <w:sz w:val="24"/>
        </w:rPr>
        <w:t>COMMERCIAL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INTERLINE</w:t>
      </w:r>
      <w:r>
        <w:rPr>
          <w:rFonts w:ascii="Arial"/>
          <w:b/>
          <w:spacing w:val="29"/>
          <w:sz w:val="24"/>
        </w:rPr>
        <w:t> </w:t>
      </w:r>
      <w:r>
        <w:rPr>
          <w:rFonts w:ascii="Arial"/>
          <w:b/>
          <w:spacing w:val="-1"/>
          <w:sz w:val="24"/>
        </w:rPr>
        <w:t>RULE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1"/>
          <w:sz w:val="24"/>
        </w:rPr>
        <w:t>PAGE</w:t>
      </w:r>
      <w:r>
        <w:rPr>
          <w:rFonts w:ascii="Arial"/>
          <w:sz w:val="2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  <w:r>
        <w:rPr/>
        <w:br w:type="column"/>
      </w:r>
      <w:r>
        <w:rPr>
          <w:rFonts w:ascii="Arial"/>
          <w:b/>
          <w:sz w:val="20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139"/>
        <w:ind w:left="2013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New</w:t>
      </w:r>
      <w:r>
        <w:rPr>
          <w:rFonts w:ascii="Arial"/>
          <w:b/>
          <w:spacing w:val="-6"/>
          <w:sz w:val="20"/>
        </w:rPr>
        <w:t> </w:t>
      </w:r>
      <w:r>
        <w:rPr>
          <w:rFonts w:ascii="Arial"/>
          <w:b/>
          <w:sz w:val="20"/>
        </w:rPr>
        <w:t>York</w:t>
      </w:r>
      <w:r>
        <w:rPr>
          <w:rFonts w:ascii="Arial"/>
          <w:sz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440" w:bottom="280" w:left="1320" w:right="1320"/>
          <w:cols w:num="2" w:equalWidth="0">
            <w:col w:w="5987" w:space="40"/>
            <w:col w:w="3573"/>
          </w:cols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before="72"/>
        <w:ind w:left="120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POLICY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CHANGES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ENDORSEMENT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–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New</w:t>
      </w:r>
      <w:r>
        <w:rPr>
          <w:rFonts w:ascii="Arial" w:hAnsi="Arial" w:cs="Arial" w:eastAsia="Arial"/>
          <w:b/>
          <w:bCs/>
          <w:spacing w:val="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York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–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Form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No.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119940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spacing w:line="240" w:lineRule="auto" w:before="2"/>
        <w:rPr>
          <w:rFonts w:ascii="Arial" w:hAnsi="Arial" w:cs="Arial" w:eastAsia="Arial"/>
          <w:b/>
          <w:bCs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40" w:right="167" w:hanging="360"/>
        <w:jc w:val="left"/>
      </w:pPr>
      <w:r>
        <w:rPr/>
        <w:t>May</w:t>
      </w:r>
      <w:r>
        <w:rPr>
          <w:spacing w:val="-5"/>
        </w:rPr>
        <w:t> </w:t>
      </w:r>
      <w:r>
        <w:rPr>
          <w:spacing w:val="1"/>
        </w:rPr>
        <w:t>be</w:t>
      </w:r>
      <w:r>
        <w:rPr>
          <w:spacing w:val="-1"/>
        </w:rPr>
        <w:t> used</w:t>
      </w:r>
      <w:r>
        <w:rPr/>
        <w:t> to </w:t>
      </w:r>
      <w:r>
        <w:rPr>
          <w:spacing w:val="-1"/>
        </w:rPr>
        <w:t>amend</w:t>
      </w:r>
      <w:r>
        <w:rPr>
          <w:spacing w:val="2"/>
        </w:rPr>
        <w:t> </w:t>
      </w:r>
      <w:r>
        <w:rPr>
          <w:spacing w:val="-1"/>
        </w:rPr>
        <w:t>endorsement</w:t>
      </w:r>
      <w:r>
        <w:rPr/>
        <w:t> </w:t>
      </w:r>
      <w:r>
        <w:rPr>
          <w:spacing w:val="-1"/>
        </w:rPr>
        <w:t>schedule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>
          <w:spacing w:val="-1"/>
        </w:rPr>
        <w:t>declarations</w:t>
      </w:r>
      <w:r>
        <w:rPr/>
        <w:t> </w:t>
      </w:r>
      <w:r>
        <w:rPr>
          <w:spacing w:val="-1"/>
        </w:rPr>
        <w:t>elements</w:t>
      </w:r>
      <w:r>
        <w:rPr/>
        <w:t> such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the name</w:t>
      </w:r>
      <w:r>
        <w:rPr>
          <w:spacing w:val="89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named</w:t>
      </w:r>
      <w:r>
        <w:rPr/>
        <w:t> </w:t>
      </w:r>
      <w:r>
        <w:rPr>
          <w:spacing w:val="-1"/>
        </w:rPr>
        <w:t>insured,</w:t>
      </w:r>
      <w:r>
        <w:rPr/>
        <w:t> mailing</w:t>
      </w:r>
      <w:r>
        <w:rPr>
          <w:spacing w:val="-3"/>
        </w:rPr>
        <w:t> </w:t>
      </w:r>
      <w:r>
        <w:rPr>
          <w:spacing w:val="-1"/>
        </w:rPr>
        <w:t>address,</w:t>
      </w:r>
      <w:r>
        <w:rPr/>
        <w:t> policy</w:t>
      </w:r>
      <w:r>
        <w:rPr>
          <w:spacing w:val="-5"/>
        </w:rPr>
        <w:t> </w:t>
      </w:r>
      <w:r>
        <w:rPr/>
        <w:t>period, </w:t>
      </w:r>
      <w:r>
        <w:rPr>
          <w:spacing w:val="-1"/>
        </w:rPr>
        <w:t>covered</w:t>
      </w:r>
      <w:r>
        <w:rPr/>
        <w:t> </w:t>
      </w:r>
      <w:r>
        <w:rPr>
          <w:spacing w:val="-1"/>
        </w:rPr>
        <w:t>property,</w:t>
      </w:r>
      <w:r>
        <w:rPr/>
        <w:t> deductible</w:t>
      </w:r>
      <w:r>
        <w:rPr>
          <w:spacing w:val="68"/>
        </w:rPr>
        <w:t> </w:t>
      </w:r>
      <w:r>
        <w:rPr>
          <w:spacing w:val="-1"/>
        </w:rPr>
        <w:t>amounts</w:t>
      </w:r>
      <w:r>
        <w:rPr/>
        <w:t> </w:t>
      </w:r>
      <w:r>
        <w:rPr>
          <w:spacing w:val="-1"/>
        </w:rPr>
        <w:t>and</w:t>
      </w:r>
      <w:r>
        <w:rPr/>
        <w:t> limits of</w:t>
      </w:r>
      <w:r>
        <w:rPr>
          <w:spacing w:val="-1"/>
        </w:rPr>
        <w:t> insurance;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40" w:right="213" w:hanging="360"/>
        <w:jc w:val="left"/>
      </w:pPr>
      <w:r>
        <w:rPr/>
        <w:t>May</w:t>
      </w:r>
      <w:r>
        <w:rPr>
          <w:spacing w:val="-5"/>
        </w:rPr>
        <w:t> </w:t>
      </w:r>
      <w:r>
        <w:rPr/>
        <w:t>not </w:t>
      </w:r>
      <w:r>
        <w:rPr>
          <w:spacing w:val="1"/>
        </w:rPr>
        <w:t>be</w:t>
      </w:r>
      <w:r>
        <w:rPr>
          <w:spacing w:val="-1"/>
        </w:rPr>
        <w:t> used</w:t>
      </w:r>
      <w:r>
        <w:rPr/>
        <w:t> to amend policy</w:t>
      </w:r>
      <w:r>
        <w:rPr>
          <w:spacing w:val="-5"/>
        </w:rPr>
        <w:t> </w:t>
      </w:r>
      <w:r>
        <w:rPr>
          <w:spacing w:val="-1"/>
        </w:rPr>
        <w:t>language as</w:t>
      </w:r>
      <w:r>
        <w:rPr>
          <w:spacing w:val="2"/>
        </w:rPr>
        <w:t> </w:t>
      </w:r>
      <w:r>
        <w:rPr>
          <w:spacing w:val="1"/>
        </w:rPr>
        <w:t>any</w:t>
      </w:r>
      <w:r>
        <w:rPr>
          <w:spacing w:val="-3"/>
        </w:rPr>
        <w:t> </w:t>
      </w:r>
      <w:r>
        <w:rPr>
          <w:spacing w:val="-1"/>
        </w:rPr>
        <w:t>such</w:t>
      </w:r>
      <w:r>
        <w:rPr/>
        <w:t> </w:t>
      </w:r>
      <w:r>
        <w:rPr>
          <w:spacing w:val="-1"/>
        </w:rPr>
        <w:t>changes</w:t>
      </w:r>
      <w:r>
        <w:rPr/>
        <w:t> must be</w:t>
      </w:r>
      <w:r>
        <w:rPr>
          <w:spacing w:val="1"/>
        </w:rPr>
        <w:t> </w:t>
      </w:r>
      <w:r>
        <w:rPr>
          <w:spacing w:val="-1"/>
        </w:rPr>
        <w:t>approved</w:t>
      </w:r>
      <w:r>
        <w:rPr/>
        <w:t> </w:t>
      </w:r>
      <w:r>
        <w:rPr>
          <w:spacing w:val="2"/>
        </w:rPr>
        <w:t>by</w:t>
      </w:r>
      <w:r>
        <w:rPr>
          <w:spacing w:val="-5"/>
        </w:rPr>
        <w:t> </w:t>
      </w:r>
      <w:r>
        <w:rPr/>
        <w:t>the</w:t>
      </w:r>
      <w:r>
        <w:rPr>
          <w:spacing w:val="50"/>
        </w:rPr>
        <w:t> </w:t>
      </w:r>
      <w:r>
        <w:rPr>
          <w:spacing w:val="-1"/>
        </w:rPr>
        <w:t>New York</w:t>
      </w:r>
      <w:r>
        <w:rPr>
          <w:spacing w:val="2"/>
        </w:rPr>
        <w:t> </w:t>
      </w:r>
      <w:r>
        <w:rPr>
          <w:spacing w:val="-1"/>
        </w:rPr>
        <w:t>Department</w:t>
      </w:r>
      <w:r>
        <w:rPr/>
        <w:t> of</w:t>
      </w:r>
      <w:r>
        <w:rPr>
          <w:spacing w:val="-1"/>
        </w:rPr>
        <w:t> Financial</w:t>
      </w:r>
      <w:r>
        <w:rPr/>
        <w:t> </w:t>
      </w:r>
      <w:r>
        <w:rPr>
          <w:spacing w:val="-1"/>
        </w:rPr>
        <w:t>Services;</w:t>
      </w:r>
    </w:p>
    <w:p>
      <w:pPr>
        <w:pStyle w:val="BodyText"/>
        <w:numPr>
          <w:ilvl w:val="0"/>
          <w:numId w:val="1"/>
        </w:numPr>
        <w:tabs>
          <w:tab w:pos="840" w:val="left" w:leader="none"/>
        </w:tabs>
        <w:spacing w:line="240" w:lineRule="auto" w:before="0" w:after="0"/>
        <w:ind w:left="840" w:right="498" w:hanging="360"/>
        <w:jc w:val="left"/>
      </w:pPr>
      <w:r>
        <w:rPr/>
        <w:t>May</w:t>
      </w:r>
      <w:r>
        <w:rPr>
          <w:spacing w:val="-5"/>
        </w:rPr>
        <w:t> </w:t>
      </w:r>
      <w:r>
        <w:rPr/>
        <w:t>not </w:t>
      </w:r>
      <w:r>
        <w:rPr>
          <w:spacing w:val="1"/>
        </w:rPr>
        <w:t>be</w:t>
      </w:r>
      <w:r>
        <w:rPr>
          <w:spacing w:val="-1"/>
        </w:rPr>
        <w:t> used</w:t>
      </w:r>
      <w:r>
        <w:rPr/>
        <w:t> to </w:t>
      </w:r>
      <w:r>
        <w:rPr>
          <w:spacing w:val="-1"/>
        </w:rPr>
        <w:t>increase </w:t>
      </w:r>
      <w:r>
        <w:rPr/>
        <w:t>the</w:t>
      </w:r>
      <w:r>
        <w:rPr>
          <w:spacing w:val="-1"/>
        </w:rPr>
        <w:t> </w:t>
      </w:r>
      <w:r>
        <w:rPr/>
        <w:t>premium </w:t>
      </w:r>
      <w:r>
        <w:rPr>
          <w:spacing w:val="-1"/>
        </w:rPr>
        <w:t>mid-term</w:t>
      </w:r>
      <w:r>
        <w:rPr/>
        <w:t> if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policy</w:t>
      </w:r>
      <w:r>
        <w:rPr>
          <w:spacing w:val="-5"/>
        </w:rPr>
        <w:t> </w:t>
      </w:r>
      <w:r>
        <w:rPr/>
        <w:t>is a</w:t>
      </w:r>
      <w:r>
        <w:rPr>
          <w:spacing w:val="-1"/>
        </w:rPr>
        <w:t> renewal</w:t>
      </w:r>
      <w:r>
        <w:rPr/>
        <w:t> policy</w:t>
      </w:r>
      <w:r>
        <w:rPr>
          <w:spacing w:val="-5"/>
        </w:rPr>
        <w:t> </w:t>
      </w:r>
      <w:r>
        <w:rPr/>
        <w:t>or</w:t>
      </w:r>
      <w:r>
        <w:rPr>
          <w:spacing w:val="46"/>
        </w:rPr>
        <w:t> </w:t>
      </w:r>
      <w:r>
        <w:rPr>
          <w:spacing w:val="-1"/>
        </w:rPr>
        <w:t>has</w:t>
      </w:r>
      <w:r>
        <w:rPr/>
        <w:t> </w:t>
      </w:r>
      <w:r>
        <w:rPr>
          <w:spacing w:val="-1"/>
        </w:rPr>
        <w:t>been</w:t>
      </w:r>
      <w:r>
        <w:rPr/>
        <w:t> in </w:t>
      </w:r>
      <w:r>
        <w:rPr>
          <w:spacing w:val="-1"/>
        </w:rPr>
        <w:t>effect</w:t>
      </w:r>
      <w:r>
        <w:rPr/>
        <w:t> </w:t>
      </w:r>
      <w:r>
        <w:rPr>
          <w:spacing w:val="-1"/>
        </w:rPr>
        <w:t>for </w:t>
      </w:r>
      <w:r>
        <w:rPr/>
        <w:t>sixty</w:t>
      </w:r>
      <w:r>
        <w:rPr>
          <w:spacing w:val="-3"/>
        </w:rPr>
        <w:t> </w:t>
      </w:r>
      <w:r>
        <w:rPr>
          <w:spacing w:val="-1"/>
        </w:rPr>
        <w:t>days</w:t>
      </w:r>
      <w:r>
        <w:rPr/>
        <w:t> </w:t>
      </w:r>
      <w:r>
        <w:rPr>
          <w:spacing w:val="1"/>
        </w:rPr>
        <w:t>or</w:t>
      </w:r>
      <w:r>
        <w:rPr>
          <w:spacing w:val="-1"/>
        </w:rPr>
        <w:t> more,</w:t>
      </w:r>
      <w:r>
        <w:rPr/>
        <w:t> </w:t>
      </w:r>
      <w:r>
        <w:rPr>
          <w:spacing w:val="-1"/>
        </w:rPr>
        <w:t>unless</w:t>
      </w:r>
      <w:r>
        <w:rPr/>
        <w:t> the</w:t>
      </w:r>
      <w:r>
        <w:rPr>
          <w:spacing w:val="-1"/>
        </w:rPr>
        <w:t> premium</w:t>
      </w:r>
      <w:r>
        <w:rPr/>
        <w:t> </w:t>
      </w:r>
      <w:r>
        <w:rPr>
          <w:spacing w:val="-1"/>
        </w:rPr>
        <w:t>increase:</w:t>
      </w:r>
    </w:p>
    <w:p>
      <w:pPr>
        <w:pStyle w:val="BodyText"/>
        <w:numPr>
          <w:ilvl w:val="1"/>
          <w:numId w:val="1"/>
        </w:numPr>
        <w:tabs>
          <w:tab w:pos="1560" w:val="left" w:leader="none"/>
        </w:tabs>
        <w:spacing w:line="240" w:lineRule="auto" w:before="0" w:after="0"/>
        <w:ind w:left="1560" w:right="374" w:hanging="360"/>
        <w:jc w:val="left"/>
      </w:pPr>
      <w:r>
        <w:rPr>
          <w:spacing w:val="-2"/>
        </w:rPr>
        <w:t>Is</w:t>
      </w:r>
      <w:r>
        <w:rPr/>
        <w:t> due</w:t>
      </w:r>
      <w:r>
        <w:rPr>
          <w:spacing w:val="-1"/>
        </w:rPr>
        <w:t> </w:t>
      </w:r>
      <w:r>
        <w:rPr/>
        <w:t>to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commensurate with</w:t>
      </w:r>
      <w:r>
        <w:rPr/>
        <w:t> </w:t>
      </w:r>
      <w:r>
        <w:rPr>
          <w:spacing w:val="-1"/>
        </w:rPr>
        <w:t>insured</w:t>
      </w:r>
      <w:r>
        <w:rPr/>
        <w:t> </w:t>
      </w:r>
      <w:r>
        <w:rPr>
          <w:spacing w:val="-1"/>
        </w:rPr>
        <w:t>value</w:t>
      </w:r>
      <w:r>
        <w:rPr>
          <w:spacing w:val="1"/>
        </w:rPr>
        <w:t> </w:t>
      </w:r>
      <w:r>
        <w:rPr/>
        <w:t>added </w:t>
      </w:r>
      <w:r>
        <w:rPr>
          <w:spacing w:val="-1"/>
        </w:rPr>
        <w:t>subsequent</w:t>
      </w:r>
      <w:r>
        <w:rPr/>
        <w:t> to issuance</w:t>
      </w:r>
      <w:r>
        <w:rPr>
          <w:spacing w:val="-1"/>
        </w:rPr>
        <w:t> </w:t>
      </w:r>
      <w:r>
        <w:rPr/>
        <w:t>or</w:t>
      </w:r>
      <w:r>
        <w:rPr>
          <w:spacing w:val="69"/>
        </w:rPr>
        <w:t> </w:t>
      </w:r>
      <w:r>
        <w:rPr>
          <w:spacing w:val="-1"/>
        </w:rPr>
        <w:t>last</w:t>
      </w:r>
      <w:r>
        <w:rPr/>
        <w:t> </w:t>
      </w:r>
      <w:r>
        <w:rPr>
          <w:spacing w:val="-1"/>
        </w:rPr>
        <w:t>renewal</w:t>
      </w:r>
      <w:r>
        <w:rPr/>
        <w:t> </w:t>
      </w:r>
      <w:r>
        <w:rPr>
          <w:spacing w:val="-1"/>
        </w:rPr>
        <w:t>date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policy,</w:t>
      </w:r>
      <w:r>
        <w:rPr/>
        <w:t> </w:t>
      </w:r>
      <w:r>
        <w:rPr>
          <w:spacing w:val="-1"/>
        </w:rPr>
        <w:t>such</w:t>
      </w:r>
      <w:r>
        <w:rPr>
          <w:spacing w:val="2"/>
        </w:rPr>
        <w:t> </w:t>
      </w:r>
      <w:r>
        <w:rPr>
          <w:spacing w:val="-1"/>
        </w:rPr>
        <w:t>as</w:t>
      </w:r>
      <w:r>
        <w:rPr/>
        <w:t> </w:t>
      </w:r>
      <w:r>
        <w:rPr>
          <w:spacing w:val="-1"/>
        </w:rPr>
        <w:t>additional</w:t>
      </w:r>
      <w:r>
        <w:rPr>
          <w:spacing w:val="2"/>
        </w:rPr>
        <w:t> </w:t>
      </w:r>
      <w:r>
        <w:rPr/>
        <w:t>property</w:t>
      </w:r>
      <w:r>
        <w:rPr>
          <w:spacing w:val="-5"/>
        </w:rPr>
        <w:t> </w:t>
      </w:r>
      <w:r>
        <w:rPr>
          <w:spacing w:val="-1"/>
        </w:rPr>
        <w:t>covered</w:t>
      </w:r>
      <w:r>
        <w:rPr/>
        <w:t> </w:t>
      </w:r>
      <w:r>
        <w:rPr>
          <w:spacing w:val="1"/>
        </w:rPr>
        <w:t>or</w:t>
      </w:r>
      <w:r>
        <w:rPr>
          <w:spacing w:val="-1"/>
        </w:rPr>
        <w:t> higher</w:t>
      </w:r>
      <w:r>
        <w:rPr>
          <w:spacing w:val="77"/>
        </w:rPr>
        <w:t> </w:t>
      </w:r>
      <w:r>
        <w:rPr/>
        <w:t>limits of</w:t>
      </w:r>
      <w:r>
        <w:rPr>
          <w:spacing w:val="-1"/>
        </w:rPr>
        <w:t> insurance;</w:t>
      </w:r>
      <w:r>
        <w:rPr/>
        <w:t> or</w:t>
      </w:r>
    </w:p>
    <w:p>
      <w:pPr>
        <w:pStyle w:val="BodyText"/>
        <w:numPr>
          <w:ilvl w:val="1"/>
          <w:numId w:val="1"/>
        </w:numPr>
        <w:tabs>
          <w:tab w:pos="1560" w:val="left" w:leader="none"/>
        </w:tabs>
        <w:spacing w:line="240" w:lineRule="auto" w:before="0" w:after="0"/>
        <w:ind w:left="1560" w:right="0" w:hanging="360"/>
        <w:jc w:val="left"/>
      </w:pPr>
      <w:r>
        <w:rPr>
          <w:spacing w:val="-2"/>
        </w:rPr>
        <w:t>Is</w:t>
      </w:r>
      <w:r>
        <w:rPr/>
        <w:t> made</w:t>
      </w:r>
      <w:r>
        <w:rPr>
          <w:spacing w:val="-1"/>
        </w:rPr>
        <w:t> </w:t>
      </w:r>
      <w:r>
        <w:rPr/>
        <w:t>in </w:t>
      </w:r>
      <w:r>
        <w:rPr>
          <w:spacing w:val="-1"/>
        </w:rPr>
        <w:t>lieu</w:t>
      </w:r>
      <w:r>
        <w:rPr/>
        <w:t> of</w:t>
      </w:r>
      <w:r>
        <w:rPr>
          <w:spacing w:val="-1"/>
        </w:rPr>
        <w:t> </w:t>
      </w:r>
      <w:r>
        <w:rPr/>
        <w:t>cancelling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policy</w:t>
      </w:r>
      <w:r>
        <w:rPr>
          <w:spacing w:val="-5"/>
        </w:rPr>
        <w:t> </w:t>
      </w:r>
      <w:r>
        <w:rPr/>
        <w:t>for</w:t>
      </w:r>
      <w:r>
        <w:rPr>
          <w:spacing w:val="-1"/>
        </w:rPr>
        <w:t> </w:t>
      </w:r>
      <w:r>
        <w:rPr/>
        <w:t>one</w:t>
      </w:r>
      <w:r>
        <w:rPr>
          <w:spacing w:val="-1"/>
        </w:rPr>
        <w:t> </w:t>
      </w:r>
      <w:r>
        <w:rPr/>
        <w:t>or</w:t>
      </w:r>
      <w:r>
        <w:rPr>
          <w:spacing w:val="1"/>
        </w:rPr>
        <w:t> </w:t>
      </w:r>
      <w:r>
        <w:rPr>
          <w:spacing w:val="-1"/>
        </w:rPr>
        <w:t>more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following</w:t>
      </w:r>
      <w:r>
        <w:rPr>
          <w:spacing w:val="-3"/>
        </w:rPr>
        <w:t> </w:t>
      </w:r>
      <w:r>
        <w:rPr/>
        <w:t>reasons:</w:t>
      </w:r>
    </w:p>
    <w:p>
      <w:pPr>
        <w:pStyle w:val="BodyText"/>
        <w:numPr>
          <w:ilvl w:val="2"/>
          <w:numId w:val="1"/>
        </w:numPr>
        <w:tabs>
          <w:tab w:pos="2640" w:val="left" w:leader="none"/>
        </w:tabs>
        <w:spacing w:line="240" w:lineRule="auto" w:before="0" w:after="0"/>
        <w:ind w:left="2640" w:right="144" w:hanging="488"/>
        <w:jc w:val="left"/>
      </w:pPr>
      <w:r>
        <w:rPr/>
        <w:t>Discovery</w:t>
      </w:r>
      <w:r>
        <w:rPr>
          <w:spacing w:val="-5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1"/>
        </w:rPr>
        <w:t>an</w:t>
      </w:r>
      <w:r>
        <w:rPr/>
        <w:t> act or</w:t>
      </w:r>
      <w:r>
        <w:rPr>
          <w:spacing w:val="-1"/>
        </w:rPr>
        <w:t> </w:t>
      </w:r>
      <w:r>
        <w:rPr/>
        <w:t>omission, or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violation</w:t>
      </w:r>
      <w:r>
        <w:rPr/>
        <w:t> of</w:t>
      </w:r>
      <w:r>
        <w:rPr>
          <w:spacing w:val="-1"/>
        </w:rPr>
        <w:t> </w:t>
      </w:r>
      <w:r>
        <w:rPr/>
        <w:t>any</w:t>
      </w:r>
      <w:r>
        <w:rPr>
          <w:spacing w:val="-5"/>
        </w:rPr>
        <w:t> </w:t>
      </w:r>
      <w:r>
        <w:rPr/>
        <w:t>policy</w:t>
      </w:r>
      <w:r>
        <w:rPr>
          <w:spacing w:val="-3"/>
        </w:rPr>
        <w:t> </w:t>
      </w:r>
      <w:r>
        <w:rPr>
          <w:spacing w:val="-1"/>
        </w:rPr>
        <w:t>condition,</w:t>
      </w:r>
      <w:r>
        <w:rPr>
          <w:spacing w:val="50"/>
        </w:rPr>
        <w:t> </w:t>
      </w:r>
      <w:r>
        <w:rPr>
          <w:spacing w:val="-1"/>
        </w:rPr>
        <w:t>that</w:t>
      </w:r>
      <w:r>
        <w:rPr/>
        <w:t> substantially</w:t>
      </w:r>
      <w:r>
        <w:rPr>
          <w:spacing w:val="-5"/>
        </w:rPr>
        <w:t> </w:t>
      </w:r>
      <w:r>
        <w:rPr>
          <w:spacing w:val="-1"/>
        </w:rPr>
        <w:t>and</w:t>
      </w:r>
      <w:r>
        <w:rPr/>
        <w:t> materially</w:t>
      </w:r>
      <w:r>
        <w:rPr>
          <w:spacing w:val="-5"/>
        </w:rPr>
        <w:t> </w:t>
      </w:r>
      <w:r>
        <w:rPr>
          <w:spacing w:val="-1"/>
        </w:rPr>
        <w:t>increases</w:t>
      </w:r>
      <w:r>
        <w:rPr/>
        <w:t> the</w:t>
      </w:r>
      <w:r>
        <w:rPr>
          <w:spacing w:val="-1"/>
        </w:rPr>
        <w:t> </w:t>
      </w:r>
      <w:r>
        <w:rPr/>
        <w:t>hazard </w:t>
      </w:r>
      <w:r>
        <w:rPr>
          <w:spacing w:val="-1"/>
        </w:rPr>
        <w:t>insured</w:t>
      </w:r>
      <w:r>
        <w:rPr/>
        <w:t> against,</w:t>
      </w:r>
      <w:r>
        <w:rPr>
          <w:spacing w:val="37"/>
        </w:rPr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which</w:t>
      </w:r>
      <w:r>
        <w:rPr>
          <w:spacing w:val="28"/>
        </w:rPr>
        <w:t> </w:t>
      </w:r>
      <w:r>
        <w:rPr>
          <w:spacing w:val="-1"/>
        </w:rPr>
        <w:t>occurred</w:t>
      </w:r>
      <w:r>
        <w:rPr/>
        <w:t> </w:t>
      </w:r>
      <w:r>
        <w:rPr>
          <w:spacing w:val="-1"/>
        </w:rPr>
        <w:t>subsequent</w:t>
      </w:r>
      <w:r>
        <w:rPr/>
        <w:t> to issuance</w:t>
      </w:r>
      <w:r>
        <w:rPr>
          <w:spacing w:val="-1"/>
        </w:rPr>
        <w:t> </w:t>
      </w:r>
      <w:r>
        <w:rPr/>
        <w:t>or</w:t>
      </w:r>
      <w:r>
        <w:rPr>
          <w:spacing w:val="-1"/>
        </w:rPr>
        <w:t> </w:t>
      </w:r>
      <w:r>
        <w:rPr/>
        <w:t>last </w:t>
      </w:r>
      <w:r>
        <w:rPr>
          <w:spacing w:val="-1"/>
        </w:rPr>
        <w:t>renewal</w:t>
      </w:r>
      <w:r>
        <w:rPr/>
        <w:t> date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policy;</w:t>
      </w:r>
      <w:r>
        <w:rPr/>
        <w:t> or</w:t>
      </w:r>
    </w:p>
    <w:p>
      <w:pPr>
        <w:pStyle w:val="BodyText"/>
        <w:numPr>
          <w:ilvl w:val="2"/>
          <w:numId w:val="1"/>
        </w:numPr>
        <w:tabs>
          <w:tab w:pos="2640" w:val="left" w:leader="none"/>
        </w:tabs>
        <w:spacing w:line="240" w:lineRule="auto" w:before="0" w:after="0"/>
        <w:ind w:left="2640" w:right="167" w:hanging="555"/>
        <w:jc w:val="left"/>
      </w:pPr>
      <w:r>
        <w:rPr>
          <w:spacing w:val="-1"/>
        </w:rPr>
        <w:t>Material</w:t>
      </w:r>
      <w:r>
        <w:rPr/>
        <w:t> </w:t>
      </w:r>
      <w:r>
        <w:rPr>
          <w:spacing w:val="-1"/>
        </w:rPr>
        <w:t>change </w:t>
      </w:r>
      <w:r>
        <w:rPr/>
        <w:t>in the</w:t>
      </w:r>
      <w:r>
        <w:rPr>
          <w:spacing w:val="-1"/>
        </w:rPr>
        <w:t> nature or </w:t>
      </w:r>
      <w:r>
        <w:rPr/>
        <w:t>extent of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risk,</w:t>
      </w:r>
      <w:r>
        <w:rPr>
          <w:spacing w:val="2"/>
        </w:rPr>
        <w:t> </w:t>
      </w:r>
      <w:r>
        <w:rPr>
          <w:spacing w:val="-1"/>
        </w:rPr>
        <w:t>occurring</w:t>
      </w:r>
      <w:r>
        <w:rPr>
          <w:spacing w:val="53"/>
        </w:rPr>
        <w:t> </w:t>
      </w:r>
      <w:r>
        <w:rPr>
          <w:spacing w:val="-1"/>
        </w:rPr>
        <w:t>subsequent</w:t>
      </w:r>
      <w:r>
        <w:rPr/>
        <w:t> to </w:t>
      </w:r>
      <w:r>
        <w:rPr>
          <w:spacing w:val="-1"/>
        </w:rPr>
        <w:t>issuance </w:t>
      </w:r>
      <w:r>
        <w:rPr/>
        <w:t>or</w:t>
      </w:r>
      <w:r>
        <w:rPr>
          <w:spacing w:val="1"/>
        </w:rPr>
        <w:t> </w:t>
      </w:r>
      <w:r>
        <w:rPr>
          <w:spacing w:val="-1"/>
        </w:rPr>
        <w:t>last</w:t>
      </w:r>
      <w:r>
        <w:rPr/>
        <w:t> </w:t>
      </w:r>
      <w:r>
        <w:rPr>
          <w:spacing w:val="-1"/>
        </w:rPr>
        <w:t>renewal</w:t>
      </w:r>
      <w:r>
        <w:rPr/>
        <w:t> </w:t>
      </w:r>
      <w:r>
        <w:rPr>
          <w:spacing w:val="-1"/>
        </w:rPr>
        <w:t>date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policy,</w:t>
      </w:r>
      <w:r>
        <w:rPr/>
        <w:t> </w:t>
      </w:r>
      <w:r>
        <w:rPr>
          <w:spacing w:val="-1"/>
        </w:rPr>
        <w:t>which</w:t>
      </w:r>
      <w:r>
        <w:rPr>
          <w:spacing w:val="2"/>
        </w:rPr>
        <w:t> </w:t>
      </w:r>
      <w:r>
        <w:rPr>
          <w:spacing w:val="-1"/>
        </w:rPr>
        <w:t>causes</w:t>
      </w:r>
      <w:r>
        <w:rPr>
          <w:spacing w:val="67"/>
        </w:rPr>
        <w:t> </w:t>
      </w:r>
      <w:r>
        <w:rPr/>
        <w:t>the</w:t>
      </w:r>
      <w:r>
        <w:rPr>
          <w:spacing w:val="-1"/>
        </w:rPr>
        <w:t> risk</w:t>
      </w:r>
      <w:r>
        <w:rPr/>
        <w:t> of</w:t>
      </w:r>
      <w:r>
        <w:rPr>
          <w:spacing w:val="-1"/>
        </w:rPr>
        <w:t> </w:t>
      </w:r>
      <w:r>
        <w:rPr/>
        <w:t>loss to be</w:t>
      </w:r>
      <w:r>
        <w:rPr>
          <w:spacing w:val="-1"/>
        </w:rPr>
        <w:t> </w:t>
      </w:r>
      <w:r>
        <w:rPr/>
        <w:t>substantially</w:t>
      </w:r>
      <w:r>
        <w:rPr>
          <w:spacing w:val="-5"/>
        </w:rPr>
        <w:t> </w:t>
      </w:r>
      <w:r>
        <w:rPr>
          <w:spacing w:val="-1"/>
        </w:rPr>
        <w:t>and</w:t>
      </w:r>
      <w:r>
        <w:rPr/>
        <w:t> materially</w:t>
      </w:r>
      <w:r>
        <w:rPr>
          <w:spacing w:val="-5"/>
        </w:rPr>
        <w:t> </w:t>
      </w:r>
      <w:r>
        <w:rPr>
          <w:spacing w:val="-1"/>
        </w:rPr>
        <w:t>increased</w:t>
      </w:r>
      <w:r>
        <w:rPr/>
        <w:t> </w:t>
      </w:r>
      <w:r>
        <w:rPr>
          <w:spacing w:val="-1"/>
        </w:rPr>
        <w:t>beyond</w:t>
      </w:r>
      <w:r>
        <w:rPr/>
        <w:t> </w:t>
      </w:r>
      <w:r>
        <w:rPr>
          <w:spacing w:val="-1"/>
        </w:rPr>
        <w:t>that</w:t>
      </w:r>
      <w:r>
        <w:rPr>
          <w:spacing w:val="43"/>
        </w:rPr>
        <w:t> </w:t>
      </w:r>
      <w:r>
        <w:rPr>
          <w:spacing w:val="-1"/>
        </w:rPr>
        <w:t>contemplated</w:t>
      </w:r>
      <w:r>
        <w:rPr/>
        <w:t> </w:t>
      </w:r>
      <w:r>
        <w:rPr>
          <w:spacing w:val="-1"/>
        </w:rPr>
        <w:t>at</w:t>
      </w:r>
      <w:r>
        <w:rPr/>
        <w:t> the</w:t>
      </w:r>
      <w:r>
        <w:rPr>
          <w:spacing w:val="-1"/>
        </w:rPr>
        <w:t> </w:t>
      </w:r>
      <w:r>
        <w:rPr/>
        <w:t>time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</w:t>
      </w:r>
      <w:r>
        <w:rPr/>
        <w:t>policy</w:t>
      </w:r>
      <w:r>
        <w:rPr>
          <w:spacing w:val="-5"/>
        </w:rPr>
        <w:t> </w:t>
      </w:r>
      <w:r>
        <w:rPr/>
        <w:t>was </w:t>
      </w:r>
      <w:r>
        <w:rPr>
          <w:spacing w:val="-1"/>
        </w:rPr>
        <w:t>issued</w:t>
      </w:r>
      <w:r>
        <w:rPr/>
        <w:t> or</w:t>
      </w:r>
      <w:r>
        <w:rPr>
          <w:spacing w:val="-1"/>
        </w:rPr>
        <w:t> </w:t>
      </w:r>
      <w:r>
        <w:rPr/>
        <w:t>last </w:t>
      </w:r>
      <w:r>
        <w:rPr>
          <w:spacing w:val="-1"/>
        </w:rPr>
        <w:t>renewed.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before="0"/>
        <w:ind w:left="284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z w:val="20"/>
        </w:rPr>
        <w:t>.</w:t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3"/>
          <w:szCs w:val="23"/>
        </w:rPr>
      </w:pPr>
    </w:p>
    <w:p>
      <w:pPr>
        <w:tabs>
          <w:tab w:pos="4744" w:val="left" w:leader="none"/>
          <w:tab w:pos="8637" w:val="left" w:leader="none"/>
        </w:tabs>
        <w:spacing w:before="56"/>
        <w:ind w:left="119" w:right="0" w:firstLine="0"/>
        <w:jc w:val="left"/>
        <w:rPr>
          <w:rFonts w:ascii="Calibri" w:hAnsi="Calibri" w:cs="Calibri" w:eastAsia="Calibri"/>
          <w:sz w:val="22"/>
          <w:szCs w:val="22"/>
        </w:rPr>
      </w:pPr>
      <w:r>
        <w:rPr>
          <w:rFonts w:ascii="Calibri"/>
          <w:spacing w:val="-1"/>
          <w:sz w:val="22"/>
        </w:rPr>
        <w:t>DIV-IL-NY-RU</w:t>
        <w:tab/>
      </w:r>
      <w:r>
        <w:rPr>
          <w:rFonts w:ascii="Calibri"/>
          <w:w w:val="95"/>
          <w:sz w:val="22"/>
        </w:rPr>
        <w:t>1</w:t>
        <w:tab/>
      </w:r>
      <w:r>
        <w:rPr>
          <w:rFonts w:ascii="Calibri"/>
          <w:spacing w:val="-1"/>
          <w:sz w:val="22"/>
        </w:rPr>
        <w:t>Ed.</w:t>
      </w:r>
      <w:r>
        <w:rPr>
          <w:rFonts w:ascii="Calibri"/>
          <w:sz w:val="22"/>
        </w:rPr>
        <w:t> </w:t>
      </w:r>
      <w:r>
        <w:rPr>
          <w:rFonts w:ascii="Calibri"/>
          <w:spacing w:val="-1"/>
          <w:sz w:val="22"/>
        </w:rPr>
        <w:t>12-16</w:t>
      </w:r>
    </w:p>
    <w:sectPr>
      <w:type w:val="continuous"/>
      <w:pgSz w:w="12240" w:h="15840"/>
      <w:pgMar w:top="1440" w:bottom="280" w:left="13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4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lowerLetter"/>
      <w:lvlText w:val="%2)"/>
      <w:lvlJc w:val="left"/>
      <w:pPr>
        <w:ind w:left="1560" w:hanging="360"/>
        <w:jc w:val="left"/>
      </w:pPr>
      <w:rPr>
        <w:rFonts w:hint="default" w:ascii="Times New Roman" w:hAnsi="Times New Roman" w:eastAsia="Times New Roman"/>
        <w:spacing w:val="-1"/>
        <w:sz w:val="24"/>
        <w:szCs w:val="24"/>
      </w:rPr>
    </w:lvl>
    <w:lvl w:ilvl="2">
      <w:start w:val="1"/>
      <w:numFmt w:val="lowerRoman"/>
      <w:lvlText w:val="%3."/>
      <w:lvlJc w:val="left"/>
      <w:pPr>
        <w:ind w:left="2640" w:hanging="488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510" w:hanging="4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0" w:hanging="4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0" w:hanging="4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0" w:hanging="4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0" w:hanging="4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0" w:hanging="48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840" w:hanging="360"/>
    </w:pPr>
    <w:rPr>
      <w:rFonts w:ascii="Times New Roman" w:hAnsi="Times New Roman" w:eastAsia="Times New Rom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dcterms:created xsi:type="dcterms:W3CDTF">2017-02-02T10:45:41Z</dcterms:created>
  <dcterms:modified xsi:type="dcterms:W3CDTF">2017-02-02T10:45:41Z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2016-12-19T00:00:00Z</vt:filetime>
  </property>
  <property fmtid="{D5CDD505-2E9C-101B-9397-08002B2CF9AE}" pid="3" name="LastSaved">
    <vt:filetime>2017-02-02T00:00:00Z</vt:filetime>
  </property>
</Properties>
</file>