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178" w:right="1181"/>
        <w:jc w:val="center"/>
      </w:pPr>
      <w:r>
        <w:rPr>
          <w:spacing w:val="-2"/>
        </w:rPr>
        <w:t>ENDORSEMENT</w:t>
      </w:r>
    </w:p>
    <w:p>
      <w:pPr>
        <w:pStyle w:val="BodyText"/>
        <w:rPr>
          <w:b/>
        </w:rPr>
      </w:pPr>
    </w:p>
    <w:p>
      <w:pPr>
        <w:spacing w:before="0"/>
        <w:ind w:left="1181" w:right="1181"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0"/>
        </w:rPr>
        <w:t> </w:t>
      </w:r>
      <w:r>
        <w:rPr/>
        <w:t>PROGRAM</w:t>
      </w:r>
      <w:r>
        <w:rPr>
          <w:spacing w:val="-13"/>
        </w:rPr>
        <w:t> </w:t>
      </w:r>
      <w:r>
        <w:rPr/>
        <w:t>PERFORMANCE</w:t>
      </w:r>
      <w:r>
        <w:rPr>
          <w:vertAlign w:val="superscript"/>
        </w:rPr>
        <w:t>sm</w:t>
      </w:r>
      <w:r>
        <w:rPr>
          <w:spacing w:val="-27"/>
          <w:vertAlign w:val="baseline"/>
        </w:rPr>
        <w:t> </w:t>
      </w:r>
      <w:r>
        <w:rPr>
          <w:vertAlign w:val="baseline"/>
        </w:rPr>
        <w:t>ENDORSEMENT </w:t>
      </w:r>
      <w:r>
        <w:rPr>
          <w:spacing w:val="-2"/>
          <w:vertAlign w:val="baseline"/>
        </w:rPr>
        <w:t>VIRGINIA</w:t>
      </w:r>
    </w:p>
    <w:p>
      <w:pPr>
        <w:pStyle w:val="BodyText"/>
        <w:spacing w:before="2"/>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0"/>
        <w:rPr>
          <w:sz w:val="19"/>
        </w:rPr>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spacing w:before="2"/>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pPr>
    </w:p>
    <w:p>
      <w:pPr>
        <w:pStyle w:val="BodyText"/>
        <w:ind w:left="219" w:right="219"/>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11"/>
        <w:rPr>
          <w:sz w:val="19"/>
        </w:rPr>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4"/>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1"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3"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3"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4"/>
                <w:sz w:val="20"/>
              </w:rPr>
              <w:t> </w:t>
            </w:r>
            <w:r>
              <w:rPr>
                <w:sz w:val="20"/>
              </w:rPr>
              <w:t>in</w:t>
            </w:r>
            <w:r>
              <w:rPr>
                <w:spacing w:val="-14"/>
                <w:sz w:val="20"/>
              </w:rPr>
              <w:t> </w:t>
            </w:r>
            <w:r>
              <w:rPr>
                <w:sz w:val="20"/>
              </w:rPr>
              <w:t>the</w:t>
            </w:r>
            <w:r>
              <w:rPr>
                <w:spacing w:val="-12"/>
                <w:sz w:val="20"/>
              </w:rPr>
              <w:t> </w:t>
            </w:r>
            <w:r>
              <w:rPr>
                <w:sz w:val="20"/>
              </w:rPr>
              <w:t>Applicable Limit of Insurance</w:t>
            </w:r>
          </w:p>
        </w:tc>
        <w:tc>
          <w:tcPr>
            <w:tcW w:w="1350"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4"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90"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29"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57" w:hRule="atLeast"/>
        </w:trPr>
        <w:tc>
          <w:tcPr>
            <w:tcW w:w="6540" w:type="dxa"/>
          </w:tcPr>
          <w:p>
            <w:pPr>
              <w:pStyle w:val="TableParagraph"/>
              <w:spacing w:line="230"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7" w:lineRule="exact"/>
              <w:rPr>
                <w:sz w:val="20"/>
              </w:rPr>
            </w:pPr>
            <w:r>
              <w:rPr>
                <w:spacing w:val="-2"/>
                <w:sz w:val="20"/>
              </w:rPr>
              <w:t>$500,000</w:t>
            </w:r>
          </w:p>
        </w:tc>
        <w:tc>
          <w:tcPr>
            <w:tcW w:w="1423" w:type="dxa"/>
          </w:tcPr>
          <w:p>
            <w:pPr>
              <w:pStyle w:val="TableParagraph"/>
              <w:spacing w:line="227" w:lineRule="exact"/>
              <w:ind w:left="7"/>
              <w:jc w:val="center"/>
              <w:rPr>
                <w:sz w:val="20"/>
              </w:rPr>
            </w:pPr>
            <w:r>
              <w:rPr>
                <w:w w:val="99"/>
                <w:sz w:val="20"/>
              </w:rPr>
              <w:t>5</w:t>
            </w:r>
          </w:p>
        </w:tc>
      </w:tr>
      <w:tr>
        <w:trPr>
          <w:trHeight w:val="228" w:hRule="atLeast"/>
        </w:trPr>
        <w:tc>
          <w:tcPr>
            <w:tcW w:w="6540" w:type="dxa"/>
          </w:tcPr>
          <w:p>
            <w:pPr>
              <w:pStyle w:val="TableParagraph"/>
              <w:spacing w:line="208" w:lineRule="exact"/>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spacing w:line="208" w:lineRule="exact"/>
              <w:rPr>
                <w:sz w:val="20"/>
              </w:rPr>
            </w:pPr>
            <w:r>
              <w:rPr>
                <w:spacing w:val="-2"/>
                <w:sz w:val="20"/>
              </w:rPr>
              <w:t>$100,000</w:t>
            </w:r>
          </w:p>
        </w:tc>
        <w:tc>
          <w:tcPr>
            <w:tcW w:w="1423" w:type="dxa"/>
          </w:tcPr>
          <w:p>
            <w:pPr>
              <w:pStyle w:val="TableParagraph"/>
              <w:spacing w:line="208" w:lineRule="exact"/>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2" w:hRule="atLeast"/>
        </w:trPr>
        <w:tc>
          <w:tcPr>
            <w:tcW w:w="6540"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spacing w:line="212" w:lineRule="exact"/>
              <w:rPr>
                <w:sz w:val="20"/>
              </w:rPr>
            </w:pPr>
            <w:r>
              <w:rPr>
                <w:spacing w:val="-2"/>
                <w:sz w:val="20"/>
              </w:rPr>
              <w:t>$10,000</w:t>
            </w:r>
          </w:p>
        </w:tc>
        <w:tc>
          <w:tcPr>
            <w:tcW w:w="1423" w:type="dxa"/>
          </w:tcPr>
          <w:p>
            <w:pPr>
              <w:pStyle w:val="TableParagraph"/>
              <w:spacing w:line="212" w:lineRule="exact"/>
              <w:ind w:left="457" w:right="451"/>
              <w:jc w:val="center"/>
              <w:rPr>
                <w:sz w:val="20"/>
              </w:rPr>
            </w:pPr>
            <w:r>
              <w:rPr>
                <w:spacing w:val="-5"/>
                <w:sz w:val="20"/>
              </w:rPr>
              <w:t>22</w:t>
            </w:r>
          </w:p>
        </w:tc>
      </w:tr>
    </w:tbl>
    <w:p>
      <w:pPr>
        <w:pStyle w:val="BodyText"/>
        <w:spacing w:after="1"/>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37"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7"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14</w:t>
            </w:r>
          </w:p>
        </w:tc>
      </w:tr>
      <w:tr>
        <w:trPr>
          <w:trHeight w:val="229"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58" w:hRule="atLeast"/>
        </w:trPr>
        <w:tc>
          <w:tcPr>
            <w:tcW w:w="6535" w:type="dxa"/>
          </w:tcPr>
          <w:p>
            <w:pPr>
              <w:pStyle w:val="TableParagraph"/>
              <w:spacing w:line="230"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24</w:t>
            </w:r>
          </w:p>
        </w:tc>
      </w:tr>
      <w:tr>
        <w:trPr>
          <w:trHeight w:val="458" w:hRule="atLeast"/>
        </w:trPr>
        <w:tc>
          <w:tcPr>
            <w:tcW w:w="6535" w:type="dxa"/>
          </w:tcPr>
          <w:p>
            <w:pPr>
              <w:pStyle w:val="TableParagraph"/>
              <w:spacing w:line="228"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r>
        <w:trPr>
          <w:trHeight w:val="230" w:hRule="atLeast"/>
        </w:trPr>
        <w:tc>
          <w:tcPr>
            <w:tcW w:w="6535"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3057"/>
        <w:gridCol w:w="1367"/>
      </w:tblGrid>
      <w:tr>
        <w:trPr>
          <w:trHeight w:val="204"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8" w:type="dxa"/>
            <w:gridSpan w:val="2"/>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7" w:type="dxa"/>
          </w:tcPr>
          <w:p>
            <w:pPr>
              <w:pStyle w:val="TableParagraph"/>
              <w:spacing w:line="185" w:lineRule="exact"/>
              <w:ind w:left="431" w:right="423"/>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7" w:type="dxa"/>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02"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230"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8" w:type="dxa"/>
            <w:gridSpan w:val="2"/>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7" w:type="dxa"/>
          </w:tcPr>
          <w:p>
            <w:pPr>
              <w:pStyle w:val="TableParagraph"/>
              <w:ind w:left="430" w:right="423"/>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30"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29"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235"/>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10"/>
        <w:rPr>
          <w:b/>
          <w:sz w:val="18"/>
        </w:rPr>
      </w:pPr>
    </w:p>
    <w:p>
      <w:pPr>
        <w:pStyle w:val="ListParagraph"/>
        <w:numPr>
          <w:ilvl w:val="4"/>
          <w:numId w:val="1"/>
        </w:numPr>
        <w:tabs>
          <w:tab w:pos="1990" w:val="left" w:leader="none"/>
          <w:tab w:pos="2007" w:val="left" w:leader="none"/>
        </w:tabs>
        <w:spacing w:line="230" w:lineRule="auto" w:before="0" w:after="0"/>
        <w:ind w:left="1990" w:right="454" w:hanging="331"/>
        <w:jc w:val="left"/>
        <w:rPr>
          <w:sz w:val="20"/>
        </w:rPr>
      </w:pPr>
      <w:r>
        <w:rPr>
          <w:rFonts w:ascii="Times New Roman"/>
          <w:b/>
          <w:sz w:val="20"/>
        </w:rPr>
        <w:tab/>
      </w:r>
      <w:r>
        <w:rPr>
          <w:sz w:val="20"/>
        </w:rPr>
        <w:t>When the fire department is called to save or protect Covered Property from a Covered</w:t>
      </w:r>
      <w:r>
        <w:rPr>
          <w:spacing w:val="-3"/>
          <w:sz w:val="20"/>
        </w:rPr>
        <w:t> </w:t>
      </w:r>
      <w:r>
        <w:rPr>
          <w:sz w:val="20"/>
        </w:rPr>
        <w:t>Cause</w:t>
      </w:r>
      <w:r>
        <w:rPr>
          <w:spacing w:val="-3"/>
          <w:sz w:val="20"/>
        </w:rPr>
        <w:t> </w:t>
      </w:r>
      <w:r>
        <w:rPr>
          <w:sz w:val="20"/>
        </w:rPr>
        <w:t>of</w:t>
      </w:r>
      <w:r>
        <w:rPr>
          <w:spacing w:val="-1"/>
          <w:sz w:val="20"/>
        </w:rPr>
        <w:t> </w:t>
      </w:r>
      <w:r>
        <w:rPr>
          <w:sz w:val="20"/>
        </w:rPr>
        <w:t>Loss,</w:t>
      </w:r>
      <w:r>
        <w:rPr>
          <w:spacing w:val="-3"/>
          <w:sz w:val="20"/>
        </w:rPr>
        <w:t> </w:t>
      </w:r>
      <w:r>
        <w:rPr>
          <w:sz w:val="20"/>
        </w:rPr>
        <w:t>we</w:t>
      </w:r>
      <w:r>
        <w:rPr>
          <w:spacing w:val="-1"/>
          <w:sz w:val="20"/>
        </w:rPr>
        <w:t> </w:t>
      </w:r>
      <w:r>
        <w:rPr>
          <w:sz w:val="20"/>
        </w:rPr>
        <w:t>will</w:t>
      </w:r>
      <w:r>
        <w:rPr>
          <w:spacing w:val="-4"/>
          <w:sz w:val="20"/>
        </w:rPr>
        <w:t> </w:t>
      </w:r>
      <w:r>
        <w:rPr>
          <w:sz w:val="20"/>
        </w:rPr>
        <w:t>pay</w:t>
      </w:r>
      <w:r>
        <w:rPr>
          <w:spacing w:val="-4"/>
          <w:sz w:val="20"/>
        </w:rPr>
        <w:t> </w:t>
      </w:r>
      <w:r>
        <w:rPr>
          <w:sz w:val="20"/>
        </w:rPr>
        <w:t>up</w:t>
      </w:r>
      <w:r>
        <w:rPr>
          <w:spacing w:val="-3"/>
          <w:sz w:val="20"/>
        </w:rPr>
        <w:t> </w:t>
      </w:r>
      <w:r>
        <w:rPr>
          <w:sz w:val="20"/>
        </w:rPr>
        <w:t>to</w:t>
      </w:r>
      <w:r>
        <w:rPr>
          <w:spacing w:val="-3"/>
          <w:sz w:val="20"/>
        </w:rPr>
        <w:t> </w:t>
      </w:r>
      <w:r>
        <w:rPr>
          <w:sz w:val="20"/>
        </w:rPr>
        <w:t>the</w:t>
      </w:r>
      <w:r>
        <w:rPr>
          <w:spacing w:val="-3"/>
          <w:sz w:val="20"/>
        </w:rPr>
        <w:t> </w:t>
      </w:r>
      <w:r>
        <w:rPr>
          <w:sz w:val="20"/>
        </w:rPr>
        <w:t>Fire Department</w:t>
      </w:r>
      <w:r>
        <w:rPr>
          <w:spacing w:val="-3"/>
          <w:sz w:val="20"/>
        </w:rPr>
        <w:t> </w:t>
      </w:r>
      <w:r>
        <w:rPr>
          <w:sz w:val="20"/>
        </w:rPr>
        <w:t>Service</w:t>
      </w:r>
      <w:r>
        <w:rPr>
          <w:spacing w:val="-1"/>
          <w:sz w:val="20"/>
        </w:rPr>
        <w:t> </w:t>
      </w:r>
      <w:r>
        <w:rPr>
          <w:sz w:val="20"/>
        </w:rPr>
        <w:t>Charge</w:t>
      </w:r>
      <w:r>
        <w:rPr>
          <w:spacing w:val="-3"/>
          <w:sz w:val="20"/>
        </w:rPr>
        <w:t> </w:t>
      </w:r>
      <w:r>
        <w:rPr>
          <w:sz w:val="20"/>
        </w:rPr>
        <w:t>limit shown in </w:t>
      </w:r>
      <w:r>
        <w:rPr>
          <w:b/>
          <w:sz w:val="20"/>
        </w:rPr>
        <w:t>Section I.B</w:t>
      </w:r>
      <w:r>
        <w:rPr>
          <w:sz w:val="20"/>
        </w:rPr>
        <w:t>. for service at each premises described in the Declarations. Such limit is the most we will pay regardless of the number of responding fire departments or fire units, and regardless of the number or type of services </w:t>
      </w:r>
      <w:r>
        <w:rPr>
          <w:spacing w:val="-2"/>
          <w:sz w:val="20"/>
        </w:rPr>
        <w:t>performed.</w:t>
      </w:r>
    </w:p>
    <w:p>
      <w:pPr>
        <w:pStyle w:val="BodyText"/>
        <w:spacing w:before="189"/>
        <w:ind w:left="1990"/>
      </w:pPr>
      <w:r>
        <w:rPr/>
        <w:t>This</w:t>
      </w:r>
      <w:r>
        <w:rPr>
          <w:spacing w:val="-7"/>
        </w:rPr>
        <w:t> </w:t>
      </w:r>
      <w:r>
        <w:rPr/>
        <w:t>Additional</w:t>
      </w:r>
      <w:r>
        <w:rPr>
          <w:spacing w:val="-8"/>
        </w:rPr>
        <w:t> </w:t>
      </w:r>
      <w:r>
        <w:rPr/>
        <w:t>Coverage</w:t>
      </w:r>
      <w:r>
        <w:rPr>
          <w:spacing w:val="-7"/>
        </w:rPr>
        <w:t> </w:t>
      </w:r>
      <w:r>
        <w:rPr/>
        <w:t>applies</w:t>
      </w:r>
      <w:r>
        <w:rPr>
          <w:spacing w:val="-6"/>
        </w:rPr>
        <w:t> </w:t>
      </w:r>
      <w:r>
        <w:rPr/>
        <w:t>to</w:t>
      </w:r>
      <w:r>
        <w:rPr>
          <w:spacing w:val="-5"/>
        </w:rPr>
        <w:t> </w:t>
      </w:r>
      <w:r>
        <w:rPr/>
        <w:t>your</w:t>
      </w:r>
      <w:r>
        <w:rPr>
          <w:spacing w:val="-4"/>
        </w:rPr>
        <w:t> </w:t>
      </w:r>
      <w:r>
        <w:rPr/>
        <w:t>liability</w:t>
      </w:r>
      <w:r>
        <w:rPr>
          <w:spacing w:val="-10"/>
        </w:rPr>
        <w:t> </w:t>
      </w:r>
      <w:r>
        <w:rPr/>
        <w:t>for</w:t>
      </w:r>
      <w:r>
        <w:rPr>
          <w:spacing w:val="-6"/>
        </w:rPr>
        <w:t> </w:t>
      </w:r>
      <w:r>
        <w:rPr/>
        <w:t>fire</w:t>
      </w:r>
      <w:r>
        <w:rPr>
          <w:spacing w:val="-7"/>
        </w:rPr>
        <w:t> </w:t>
      </w:r>
      <w:r>
        <w:rPr/>
        <w:t>department</w:t>
      </w:r>
      <w:r>
        <w:rPr>
          <w:spacing w:val="-7"/>
        </w:rPr>
        <w:t> </w:t>
      </w:r>
      <w:r>
        <w:rPr/>
        <w:t>service</w:t>
      </w:r>
      <w:r>
        <w:rPr>
          <w:spacing w:val="-7"/>
        </w:rPr>
        <w:t> </w:t>
      </w:r>
      <w:r>
        <w:rPr>
          <w:spacing w:val="-2"/>
        </w:rPr>
        <w:t>charges:</w:t>
      </w:r>
    </w:p>
    <w:p>
      <w:pPr>
        <w:pStyle w:val="ListParagraph"/>
        <w:numPr>
          <w:ilvl w:val="5"/>
          <w:numId w:val="1"/>
        </w:numPr>
        <w:tabs>
          <w:tab w:pos="2372" w:val="left" w:leader="none"/>
        </w:tabs>
        <w:spacing w:line="224" w:lineRule="exact" w:before="190" w:after="0"/>
        <w:ind w:left="237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5"/>
          <w:numId w:val="1"/>
        </w:numPr>
        <w:tabs>
          <w:tab w:pos="2384" w:val="left" w:leader="none"/>
        </w:tabs>
        <w:spacing w:line="224" w:lineRule="exact" w:before="0" w:after="0"/>
        <w:ind w:left="2384" w:right="0" w:hanging="365"/>
        <w:jc w:val="left"/>
        <w:rPr>
          <w:sz w:val="20"/>
        </w:rPr>
      </w:pPr>
      <w:r>
        <w:rPr>
          <w:sz w:val="20"/>
        </w:rPr>
        <w:t>Required</w:t>
      </w:r>
      <w:r>
        <w:rPr>
          <w:spacing w:val="-6"/>
          <w:sz w:val="20"/>
        </w:rPr>
        <w:t> </w:t>
      </w:r>
      <w:r>
        <w:rPr>
          <w:sz w:val="20"/>
        </w:rPr>
        <w:t>by</w:t>
      </w:r>
      <w:r>
        <w:rPr>
          <w:spacing w:val="-6"/>
          <w:sz w:val="20"/>
        </w:rPr>
        <w:t> </w:t>
      </w:r>
      <w:r>
        <w:rPr>
          <w:sz w:val="20"/>
        </w:rPr>
        <w:t>local</w:t>
      </w:r>
      <w:r>
        <w:rPr>
          <w:spacing w:val="-7"/>
          <w:sz w:val="20"/>
        </w:rPr>
        <w:t> </w:t>
      </w:r>
      <w:r>
        <w:rPr>
          <w:spacing w:val="-2"/>
          <w:sz w:val="20"/>
        </w:rPr>
        <w:t>ordinance.</w:t>
      </w:r>
    </w:p>
    <w:p>
      <w:pPr>
        <w:pStyle w:val="BodyText"/>
        <w:spacing w:before="9"/>
        <w:rPr>
          <w:sz w:val="18"/>
        </w:rPr>
      </w:pPr>
    </w:p>
    <w:p>
      <w:pPr>
        <w:pStyle w:val="ListParagraph"/>
        <w:numPr>
          <w:ilvl w:val="4"/>
          <w:numId w:val="1"/>
        </w:numPr>
        <w:tabs>
          <w:tab w:pos="2016" w:val="left" w:leader="none"/>
        </w:tabs>
        <w:spacing w:line="240" w:lineRule="auto" w:before="0" w:after="0"/>
        <w:ind w:left="2016" w:right="0" w:hanging="357"/>
        <w:jc w:val="left"/>
        <w:rPr>
          <w:b/>
          <w:sz w:val="20"/>
        </w:rPr>
      </w:pPr>
      <w:r>
        <w:rPr>
          <w:sz w:val="20"/>
        </w:rPr>
        <w:t>If</w:t>
      </w:r>
      <w:r>
        <w:rPr>
          <w:spacing w:val="-2"/>
          <w:sz w:val="20"/>
        </w:rPr>
        <w:t> </w:t>
      </w:r>
      <w:r>
        <w:rPr>
          <w:sz w:val="20"/>
        </w:rPr>
        <w:t>the</w:t>
      </w:r>
      <w:r>
        <w:rPr>
          <w:spacing w:val="-4"/>
          <w:sz w:val="20"/>
        </w:rPr>
        <w:t> </w:t>
      </w:r>
      <w:r>
        <w:rPr>
          <w:sz w:val="20"/>
        </w:rPr>
        <w:t>fire</w:t>
      </w:r>
      <w:r>
        <w:rPr>
          <w:spacing w:val="-4"/>
          <w:sz w:val="20"/>
        </w:rPr>
        <w:t> </w:t>
      </w:r>
      <w:r>
        <w:rPr>
          <w:sz w:val="20"/>
        </w:rPr>
        <w:t>department</w:t>
      </w:r>
      <w:r>
        <w:rPr>
          <w:spacing w:val="-4"/>
          <w:sz w:val="20"/>
        </w:rPr>
        <w:t> </w:t>
      </w:r>
      <w:r>
        <w:rPr>
          <w:sz w:val="20"/>
        </w:rPr>
        <w:t>service</w:t>
      </w:r>
      <w:r>
        <w:rPr>
          <w:spacing w:val="-5"/>
          <w:sz w:val="20"/>
        </w:rPr>
        <w:t> </w:t>
      </w:r>
      <w:r>
        <w:rPr>
          <w:sz w:val="20"/>
        </w:rPr>
        <w:t>charge</w:t>
      </w:r>
      <w:r>
        <w:rPr>
          <w:spacing w:val="-1"/>
          <w:sz w:val="20"/>
        </w:rPr>
        <w:t> </w:t>
      </w:r>
      <w:r>
        <w:rPr>
          <w:sz w:val="20"/>
        </w:rPr>
        <w:t>is</w:t>
      </w:r>
      <w:r>
        <w:rPr>
          <w:spacing w:val="-2"/>
          <w:sz w:val="20"/>
        </w:rPr>
        <w:t> </w:t>
      </w:r>
      <w:r>
        <w:rPr>
          <w:sz w:val="20"/>
        </w:rPr>
        <w:t>not</w:t>
      </w:r>
      <w:r>
        <w:rPr>
          <w:spacing w:val="-4"/>
          <w:sz w:val="20"/>
        </w:rPr>
        <w:t> </w:t>
      </w:r>
      <w:r>
        <w:rPr>
          <w:sz w:val="20"/>
        </w:rPr>
        <w:t>covered</w:t>
      </w:r>
      <w:r>
        <w:rPr>
          <w:spacing w:val="-5"/>
          <w:sz w:val="20"/>
        </w:rPr>
        <w:t> </w:t>
      </w:r>
      <w:r>
        <w:rPr>
          <w:sz w:val="20"/>
        </w:rPr>
        <w:t>under</w:t>
      </w:r>
      <w:r>
        <w:rPr>
          <w:spacing w:val="-3"/>
          <w:sz w:val="20"/>
        </w:rPr>
        <w:t> </w:t>
      </w:r>
      <w:r>
        <w:rPr>
          <w:sz w:val="20"/>
        </w:rPr>
        <w:t>the</w:t>
      </w:r>
      <w:r>
        <w:rPr>
          <w:spacing w:val="-4"/>
          <w:sz w:val="20"/>
        </w:rPr>
        <w:t> </w:t>
      </w:r>
      <w:r>
        <w:rPr>
          <w:sz w:val="20"/>
        </w:rPr>
        <w:t>terms</w:t>
      </w:r>
      <w:r>
        <w:rPr>
          <w:spacing w:val="-2"/>
          <w:sz w:val="20"/>
        </w:rPr>
        <w:t> </w:t>
      </w:r>
      <w:r>
        <w:rPr>
          <w:sz w:val="20"/>
        </w:rPr>
        <w:t>of</w:t>
      </w:r>
      <w:r>
        <w:rPr>
          <w:spacing w:val="-2"/>
          <w:sz w:val="20"/>
        </w:rPr>
        <w:t> </w:t>
      </w:r>
      <w:r>
        <w:rPr>
          <w:sz w:val="20"/>
        </w:rPr>
        <w:t>Paragraph</w:t>
      </w:r>
      <w:r>
        <w:rPr>
          <w:spacing w:val="-4"/>
          <w:sz w:val="20"/>
        </w:rPr>
        <w:t> </w:t>
      </w:r>
      <w:r>
        <w:rPr>
          <w:b/>
          <w:spacing w:val="-4"/>
          <w:sz w:val="20"/>
        </w:rPr>
        <w:t>(1),</w:t>
      </w:r>
    </w:p>
    <w:p>
      <w:pPr>
        <w:pStyle w:val="BodyText"/>
        <w:spacing w:before="3"/>
        <w:ind w:left="2019"/>
      </w:pPr>
      <w:r>
        <w:rPr/>
        <w:t>then</w:t>
      </w:r>
      <w:r>
        <w:rPr>
          <w:spacing w:val="-5"/>
        </w:rPr>
        <w:t> </w:t>
      </w:r>
      <w:r>
        <w:rPr/>
        <w:t>the</w:t>
      </w:r>
      <w:r>
        <w:rPr>
          <w:spacing w:val="-7"/>
        </w:rPr>
        <w:t> </w:t>
      </w:r>
      <w:r>
        <w:rPr/>
        <w:t>following</w:t>
      </w:r>
      <w:r>
        <w:rPr>
          <w:spacing w:val="-7"/>
        </w:rPr>
        <w:t> </w:t>
      </w:r>
      <w:r>
        <w:rPr>
          <w:spacing w:val="-2"/>
        </w:rPr>
        <w:t>applies:</w:t>
      </w:r>
    </w:p>
    <w:p>
      <w:pPr>
        <w:pStyle w:val="BodyText"/>
        <w:spacing w:before="1"/>
      </w:pPr>
    </w:p>
    <w:p>
      <w:pPr>
        <w:pStyle w:val="BodyText"/>
        <w:ind w:left="2018" w:right="219"/>
        <w:jc w:val="both"/>
      </w:pPr>
      <w:r>
        <w:rPr/>
        <w:t>When a volunteer fire department is called to save or protect Covered Property from</w:t>
      </w:r>
      <w:r>
        <w:rPr>
          <w:spacing w:val="40"/>
        </w:rPr>
        <w:t> </w:t>
      </w:r>
      <w:r>
        <w:rPr/>
        <w:t>a Covered Cause of Loss, we will pay the amount billed to you, up to $250, unless a higher limit is shown in the Declarations for volunteer fire department service</w:t>
      </w:r>
      <w:r>
        <w:rPr>
          <w:spacing w:val="40"/>
        </w:rPr>
        <w:t> </w:t>
      </w:r>
      <w:r>
        <w:rPr/>
        <w:t>charges.</w:t>
      </w:r>
      <w:r>
        <w:rPr>
          <w:spacing w:val="-4"/>
        </w:rPr>
        <w:t> </w:t>
      </w:r>
      <w:r>
        <w:rPr/>
        <w:t>This</w:t>
      </w:r>
      <w:r>
        <w:rPr>
          <w:spacing w:val="-3"/>
        </w:rPr>
        <w:t> </w:t>
      </w:r>
      <w:r>
        <w:rPr/>
        <w:t>Additional</w:t>
      </w:r>
      <w:r>
        <w:rPr>
          <w:spacing w:val="-3"/>
        </w:rPr>
        <w:t> </w:t>
      </w:r>
      <w:r>
        <w:rPr/>
        <w:t>Coverage</w:t>
      </w:r>
      <w:r>
        <w:rPr>
          <w:spacing w:val="-4"/>
        </w:rPr>
        <w:t> </w:t>
      </w:r>
      <w:r>
        <w:rPr/>
        <w:t>applies</w:t>
      </w:r>
      <w:r>
        <w:rPr>
          <w:spacing w:val="-3"/>
        </w:rPr>
        <w:t> </w:t>
      </w:r>
      <w:r>
        <w:rPr/>
        <w:t>to your</w:t>
      </w:r>
      <w:r>
        <w:rPr>
          <w:spacing w:val="-1"/>
        </w:rPr>
        <w:t> </w:t>
      </w:r>
      <w:r>
        <w:rPr/>
        <w:t>liability</w:t>
      </w:r>
      <w:r>
        <w:rPr>
          <w:spacing w:val="-7"/>
        </w:rPr>
        <w:t> </w:t>
      </w:r>
      <w:r>
        <w:rPr/>
        <w:t>for</w:t>
      </w:r>
      <w:r>
        <w:rPr>
          <w:spacing w:val="-3"/>
        </w:rPr>
        <w:t> </w:t>
      </w:r>
      <w:r>
        <w:rPr/>
        <w:t>service</w:t>
      </w:r>
      <w:r>
        <w:rPr>
          <w:spacing w:val="-4"/>
        </w:rPr>
        <w:t> </w:t>
      </w:r>
      <w:r>
        <w:rPr/>
        <w:t>charges</w:t>
      </w:r>
      <w:r>
        <w:rPr>
          <w:spacing w:val="-3"/>
        </w:rPr>
        <w:t> </w:t>
      </w:r>
      <w:r>
        <w:rPr/>
        <w:t>billed</w:t>
      </w:r>
      <w:r>
        <w:rPr>
          <w:spacing w:val="-4"/>
        </w:rPr>
        <w:t> </w:t>
      </w:r>
      <w:r>
        <w:rPr/>
        <w:t>to you by a volunteer fire department, provided that:</w:t>
      </w:r>
    </w:p>
    <w:p>
      <w:pPr>
        <w:pStyle w:val="BodyText"/>
        <w:spacing w:before="10"/>
        <w:rPr>
          <w:sz w:val="19"/>
        </w:rPr>
      </w:pPr>
    </w:p>
    <w:p>
      <w:pPr>
        <w:pStyle w:val="ListParagraph"/>
        <w:numPr>
          <w:ilvl w:val="5"/>
          <w:numId w:val="1"/>
        </w:numPr>
        <w:tabs>
          <w:tab w:pos="2375" w:val="left" w:leader="none"/>
          <w:tab w:pos="2378" w:val="left" w:leader="none"/>
        </w:tabs>
        <w:spacing w:line="242" w:lineRule="auto" w:before="0" w:after="0"/>
        <w:ind w:left="2378" w:right="220" w:hanging="334"/>
        <w:jc w:val="left"/>
        <w:rPr>
          <w:sz w:val="20"/>
        </w:rPr>
      </w:pPr>
      <w:r>
        <w:rPr>
          <w:sz w:val="20"/>
        </w:rPr>
        <w:t>The</w:t>
      </w:r>
      <w:r>
        <w:rPr>
          <w:spacing w:val="30"/>
          <w:sz w:val="20"/>
        </w:rPr>
        <w:t> </w:t>
      </w:r>
      <w:r>
        <w:rPr>
          <w:sz w:val="20"/>
        </w:rPr>
        <w:t>volunteer</w:t>
      </w:r>
      <w:r>
        <w:rPr>
          <w:spacing w:val="31"/>
          <w:sz w:val="20"/>
        </w:rPr>
        <w:t> </w:t>
      </w:r>
      <w:r>
        <w:rPr>
          <w:sz w:val="20"/>
        </w:rPr>
        <w:t>fire</w:t>
      </w:r>
      <w:r>
        <w:rPr>
          <w:spacing w:val="32"/>
          <w:sz w:val="20"/>
        </w:rPr>
        <w:t> </w:t>
      </w:r>
      <w:r>
        <w:rPr>
          <w:sz w:val="20"/>
        </w:rPr>
        <w:t>department</w:t>
      </w:r>
      <w:r>
        <w:rPr>
          <w:spacing w:val="30"/>
          <w:sz w:val="20"/>
        </w:rPr>
        <w:t> </w:t>
      </w:r>
      <w:r>
        <w:rPr>
          <w:sz w:val="20"/>
        </w:rPr>
        <w:t>is</w:t>
      </w:r>
      <w:r>
        <w:rPr>
          <w:spacing w:val="31"/>
          <w:sz w:val="20"/>
        </w:rPr>
        <w:t> </w:t>
      </w:r>
      <w:r>
        <w:rPr>
          <w:sz w:val="20"/>
        </w:rPr>
        <w:t>not</w:t>
      </w:r>
      <w:r>
        <w:rPr>
          <w:spacing w:val="30"/>
          <w:sz w:val="20"/>
        </w:rPr>
        <w:t> </w:t>
      </w:r>
      <w:r>
        <w:rPr>
          <w:sz w:val="20"/>
        </w:rPr>
        <w:t>fully</w:t>
      </w:r>
      <w:r>
        <w:rPr>
          <w:spacing w:val="27"/>
          <w:sz w:val="20"/>
        </w:rPr>
        <w:t> </w:t>
      </w:r>
      <w:r>
        <w:rPr>
          <w:sz w:val="20"/>
        </w:rPr>
        <w:t>funded</w:t>
      </w:r>
      <w:r>
        <w:rPr>
          <w:spacing w:val="30"/>
          <w:sz w:val="20"/>
        </w:rPr>
        <w:t> </w:t>
      </w:r>
      <w:r>
        <w:rPr>
          <w:sz w:val="20"/>
        </w:rPr>
        <w:t>by</w:t>
      </w:r>
      <w:r>
        <w:rPr>
          <w:spacing w:val="27"/>
          <w:sz w:val="20"/>
        </w:rPr>
        <w:t> </w:t>
      </w:r>
      <w:r>
        <w:rPr>
          <w:sz w:val="20"/>
        </w:rPr>
        <w:t>real</w:t>
      </w:r>
      <w:r>
        <w:rPr>
          <w:spacing w:val="29"/>
          <w:sz w:val="20"/>
        </w:rPr>
        <w:t> </w:t>
      </w:r>
      <w:r>
        <w:rPr>
          <w:sz w:val="20"/>
        </w:rPr>
        <w:t>estate</w:t>
      </w:r>
      <w:r>
        <w:rPr>
          <w:spacing w:val="30"/>
          <w:sz w:val="20"/>
        </w:rPr>
        <w:t> </w:t>
      </w:r>
      <w:r>
        <w:rPr>
          <w:sz w:val="20"/>
        </w:rPr>
        <w:t>taxes</w:t>
      </w:r>
      <w:r>
        <w:rPr>
          <w:spacing w:val="31"/>
          <w:sz w:val="20"/>
        </w:rPr>
        <w:t> </w:t>
      </w:r>
      <w:r>
        <w:rPr>
          <w:sz w:val="20"/>
        </w:rPr>
        <w:t>or</w:t>
      </w:r>
      <w:r>
        <w:rPr>
          <w:spacing w:val="31"/>
          <w:sz w:val="20"/>
        </w:rPr>
        <w:t> </w:t>
      </w:r>
      <w:r>
        <w:rPr>
          <w:sz w:val="20"/>
        </w:rPr>
        <w:t>other property taxes; and</w:t>
      </w:r>
    </w:p>
    <w:p>
      <w:pPr>
        <w:pStyle w:val="ListParagraph"/>
        <w:numPr>
          <w:ilvl w:val="5"/>
          <w:numId w:val="1"/>
        </w:numPr>
        <w:tabs>
          <w:tab w:pos="2360" w:val="left" w:leader="none"/>
          <w:tab w:pos="2378" w:val="left" w:leader="none"/>
        </w:tabs>
        <w:spacing w:line="242" w:lineRule="auto" w:before="0" w:after="0"/>
        <w:ind w:left="2378" w:right="219" w:hanging="334"/>
        <w:jc w:val="left"/>
        <w:rPr>
          <w:sz w:val="20"/>
        </w:rPr>
      </w:pPr>
      <w:r>
        <w:rPr>
          <w:sz w:val="20"/>
        </w:rPr>
        <w:t>The service charge is not made in response to a call outside of the volunteer fire department's fire protection district, city or municipality pursuant to a contract.</w:t>
      </w:r>
    </w:p>
    <w:p>
      <w:pPr>
        <w:pStyle w:val="BodyText"/>
        <w:spacing w:before="4"/>
        <w:rPr>
          <w:sz w:val="19"/>
        </w:rPr>
      </w:pPr>
    </w:p>
    <w:p>
      <w:pPr>
        <w:pStyle w:val="BodyText"/>
        <w:spacing w:before="1"/>
        <w:ind w:left="1658"/>
        <w:jc w:val="both"/>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BodyText"/>
        <w:spacing w:before="4"/>
        <w:rPr>
          <w:sz w:val="17"/>
        </w:rPr>
      </w:pPr>
    </w:p>
    <w:p>
      <w:pPr>
        <w:pStyle w:val="ListParagraph"/>
        <w:numPr>
          <w:ilvl w:val="2"/>
          <w:numId w:val="1"/>
        </w:numPr>
        <w:tabs>
          <w:tab w:pos="1296" w:val="left" w:leader="none"/>
        </w:tabs>
        <w:spacing w:line="240" w:lineRule="auto" w:before="0" w:after="0"/>
        <w:ind w:left="1296"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ind w:left="1298"/>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5" w:val="left" w:leader="none"/>
        </w:tabs>
        <w:spacing w:line="240" w:lineRule="auto" w:before="193" w:after="0"/>
        <w:ind w:left="1655"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3"/>
        <w:rPr>
          <w:b/>
          <w:sz w:val="17"/>
        </w:rPr>
      </w:pPr>
    </w:p>
    <w:p>
      <w:pPr>
        <w:pStyle w:val="BodyText"/>
        <w:spacing w:line="228" w:lineRule="auto"/>
        <w:ind w:left="1657" w:right="220"/>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0"/>
        <w:rPr>
          <w:sz w:val="17"/>
        </w:rPr>
      </w:pPr>
    </w:p>
    <w:p>
      <w:pPr>
        <w:pStyle w:val="BodyText"/>
        <w:spacing w:line="228" w:lineRule="auto" w:before="1"/>
        <w:ind w:left="1657" w:right="220"/>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10"/>
        <w:rPr>
          <w:sz w:val="17"/>
        </w:rPr>
      </w:pPr>
    </w:p>
    <w:p>
      <w:pPr>
        <w:pStyle w:val="BodyText"/>
        <w:spacing w:line="228" w:lineRule="auto"/>
        <w:ind w:left="1657" w:right="222"/>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spacing w:after="0" w:line="228" w:lineRule="auto"/>
        <w:jc w:val="both"/>
        <w:sectPr>
          <w:footerReference w:type="default" r:id="rId9"/>
          <w:pgSz w:w="12240" w:h="15840"/>
          <w:pgMar w:footer="844" w:header="0" w:top="1360" w:bottom="1040" w:left="1220" w:right="1220"/>
        </w:sectPr>
      </w:pPr>
    </w:p>
    <w:p>
      <w:pPr>
        <w:pStyle w:val="ListParagraph"/>
        <w:numPr>
          <w:ilvl w:val="2"/>
          <w:numId w:val="1"/>
        </w:numPr>
        <w:tabs>
          <w:tab w:pos="1298" w:val="left" w:leader="none"/>
        </w:tabs>
        <w:spacing w:line="240" w:lineRule="auto" w:before="77" w:after="0"/>
        <w:ind w:left="1298"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8" w:val="left" w:leader="none"/>
        </w:tabs>
        <w:spacing w:line="240" w:lineRule="auto" w:before="193" w:after="0"/>
        <w:ind w:left="1628"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3"/>
        <w:rPr>
          <w:b/>
          <w:sz w:val="17"/>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This Additional Coverage applies only to buildings to which the Replacement Cost Coverage applies.</w:t>
      </w:r>
    </w:p>
    <w:p>
      <w:pPr>
        <w:pStyle w:val="BodyText"/>
        <w:spacing w:before="6"/>
        <w:rPr>
          <w:sz w:val="17"/>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pStyle w:val="BodyText"/>
        <w:spacing w:before="1"/>
        <w:rPr>
          <w:sz w:val="18"/>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1"/>
        <w:rPr>
          <w:sz w:val="18"/>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1" w:after="0"/>
        <w:ind w:left="2018" w:right="220"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5"/>
        <w:rPr>
          <w:sz w:val="17"/>
        </w:rPr>
      </w:pPr>
    </w:p>
    <w:p>
      <w:pPr>
        <w:pStyle w:val="ListParagraph"/>
        <w:numPr>
          <w:ilvl w:val="2"/>
          <w:numId w:val="4"/>
        </w:numPr>
        <w:tabs>
          <w:tab w:pos="2375" w:val="left" w:leader="none"/>
          <w:tab w:pos="2378" w:val="left" w:leader="none"/>
        </w:tabs>
        <w:spacing w:line="228" w:lineRule="auto" w:before="0" w:after="0"/>
        <w:ind w:left="2378" w:right="221" w:hanging="360"/>
        <w:jc w:val="both"/>
        <w:rPr>
          <w:sz w:val="20"/>
        </w:rPr>
      </w:pPr>
      <w:r>
        <w:rPr>
          <w:sz w:val="20"/>
        </w:rPr>
        <w:t>You were required to comply with before the loss, even when the building was undamaged; and</w:t>
      </w:r>
    </w:p>
    <w:p>
      <w:pPr>
        <w:pStyle w:val="ListParagraph"/>
        <w:numPr>
          <w:ilvl w:val="2"/>
          <w:numId w:val="4"/>
        </w:numPr>
        <w:tabs>
          <w:tab w:pos="2375" w:val="left" w:leader="none"/>
        </w:tabs>
        <w:spacing w:line="240" w:lineRule="auto" w:before="195" w:after="0"/>
        <w:ind w:left="2375"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5" w:val="left" w:leader="none"/>
        </w:tabs>
        <w:spacing w:line="240" w:lineRule="auto" w:before="190" w:after="0"/>
        <w:ind w:left="2015"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1" w:after="0"/>
        <w:ind w:left="2378" w:right="221"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ListParagraph"/>
        <w:numPr>
          <w:ilvl w:val="1"/>
          <w:numId w:val="4"/>
        </w:numPr>
        <w:tabs>
          <w:tab w:pos="2015" w:val="left" w:leader="none"/>
        </w:tabs>
        <w:spacing w:line="240" w:lineRule="auto" w:before="196" w:after="0"/>
        <w:ind w:left="2015"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4" w:val="left" w:leader="none"/>
          <w:tab w:pos="2737" w:val="left" w:leader="none"/>
        </w:tabs>
        <w:spacing w:line="228" w:lineRule="auto" w:before="0" w:after="0"/>
        <w:ind w:left="2737" w:right="221" w:hanging="360"/>
        <w:jc w:val="left"/>
        <w:rPr>
          <w:sz w:val="20"/>
        </w:rPr>
      </w:pPr>
      <w:r>
        <w:rPr>
          <w:sz w:val="20"/>
        </w:rPr>
        <w:t>Until</w:t>
      </w:r>
      <w:r>
        <w:rPr>
          <w:spacing w:val="31"/>
          <w:sz w:val="20"/>
        </w:rPr>
        <w:t> </w:t>
      </w:r>
      <w:r>
        <w:rPr>
          <w:sz w:val="20"/>
        </w:rPr>
        <w:t>the</w:t>
      </w:r>
      <w:r>
        <w:rPr>
          <w:spacing w:val="31"/>
          <w:sz w:val="20"/>
        </w:rPr>
        <w:t> </w:t>
      </w:r>
      <w:r>
        <w:rPr>
          <w:sz w:val="20"/>
        </w:rPr>
        <w:t>property</w:t>
      </w:r>
      <w:r>
        <w:rPr>
          <w:spacing w:val="28"/>
          <w:sz w:val="20"/>
        </w:rPr>
        <w:t> </w:t>
      </w:r>
      <w:r>
        <w:rPr>
          <w:sz w:val="20"/>
        </w:rPr>
        <w:t>is</w:t>
      </w:r>
      <w:r>
        <w:rPr>
          <w:spacing w:val="33"/>
          <w:sz w:val="20"/>
        </w:rPr>
        <w:t> </w:t>
      </w:r>
      <w:r>
        <w:rPr>
          <w:sz w:val="20"/>
        </w:rPr>
        <w:t>actually</w:t>
      </w:r>
      <w:r>
        <w:rPr>
          <w:spacing w:val="28"/>
          <w:sz w:val="20"/>
        </w:rPr>
        <w:t> </w:t>
      </w:r>
      <w:r>
        <w:rPr>
          <w:sz w:val="20"/>
        </w:rPr>
        <w:t>repaired</w:t>
      </w:r>
      <w:r>
        <w:rPr>
          <w:spacing w:val="31"/>
          <w:sz w:val="20"/>
        </w:rPr>
        <w:t> </w:t>
      </w:r>
      <w:r>
        <w:rPr>
          <w:sz w:val="20"/>
        </w:rPr>
        <w:t>or</w:t>
      </w:r>
      <w:r>
        <w:rPr>
          <w:spacing w:val="32"/>
          <w:sz w:val="20"/>
        </w:rPr>
        <w:t> </w:t>
      </w:r>
      <w:r>
        <w:rPr>
          <w:sz w:val="20"/>
        </w:rPr>
        <w:t>replaced,</w:t>
      </w:r>
      <w:r>
        <w:rPr>
          <w:spacing w:val="31"/>
          <w:sz w:val="20"/>
        </w:rPr>
        <w:t> </w:t>
      </w:r>
      <w:r>
        <w:rPr>
          <w:sz w:val="20"/>
        </w:rPr>
        <w:t>at</w:t>
      </w:r>
      <w:r>
        <w:rPr>
          <w:spacing w:val="34"/>
          <w:sz w:val="20"/>
        </w:rPr>
        <w:t> </w:t>
      </w:r>
      <w:r>
        <w:rPr>
          <w:sz w:val="20"/>
        </w:rPr>
        <w:t>the</w:t>
      </w:r>
      <w:r>
        <w:rPr>
          <w:spacing w:val="31"/>
          <w:sz w:val="20"/>
        </w:rPr>
        <w:t> </w:t>
      </w:r>
      <w:r>
        <w:rPr>
          <w:sz w:val="20"/>
        </w:rPr>
        <w:t>same</w:t>
      </w:r>
      <w:r>
        <w:rPr>
          <w:spacing w:val="31"/>
          <w:sz w:val="20"/>
        </w:rPr>
        <w:t> </w:t>
      </w:r>
      <w:r>
        <w:rPr>
          <w:sz w:val="20"/>
        </w:rPr>
        <w:t>or</w:t>
      </w:r>
      <w:r>
        <w:rPr>
          <w:spacing w:val="32"/>
          <w:sz w:val="20"/>
        </w:rPr>
        <w:t> </w:t>
      </w:r>
      <w:r>
        <w:rPr>
          <w:sz w:val="20"/>
        </w:rPr>
        <w:t>another premises; and</w:t>
      </w:r>
    </w:p>
    <w:p>
      <w:pPr>
        <w:spacing w:after="0" w:line="228" w:lineRule="auto"/>
        <w:jc w:val="left"/>
        <w:rPr>
          <w:sz w:val="20"/>
        </w:rPr>
        <w:sectPr>
          <w:footerReference w:type="default" r:id="rId10"/>
          <w:pgSz w:w="12240" w:h="15840"/>
          <w:pgMar w:footer="844" w:header="0" w:top="1360" w:bottom="1040" w:left="1220" w:right="1220"/>
        </w:sectPr>
      </w:pPr>
    </w:p>
    <w:p>
      <w:pPr>
        <w:pStyle w:val="ListParagraph"/>
        <w:numPr>
          <w:ilvl w:val="3"/>
          <w:numId w:val="4"/>
        </w:numPr>
        <w:tabs>
          <w:tab w:pos="2735" w:val="left" w:leader="none"/>
          <w:tab w:pos="2739" w:val="left" w:leader="none"/>
        </w:tabs>
        <w:spacing w:line="228" w:lineRule="auto" w:before="79" w:after="0"/>
        <w:ind w:left="2739"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8"/>
        <w:rPr>
          <w:sz w:val="17"/>
        </w:rPr>
      </w:pPr>
    </w:p>
    <w:p>
      <w:pPr>
        <w:pStyle w:val="ListParagraph"/>
        <w:numPr>
          <w:ilvl w:val="2"/>
          <w:numId w:val="4"/>
        </w:numPr>
        <w:tabs>
          <w:tab w:pos="2377" w:val="left" w:leader="none"/>
          <w:tab w:pos="2380" w:val="left" w:leader="none"/>
        </w:tabs>
        <w:spacing w:line="228" w:lineRule="auto" w:before="0" w:after="0"/>
        <w:ind w:left="2380" w:right="218"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7" w:val="left" w:leader="none"/>
          <w:tab w:pos="2380" w:val="left" w:leader="none"/>
        </w:tabs>
        <w:spacing w:line="228" w:lineRule="auto" w:before="0" w:after="0"/>
        <w:ind w:left="2380" w:right="218"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7" w:val="left" w:leader="none"/>
          <w:tab w:pos="2020" w:val="left" w:leader="none"/>
        </w:tabs>
        <w:spacing w:line="228" w:lineRule="auto" w:before="1" w:after="0"/>
        <w:ind w:left="2020" w:right="218" w:hanging="360"/>
        <w:jc w:val="both"/>
        <w:rPr>
          <w:sz w:val="20"/>
        </w:rPr>
      </w:pPr>
      <w:r>
        <w:rPr>
          <w:sz w:val="20"/>
        </w:rPr>
        <w:t>This Additional Coverage is not subject to the terms of the Ordinance or Law Exclusion, to the extent that such Exclusion would conflict with the provisions of this Additional Coverage.</w:t>
      </w:r>
    </w:p>
    <w:p>
      <w:pPr>
        <w:pStyle w:val="BodyText"/>
        <w:spacing w:before="7"/>
        <w:rPr>
          <w:sz w:val="17"/>
        </w:rPr>
      </w:pPr>
    </w:p>
    <w:p>
      <w:pPr>
        <w:pStyle w:val="ListParagraph"/>
        <w:numPr>
          <w:ilvl w:val="1"/>
          <w:numId w:val="4"/>
        </w:numPr>
        <w:tabs>
          <w:tab w:pos="2016" w:val="left" w:leader="none"/>
          <w:tab w:pos="2019" w:val="left" w:leader="none"/>
        </w:tabs>
        <w:spacing w:line="228" w:lineRule="auto" w:before="1" w:after="0"/>
        <w:ind w:left="2019" w:right="216"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BodyText"/>
        <w:spacing w:before="3"/>
        <w:rPr>
          <w:sz w:val="17"/>
        </w:rPr>
      </w:pPr>
    </w:p>
    <w:p>
      <w:pPr>
        <w:pStyle w:val="Heading1"/>
        <w:ind w:left="1659"/>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3"/>
        <w:rPr>
          <w:b/>
          <w:sz w:val="17"/>
        </w:rPr>
      </w:pPr>
    </w:p>
    <w:p>
      <w:pPr>
        <w:pStyle w:val="BodyText"/>
        <w:spacing w:line="228" w:lineRule="auto" w:before="1"/>
        <w:ind w:left="1659"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59"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4"/>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3"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line="230" w:lineRule="auto" w:before="197"/>
        <w:ind w:left="1660" w:right="216"/>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4"/>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10"/>
        <w:rPr>
          <w:sz w:val="17"/>
        </w:rPr>
      </w:pPr>
    </w:p>
    <w:p>
      <w:pPr>
        <w:pStyle w:val="BodyText"/>
        <w:spacing w:line="228" w:lineRule="auto"/>
        <w:ind w:left="1660" w:right="219"/>
        <w:jc w:val="both"/>
        <w:rPr>
          <w:b/>
        </w:rPr>
      </w:pPr>
      <w:r>
        <w:rPr/>
        <w:t>The most we will pay under this Additional Coverage is the Media, Electronic Data And Programs limits shown in </w:t>
      </w:r>
      <w:r>
        <w:rPr>
          <w:b/>
        </w:rPr>
        <w:t>Section I.B.</w:t>
      </w:r>
    </w:p>
    <w:p>
      <w:pPr>
        <w:pStyle w:val="BodyText"/>
        <w:spacing w:before="4"/>
        <w:rPr>
          <w:b/>
          <w:sz w:val="17"/>
        </w:rPr>
      </w:pPr>
    </w:p>
    <w:p>
      <w:pPr>
        <w:pStyle w:val="ListParagraph"/>
        <w:numPr>
          <w:ilvl w:val="2"/>
          <w:numId w:val="1"/>
        </w:numPr>
        <w:tabs>
          <w:tab w:pos="1297" w:val="left" w:leader="none"/>
          <w:tab w:pos="1300" w:val="left" w:leader="none"/>
        </w:tabs>
        <w:spacing w:line="240" w:lineRule="auto" w:before="0" w:after="0"/>
        <w:ind w:left="1300"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3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spacing w:after="0"/>
        <w:sectPr>
          <w:footerReference w:type="default" r:id="rId11"/>
          <w:pgSz w:w="12240" w:h="15840"/>
          <w:pgMar w:footer="844" w:header="0" w:top="1360" w:bottom="1040" w:left="1220" w:right="1220"/>
        </w:sectPr>
      </w:pPr>
    </w:p>
    <w:p>
      <w:pPr>
        <w:pStyle w:val="BodyText"/>
        <w:spacing w:before="70"/>
        <w:ind w:left="1660"/>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3"/>
        <w:rPr>
          <w:sz w:val="17"/>
        </w:rPr>
      </w:pPr>
    </w:p>
    <w:p>
      <w:pPr>
        <w:pStyle w:val="ListParagraph"/>
        <w:numPr>
          <w:ilvl w:val="0"/>
          <w:numId w:val="5"/>
        </w:numPr>
        <w:tabs>
          <w:tab w:pos="2019" w:val="left" w:leader="none"/>
          <w:tab w:pos="2021" w:val="left" w:leader="none"/>
        </w:tabs>
        <w:spacing w:line="228" w:lineRule="auto" w:before="1" w:after="0"/>
        <w:ind w:left="2019" w:right="217"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1" w:val="left" w:leader="none"/>
        </w:tabs>
        <w:spacing w:line="439" w:lineRule="auto" w:before="191" w:after="0"/>
        <w:ind w:left="1659" w:right="5251"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6" w:val="left" w:leader="none"/>
          <w:tab w:pos="2019" w:val="left" w:leader="none"/>
        </w:tabs>
        <w:spacing w:line="228" w:lineRule="auto" w:before="8" w:after="0"/>
        <w:ind w:left="2019" w:right="219"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6" w:val="left" w:leader="none"/>
        </w:tabs>
        <w:spacing w:line="240" w:lineRule="auto" w:before="196" w:after="0"/>
        <w:ind w:left="2016" w:right="0" w:hanging="357"/>
        <w:jc w:val="left"/>
        <w:rPr>
          <w:sz w:val="20"/>
        </w:rPr>
      </w:pPr>
      <w:r>
        <w:rPr>
          <w:spacing w:val="-2"/>
          <w:sz w:val="20"/>
        </w:rPr>
        <w:t>Halon;</w:t>
      </w:r>
    </w:p>
    <w:p>
      <w:pPr>
        <w:pStyle w:val="ListParagraph"/>
        <w:numPr>
          <w:ilvl w:val="1"/>
          <w:numId w:val="5"/>
        </w:numPr>
        <w:tabs>
          <w:tab w:pos="2016" w:val="left" w:leader="none"/>
        </w:tabs>
        <w:spacing w:line="240" w:lineRule="auto" w:before="190" w:after="0"/>
        <w:ind w:left="2016"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pStyle w:val="BodyText"/>
        <w:rPr>
          <w:sz w:val="22"/>
        </w:rPr>
      </w:pPr>
    </w:p>
    <w:p>
      <w:pPr>
        <w:pStyle w:val="BodyText"/>
        <w:spacing w:before="1"/>
        <w:rPr>
          <w:sz w:val="31"/>
        </w:rPr>
      </w:pPr>
    </w:p>
    <w:p>
      <w:pPr>
        <w:pStyle w:val="ListParagraph"/>
        <w:numPr>
          <w:ilvl w:val="1"/>
          <w:numId w:val="5"/>
        </w:numPr>
        <w:tabs>
          <w:tab w:pos="2016" w:val="left" w:leader="none"/>
        </w:tabs>
        <w:spacing w:line="439" w:lineRule="auto" w:before="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rPr>
          <w:b/>
        </w:rPr>
      </w:pPr>
      <w:r>
        <w:rPr/>
        <w:t>The most we will pay under this Additional Coverage is the Recharge of Fire Protection Equipment limit shown in </w:t>
      </w:r>
      <w:r>
        <w:rPr>
          <w:b/>
        </w:rPr>
        <w:t>Section I.B.</w:t>
      </w:r>
    </w:p>
    <w:p>
      <w:pPr>
        <w:pStyle w:val="BodyText"/>
        <w:spacing w:before="4"/>
        <w:rPr>
          <w:b/>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59" w:right="216"/>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1" w:val="left" w:leader="none"/>
        </w:tabs>
        <w:spacing w:line="240" w:lineRule="auto" w:before="192" w:after="0"/>
        <w:ind w:left="20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4"/>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spacing w:after="0" w:line="240" w:lineRule="auto"/>
        <w:jc w:val="left"/>
        <w:rPr>
          <w:sz w:val="20"/>
        </w:rPr>
        <w:sectPr>
          <w:footerReference w:type="default" r:id="rId12"/>
          <w:pgSz w:w="12240" w:h="15840"/>
          <w:pgMar w:footer="844" w:header="0" w:top="1360" w:bottom="1040" w:left="1220" w:right="1220"/>
        </w:sectPr>
      </w:pPr>
    </w:p>
    <w:p>
      <w:pPr>
        <w:pStyle w:val="ListParagraph"/>
        <w:numPr>
          <w:ilvl w:val="0"/>
          <w:numId w:val="7"/>
        </w:numPr>
        <w:tabs>
          <w:tab w:pos="357" w:val="left" w:leader="none"/>
        </w:tabs>
        <w:spacing w:line="240" w:lineRule="auto" w:before="64" w:after="0"/>
        <w:ind w:left="357" w:right="2054" w:hanging="357"/>
        <w:jc w:val="righ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2"/>
        <w:rPr>
          <w:sz w:val="18"/>
        </w:rPr>
      </w:pPr>
    </w:p>
    <w:p>
      <w:pPr>
        <w:pStyle w:val="ListParagraph"/>
        <w:numPr>
          <w:ilvl w:val="1"/>
          <w:numId w:val="7"/>
        </w:numPr>
        <w:tabs>
          <w:tab w:pos="357" w:val="left" w:leader="none"/>
        </w:tabs>
        <w:spacing w:line="240" w:lineRule="auto" w:before="0" w:after="0"/>
        <w:ind w:left="357" w:right="1982" w:hanging="357"/>
        <w:jc w:val="righ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4"/>
        <w:rPr>
          <w:sz w:val="18"/>
        </w:rPr>
      </w:pPr>
    </w:p>
    <w:p>
      <w:pPr>
        <w:pStyle w:val="ListParagraph"/>
        <w:numPr>
          <w:ilvl w:val="1"/>
          <w:numId w:val="7"/>
        </w:numPr>
        <w:tabs>
          <w:tab w:pos="2376" w:val="left" w:leader="none"/>
          <w:tab w:pos="2379" w:val="left" w:leader="none"/>
        </w:tabs>
        <w:spacing w:line="249" w:lineRule="auto" w:before="0" w:after="0"/>
        <w:ind w:left="2379" w:right="218"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BodyText"/>
        <w:spacing w:before="6"/>
        <w:rPr>
          <w:sz w:val="17"/>
        </w:rPr>
      </w:pPr>
    </w:p>
    <w:p>
      <w:pPr>
        <w:pStyle w:val="ListParagraph"/>
        <w:numPr>
          <w:ilvl w:val="0"/>
          <w:numId w:val="7"/>
        </w:numPr>
        <w:tabs>
          <w:tab w:pos="2016" w:val="left" w:leader="none"/>
          <w:tab w:pos="2019" w:val="left" w:leader="none"/>
        </w:tabs>
        <w:spacing w:line="249" w:lineRule="auto" w:before="1" w:after="0"/>
        <w:ind w:left="2019" w:right="221"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6" w:val="left" w:leader="none"/>
          <w:tab w:pos="2019" w:val="left" w:leader="none"/>
        </w:tabs>
        <w:spacing w:line="252" w:lineRule="auto" w:before="0" w:after="0"/>
        <w:ind w:left="2019" w:right="221"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pStyle w:val="BodyText"/>
        <w:spacing w:before="3"/>
        <w:rPr>
          <w:sz w:val="17"/>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2372" w:val="left" w:leader="none"/>
        </w:tabs>
        <w:spacing w:line="240" w:lineRule="auto" w:before="1" w:after="0"/>
        <w:ind w:left="2372" w:right="0" w:hanging="353"/>
        <w:jc w:val="lef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0" w:after="0"/>
        <w:ind w:left="2379" w:right="219" w:hanging="360"/>
        <w:jc w:val="both"/>
        <w:rPr>
          <w:sz w:val="20"/>
        </w:rPr>
      </w:pPr>
      <w:r>
        <w:rPr>
          <w:sz w:val="20"/>
        </w:rPr>
        <w:t>“Securities” at their value at the close of business on the day the loss is </w:t>
      </w:r>
      <w:r>
        <w:rPr>
          <w:spacing w:val="-2"/>
          <w:sz w:val="20"/>
        </w:rPr>
        <w:t>discovered.</w:t>
      </w:r>
    </w:p>
    <w:p>
      <w:pPr>
        <w:pStyle w:val="BodyText"/>
        <w:spacing w:line="228" w:lineRule="auto" w:before="194"/>
        <w:ind w:left="1659" w:right="218"/>
        <w:jc w:val="both"/>
      </w:pPr>
      <w:r>
        <w:rPr/>
        <w:t>The insurance provided by this coverage form is extended to cover “money” and “securities” used in your business that are lost, damaged, or destroyed as a result of a covered cause of loss if:</w:t>
      </w:r>
    </w:p>
    <w:p>
      <w:pPr>
        <w:pStyle w:val="BodyText"/>
        <w:spacing w:before="7"/>
        <w:rPr>
          <w:sz w:val="17"/>
        </w:rPr>
      </w:pPr>
    </w:p>
    <w:p>
      <w:pPr>
        <w:pStyle w:val="ListParagraph"/>
        <w:numPr>
          <w:ilvl w:val="0"/>
          <w:numId w:val="8"/>
        </w:numPr>
        <w:tabs>
          <w:tab w:pos="2019" w:val="left" w:leader="none"/>
          <w:tab w:pos="2021" w:val="left" w:leader="none"/>
        </w:tabs>
        <w:spacing w:line="228" w:lineRule="auto" w:before="1"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8"/>
        <w:rPr>
          <w:sz w:val="17"/>
        </w:rPr>
      </w:pPr>
    </w:p>
    <w:p>
      <w:pPr>
        <w:pStyle w:val="BodyText"/>
        <w:spacing w:line="228" w:lineRule="auto"/>
        <w:ind w:left="1659" w:right="2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6"/>
        <w:rPr>
          <w:sz w:val="17"/>
        </w:rPr>
      </w:pPr>
    </w:p>
    <w:p>
      <w:pPr>
        <w:pStyle w:val="Heading1"/>
        <w:ind w:left="1270"/>
      </w:pPr>
      <w:r>
        <w:rPr/>
        <w:t>Lock</w:t>
      </w:r>
      <w:r>
        <w:rPr>
          <w:spacing w:val="-5"/>
        </w:rPr>
        <w:t> </w:t>
      </w:r>
      <w:r>
        <w:rPr>
          <w:spacing w:val="-2"/>
        </w:rPr>
        <w:t>Replacement</w:t>
      </w:r>
    </w:p>
    <w:p>
      <w:pPr>
        <w:pStyle w:val="BodyText"/>
        <w:spacing w:before="6"/>
        <w:rPr>
          <w:b/>
          <w:sz w:val="17"/>
        </w:rPr>
      </w:pPr>
    </w:p>
    <w:p>
      <w:pPr>
        <w:pStyle w:val="BodyText"/>
        <w:ind w:left="1659" w:right="219"/>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2016" w:val="left" w:leader="none"/>
        </w:tabs>
        <w:spacing w:line="240" w:lineRule="auto" w:before="0" w:after="0"/>
        <w:ind w:left="2016" w:right="0" w:hanging="357"/>
        <w:jc w:val="lef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5"/>
        <w:rPr>
          <w:sz w:val="17"/>
        </w:rPr>
      </w:pPr>
    </w:p>
    <w:p>
      <w:pPr>
        <w:pStyle w:val="BodyText"/>
        <w:spacing w:line="228" w:lineRule="auto"/>
        <w:ind w:left="1659" w:right="217"/>
        <w:jc w:val="both"/>
        <w:rPr>
          <w:b/>
        </w:rPr>
      </w:pPr>
      <w:r>
        <w:rPr/>
        <w:t>The most we will pay under this Additional Coverage is the Lock Replacement limit</w:t>
      </w:r>
      <w:r>
        <w:rPr>
          <w:spacing w:val="40"/>
        </w:rPr>
        <w:t> </w:t>
      </w:r>
      <w:r>
        <w:rPr/>
        <w:t>shown in </w:t>
      </w:r>
      <w:r>
        <w:rPr>
          <w:b/>
        </w:rPr>
        <w:t>Section I.B.</w:t>
      </w:r>
    </w:p>
    <w:p>
      <w:pPr>
        <w:pStyle w:val="BodyText"/>
        <w:spacing w:before="3"/>
        <w:rPr>
          <w:b/>
          <w:sz w:val="17"/>
        </w:rPr>
      </w:pPr>
    </w:p>
    <w:p>
      <w:pPr>
        <w:pStyle w:val="Heading1"/>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spacing w:after="0"/>
        <w:jc w:val="both"/>
        <w:sectPr>
          <w:pgSz w:w="12240" w:h="15840"/>
          <w:pgMar w:header="0" w:footer="844" w:top="1380" w:bottom="1040" w:left="1220" w:right="1220"/>
        </w:sectPr>
      </w:pPr>
    </w:p>
    <w:p>
      <w:pPr>
        <w:pStyle w:val="BodyText"/>
        <w:spacing w:line="228" w:lineRule="auto" w:before="79"/>
        <w:ind w:left="1659" w:right="216"/>
        <w:jc w:val="both"/>
        <w:rPr>
          <w:b/>
        </w:rPr>
      </w:pPr>
      <w:r>
        <w:rPr/>
        <w:t>The most we will pay under this Additional Coverage is the Wind Blown Debris limit shown in </w:t>
      </w:r>
      <w:r>
        <w:rPr>
          <w:b/>
        </w:rPr>
        <w:t>Section I.B.</w:t>
      </w:r>
    </w:p>
    <w:p>
      <w:pPr>
        <w:pStyle w:val="BodyText"/>
        <w:spacing w:before="4"/>
        <w:rPr>
          <w:b/>
          <w:sz w:val="17"/>
        </w:rPr>
      </w:pPr>
    </w:p>
    <w:p>
      <w:pPr>
        <w:pStyle w:val="Heading1"/>
        <w:ind w:left="1270"/>
      </w:pPr>
      <w:r>
        <w:rPr/>
        <w:t>Inventory</w:t>
      </w:r>
      <w:r>
        <w:rPr>
          <w:spacing w:val="-7"/>
        </w:rPr>
        <w:t> </w:t>
      </w:r>
      <w:r>
        <w:rPr/>
        <w:t>and</w:t>
      </w:r>
      <w:r>
        <w:rPr>
          <w:spacing w:val="-2"/>
        </w:rPr>
        <w:t> Appraisal</w:t>
      </w:r>
    </w:p>
    <w:p>
      <w:pPr>
        <w:pStyle w:val="BodyText"/>
        <w:spacing w:before="6"/>
        <w:rPr>
          <w:b/>
          <w:sz w:val="17"/>
        </w:rPr>
      </w:pPr>
    </w:p>
    <w:p>
      <w:pPr>
        <w:pStyle w:val="BodyText"/>
        <w:ind w:left="1659" w:right="235"/>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5"/>
        <w:rPr>
          <w:sz w:val="17"/>
        </w:rPr>
      </w:pPr>
    </w:p>
    <w:p>
      <w:pPr>
        <w:pStyle w:val="BodyText"/>
        <w:spacing w:line="228" w:lineRule="auto"/>
        <w:ind w:left="1659" w:right="215"/>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ind w:left="1659" w:right="218"/>
        <w:jc w:val="both"/>
        <w:rPr>
          <w:b/>
        </w:rPr>
      </w:pPr>
      <w:r>
        <w:rPr/>
        <w:t>The most we will pay under this Additional Coverage is the Inventory and Appraisal limit shown in </w:t>
      </w:r>
      <w:r>
        <w:rPr>
          <w:b/>
        </w:rPr>
        <w:t>Section I.B.</w:t>
      </w:r>
    </w:p>
    <w:p>
      <w:pPr>
        <w:pStyle w:val="BodyText"/>
        <w:spacing w:before="6"/>
        <w:rPr>
          <w:b/>
          <w:sz w:val="17"/>
        </w:rPr>
      </w:pPr>
    </w:p>
    <w:p>
      <w:pPr>
        <w:pStyle w:val="Heading1"/>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59"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52" w:lineRule="auto"/>
        <w:ind w:left="1659" w:right="218"/>
        <w:jc w:val="both"/>
        <w:rPr>
          <w:b/>
        </w:rPr>
      </w:pPr>
      <w:r>
        <w:rPr/>
        <w:t>The most we will pay for loss or damage under this Additional Coverage is the Tenant Move-Back Costs limit shown in </w:t>
      </w:r>
      <w:r>
        <w:rPr>
          <w:b/>
        </w:rPr>
        <w:t>Section I.B.</w:t>
      </w:r>
    </w:p>
    <w:p>
      <w:pPr>
        <w:pStyle w:val="Heading1"/>
        <w:spacing w:before="192"/>
      </w:pPr>
      <w:r>
        <w:rPr/>
        <w:t>Unscheduled</w:t>
      </w:r>
      <w:r>
        <w:rPr>
          <w:spacing w:val="-13"/>
        </w:rPr>
        <w:t> </w:t>
      </w:r>
      <w:r>
        <w:rPr/>
        <w:t>Appurtenant</w:t>
      </w:r>
      <w:r>
        <w:rPr>
          <w:spacing w:val="-14"/>
        </w:rPr>
        <w:t> </w:t>
      </w:r>
      <w:r>
        <w:rPr>
          <w:spacing w:val="-2"/>
        </w:rPr>
        <w:t>Structures</w:t>
      </w:r>
    </w:p>
    <w:p>
      <w:pPr>
        <w:pStyle w:val="BodyText"/>
        <w:spacing w:before="6"/>
        <w:rPr>
          <w:b/>
          <w:sz w:val="17"/>
        </w:rPr>
      </w:pPr>
    </w:p>
    <w:p>
      <w:pPr>
        <w:pStyle w:val="BodyText"/>
        <w:ind w:left="1659" w:right="235"/>
      </w:pPr>
      <w:r>
        <w:rPr/>
        <w:t>You may extend the insurance that applies to Building, to apply to your storage buildings or other similar appurtenant structures at the premises described in the Declarations.</w:t>
      </w:r>
    </w:p>
    <w:p>
      <w:pPr>
        <w:pStyle w:val="BodyText"/>
        <w:spacing w:before="5"/>
        <w:rPr>
          <w:sz w:val="17"/>
        </w:rPr>
      </w:pPr>
    </w:p>
    <w:p>
      <w:pPr>
        <w:pStyle w:val="BodyText"/>
        <w:ind w:left="1659" w:right="164"/>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8"/>
        <w:rPr>
          <w:sz w:val="17"/>
        </w:rPr>
      </w:pPr>
    </w:p>
    <w:p>
      <w:pPr>
        <w:pStyle w:val="BodyText"/>
        <w:spacing w:line="235" w:lineRule="auto"/>
        <w:ind w:left="1659" w:right="218"/>
        <w:jc w:val="both"/>
        <w:rPr>
          <w:b/>
        </w:rPr>
      </w:pPr>
      <w:r>
        <w:rPr/>
        <w:t>The most we will pay for loss or damage under the Additional Coverage is the Unscheduled Appurtenant Structures limit shown in </w:t>
      </w:r>
      <w:r>
        <w:rPr>
          <w:b/>
        </w:rPr>
        <w:t>Section I.B.</w:t>
      </w:r>
    </w:p>
    <w:p>
      <w:pPr>
        <w:pStyle w:val="BodyText"/>
        <w:spacing w:before="8"/>
        <w:rPr>
          <w:b/>
          <w:sz w:val="17"/>
        </w:rPr>
      </w:pPr>
    </w:p>
    <w:p>
      <w:pPr>
        <w:pStyle w:val="ListParagraph"/>
        <w:numPr>
          <w:ilvl w:val="2"/>
          <w:numId w:val="1"/>
        </w:numPr>
        <w:tabs>
          <w:tab w:pos="1297" w:val="left" w:leader="none"/>
          <w:tab w:pos="1299" w:val="left" w:leader="none"/>
        </w:tabs>
        <w:spacing w:line="240" w:lineRule="auto" w:before="0" w:after="0"/>
        <w:ind w:left="1299" w:right="221" w:hanging="360"/>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9"/>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2"/>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1"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spacing w:after="0" w:line="240" w:lineRule="auto"/>
        <w:jc w:val="left"/>
        <w:rPr>
          <w:sz w:val="20"/>
        </w:rPr>
        <w:sectPr>
          <w:footerReference w:type="default" r:id="rId13"/>
          <w:pgSz w:w="12240" w:h="15840"/>
          <w:pgMar w:footer="844" w:header="0" w:top="1360" w:bottom="1040" w:left="1220" w:right="1220"/>
        </w:sectPr>
      </w:pPr>
    </w:p>
    <w:p>
      <w:pPr>
        <w:pStyle w:val="BodyText"/>
        <w:spacing w:line="235" w:lineRule="auto" w:before="83"/>
        <w:ind w:left="1660" w:right="221"/>
        <w:jc w:val="both"/>
      </w:pPr>
      <w:r>
        <w:rPr/>
        <w:t>The most we will pay for loss or damage under this Extension is the Newly Acquired Or Constructed Property – Buildings limit shown in </w:t>
      </w:r>
      <w:r>
        <w:rPr>
          <w:b/>
        </w:rPr>
        <w:t>Section I.C. </w:t>
      </w:r>
      <w:r>
        <w:rPr/>
        <w:t>at each building.</w:t>
      </w:r>
    </w:p>
    <w:p>
      <w:pPr>
        <w:pStyle w:val="BodyText"/>
        <w:spacing w:before="8"/>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59" w:val="left" w:leader="none"/>
        </w:tabs>
        <w:spacing w:line="242" w:lineRule="auto" w:before="0" w:after="0"/>
        <w:ind w:left="1299" w:right="220" w:firstLine="0"/>
        <w:jc w:val="left"/>
        <w:rPr>
          <w:sz w:val="20"/>
        </w:rPr>
      </w:pPr>
      <w:r>
        <w:rPr>
          <w:b/>
          <w:sz w:val="20"/>
        </w:rPr>
        <w:t>Newly</w:t>
      </w:r>
      <w:r>
        <w:rPr>
          <w:b/>
          <w:spacing w:val="37"/>
          <w:sz w:val="20"/>
        </w:rPr>
        <w:t> </w:t>
      </w:r>
      <w:r>
        <w:rPr>
          <w:b/>
          <w:sz w:val="20"/>
        </w:rPr>
        <w:t>Acquired</w:t>
      </w:r>
      <w:r>
        <w:rPr>
          <w:b/>
          <w:spacing w:val="36"/>
          <w:sz w:val="20"/>
        </w:rPr>
        <w:t> </w:t>
      </w:r>
      <w:r>
        <w:rPr>
          <w:b/>
          <w:sz w:val="20"/>
        </w:rPr>
        <w:t>Or</w:t>
      </w:r>
      <w:r>
        <w:rPr>
          <w:b/>
          <w:spacing w:val="35"/>
          <w:sz w:val="20"/>
        </w:rPr>
        <w:t> </w:t>
      </w:r>
      <w:r>
        <w:rPr>
          <w:b/>
          <w:sz w:val="20"/>
        </w:rPr>
        <w:t>Constructed</w:t>
      </w:r>
      <w:r>
        <w:rPr>
          <w:b/>
          <w:spacing w:val="36"/>
          <w:sz w:val="20"/>
        </w:rPr>
        <w:t> </w:t>
      </w:r>
      <w:r>
        <w:rPr>
          <w:b/>
          <w:sz w:val="20"/>
        </w:rPr>
        <w:t>Property</w:t>
      </w:r>
      <w:r>
        <w:rPr>
          <w:b/>
          <w:spacing w:val="33"/>
          <w:sz w:val="20"/>
        </w:rPr>
        <w:t> </w:t>
      </w:r>
      <w:r>
        <w:rPr>
          <w:sz w:val="20"/>
        </w:rPr>
        <w:t>of</w:t>
      </w:r>
      <w:r>
        <w:rPr>
          <w:spacing w:val="38"/>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6" w:val="left" w:leader="none"/>
          <w:tab w:pos="1659" w:val="left" w:leader="none"/>
        </w:tabs>
        <w:spacing w:line="228" w:lineRule="auto" w:before="196" w:after="0"/>
        <w:ind w:left="1659" w:right="220" w:hanging="360"/>
        <w:jc w:val="both"/>
        <w:rPr>
          <w:sz w:val="20"/>
        </w:rPr>
      </w:pPr>
      <w:r>
        <w:rPr>
          <w:sz w:val="20"/>
        </w:rPr>
        <w:t>If this policy covers your business personal property, you may extend that insurance to 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1" w:after="0"/>
        <w:ind w:left="2019" w:right="217" w:hanging="360"/>
        <w:jc w:val="both"/>
        <w:rPr>
          <w:sz w:val="20"/>
        </w:rPr>
      </w:pPr>
      <w:r>
        <w:rPr>
          <w:sz w:val="20"/>
        </w:rPr>
        <w:t>Business personal property, including such property that you newly acquire, at any location you acquire other than at fairs, trade shows or exhibitions; or</w:t>
      </w:r>
    </w:p>
    <w:p>
      <w:pPr>
        <w:pStyle w:val="BodyText"/>
        <w:spacing w:before="8"/>
        <w:rPr>
          <w:sz w:val="17"/>
        </w:rPr>
      </w:pPr>
    </w:p>
    <w:p>
      <w:pPr>
        <w:pStyle w:val="ListParagraph"/>
        <w:numPr>
          <w:ilvl w:val="1"/>
          <w:numId w:val="12"/>
        </w:numPr>
        <w:tabs>
          <w:tab w:pos="2015" w:val="left" w:leader="none"/>
          <w:tab w:pos="2019" w:val="left" w:leader="none"/>
        </w:tabs>
        <w:spacing w:line="228" w:lineRule="auto" w:before="0"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rPr>
          <w:sz w:val="18"/>
        </w:rPr>
      </w:pPr>
    </w:p>
    <w:p>
      <w:pPr>
        <w:pStyle w:val="BodyText"/>
        <w:spacing w:line="235" w:lineRule="auto"/>
        <w:ind w:left="2019" w:right="164"/>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before="2"/>
        <w:ind w:left="2019"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7"/>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08" w:val="left" w:leader="none"/>
          <w:tab w:pos="1659" w:val="left" w:leader="none"/>
        </w:tabs>
        <w:spacing w:line="228" w:lineRule="auto" w:before="0" w:after="0"/>
        <w:ind w:left="1659" w:right="216"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6" w:val="left" w:leader="none"/>
          <w:tab w:pos="1299" w:val="left" w:leader="none"/>
        </w:tabs>
        <w:spacing w:line="240" w:lineRule="auto" w:before="0" w:after="0"/>
        <w:ind w:left="1299" w:right="220" w:hanging="361"/>
        <w:jc w:val="both"/>
        <w:rPr>
          <w:sz w:val="20"/>
        </w:rPr>
      </w:pPr>
      <w:r>
        <w:rPr>
          <w:sz w:val="20"/>
        </w:rPr>
        <w:t>Subparagraph </w:t>
      </w:r>
      <w:r>
        <w:rPr>
          <w:b/>
          <w:sz w:val="20"/>
        </w:rPr>
        <w:t>b. Personal Effects And Property Of Others </w:t>
      </w:r>
      <w:r>
        <w:rPr>
          <w:sz w:val="20"/>
        </w:rPr>
        <w:t>of Paragraph </w:t>
      </w:r>
      <w:r>
        <w:rPr>
          <w:b/>
          <w:sz w:val="20"/>
        </w:rPr>
        <w:t>5. 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7" w:val="left" w:leader="none"/>
        </w:tabs>
        <w:spacing w:line="240" w:lineRule="auto" w:before="0" w:after="0"/>
        <w:ind w:left="1657"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59" w:right="220"/>
        <w:jc w:val="both"/>
      </w:pPr>
      <w:r>
        <w:rPr/>
        <w:t>The insurance that applies to Your Business Personal Property is extended to apply to personal effects owned by you, your officers, your partners or members, your managers or your employees.</w:t>
      </w:r>
    </w:p>
    <w:p>
      <w:pPr>
        <w:pStyle w:val="BodyText"/>
        <w:spacing w:before="6"/>
        <w:rPr>
          <w:sz w:val="17"/>
        </w:rPr>
      </w:pPr>
    </w:p>
    <w:p>
      <w:pPr>
        <w:pStyle w:val="BodyText"/>
        <w:spacing w:line="230" w:lineRule="auto"/>
        <w:ind w:left="1659" w:right="218"/>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ListParagraph"/>
        <w:numPr>
          <w:ilvl w:val="2"/>
          <w:numId w:val="1"/>
        </w:numPr>
        <w:tabs>
          <w:tab w:pos="1297" w:val="left" w:leader="none"/>
          <w:tab w:pos="1299" w:val="left" w:leader="none"/>
        </w:tabs>
        <w:spacing w:line="240" w:lineRule="auto" w:before="197" w:after="0"/>
        <w:ind w:left="1299" w:right="218" w:hanging="360"/>
        <w:jc w:val="both"/>
        <w:rPr>
          <w:sz w:val="20"/>
        </w:rPr>
      </w:pPr>
      <w:r>
        <w:rPr>
          <w:sz w:val="20"/>
        </w:rPr>
        <w:t>Subparagraph </w:t>
      </w:r>
      <w:r>
        <w:rPr>
          <w:b/>
          <w:sz w:val="20"/>
        </w:rPr>
        <w:t>c. Valuable Papers And Records (Other Than Electronic Data)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Heading1"/>
        <w:numPr>
          <w:ilvl w:val="0"/>
          <w:numId w:val="11"/>
        </w:numPr>
        <w:tabs>
          <w:tab w:pos="1657" w:val="left" w:leader="none"/>
        </w:tabs>
        <w:spacing w:line="240" w:lineRule="auto" w:before="0" w:after="0"/>
        <w:ind w:left="1657"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6" w:val="left" w:leader="none"/>
          <w:tab w:pos="2019" w:val="left" w:leader="none"/>
        </w:tabs>
        <w:spacing w:line="228" w:lineRule="auto" w:before="1" w:after="0"/>
        <w:ind w:left="2019"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rPr>
          <w:sz w:val="18"/>
        </w:rPr>
      </w:pPr>
    </w:p>
    <w:p>
      <w:pPr>
        <w:pStyle w:val="ListParagraph"/>
        <w:numPr>
          <w:ilvl w:val="1"/>
          <w:numId w:val="11"/>
        </w:numPr>
        <w:tabs>
          <w:tab w:pos="2016" w:val="left" w:leader="none"/>
          <w:tab w:pos="2019" w:val="left" w:leader="none"/>
        </w:tabs>
        <w:spacing w:line="228" w:lineRule="auto" w:before="1" w:after="0"/>
        <w:ind w:left="2019" w:right="218"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spacing w:after="0" w:line="228" w:lineRule="auto"/>
        <w:jc w:val="both"/>
        <w:rPr>
          <w:sz w:val="20"/>
        </w:rPr>
        <w:sectPr>
          <w:footerReference w:type="default" r:id="rId14"/>
          <w:pgSz w:w="12240" w:h="15840"/>
          <w:pgMar w:footer="844" w:header="0" w:top="1360" w:bottom="1040" w:left="1220" w:right="1220"/>
        </w:sectPr>
      </w:pPr>
    </w:p>
    <w:p>
      <w:pPr>
        <w:pStyle w:val="BodyText"/>
        <w:spacing w:line="228" w:lineRule="auto" w:before="79"/>
        <w:ind w:left="2020"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5"/>
        <w:rPr>
          <w:sz w:val="17"/>
        </w:rPr>
      </w:pPr>
    </w:p>
    <w:p>
      <w:pPr>
        <w:pStyle w:val="ListParagraph"/>
        <w:numPr>
          <w:ilvl w:val="1"/>
          <w:numId w:val="11"/>
        </w:numPr>
        <w:tabs>
          <w:tab w:pos="1657" w:val="left" w:leader="none"/>
          <w:tab w:pos="1660" w:val="left" w:leader="none"/>
        </w:tabs>
        <w:spacing w:line="240" w:lineRule="auto" w:before="0" w:after="0"/>
        <w:ind w:left="1660" w:right="213"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Property</w:t>
      </w:r>
      <w:r>
        <w:rPr>
          <w:spacing w:val="40"/>
          <w:sz w:val="20"/>
        </w:rPr>
        <w:t> </w:t>
      </w:r>
      <w:r>
        <w:rPr>
          <w:sz w:val="20"/>
        </w:rPr>
        <w:t>Off- Premises limit shown in </w:t>
      </w:r>
      <w:r>
        <w:rPr>
          <w:b/>
          <w:sz w:val="20"/>
        </w:rPr>
        <w:t>Section I.C.</w:t>
      </w:r>
    </w:p>
    <w:p>
      <w:pPr>
        <w:pStyle w:val="BodyText"/>
        <w:spacing w:before="4"/>
        <w:rPr>
          <w:b/>
          <w:sz w:val="17"/>
        </w:rPr>
      </w:pPr>
    </w:p>
    <w:p>
      <w:pPr>
        <w:pStyle w:val="ListParagraph"/>
        <w:numPr>
          <w:ilvl w:val="2"/>
          <w:numId w:val="1"/>
        </w:numPr>
        <w:tabs>
          <w:tab w:pos="1297" w:val="left" w:leader="none"/>
          <w:tab w:pos="1300" w:val="left" w:leader="none"/>
        </w:tabs>
        <w:spacing w:line="240" w:lineRule="auto" w:before="1"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629" w:val="left" w:leader="none"/>
        </w:tabs>
        <w:spacing w:line="240" w:lineRule="auto" w:before="192"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7" w:val="left" w:leader="none"/>
        </w:tabs>
        <w:spacing w:line="240" w:lineRule="auto" w:before="190" w:after="0"/>
        <w:ind w:left="20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4"/>
        <w:rPr>
          <w:b/>
          <w:sz w:val="17"/>
        </w:rPr>
      </w:pPr>
    </w:p>
    <w:p>
      <w:pPr>
        <w:pStyle w:val="BodyText"/>
        <w:spacing w:line="228" w:lineRule="auto"/>
        <w:ind w:left="2020" w:right="217"/>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3"/>
        <w:rPr>
          <w:sz w:val="17"/>
        </w:rPr>
      </w:pPr>
    </w:p>
    <w:p>
      <w:pPr>
        <w:pStyle w:val="BodyText"/>
        <w:ind w:left="2020"/>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before="4"/>
        <w:rPr>
          <w:sz w:val="17"/>
        </w:rPr>
      </w:pPr>
    </w:p>
    <w:p>
      <w:pPr>
        <w:pStyle w:val="BodyText"/>
        <w:spacing w:line="228" w:lineRule="auto"/>
        <w:ind w:left="2020"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3"/>
        </w:numPr>
        <w:tabs>
          <w:tab w:pos="2017" w:val="left" w:leader="none"/>
        </w:tabs>
        <w:spacing w:line="240" w:lineRule="auto" w:before="196" w:after="0"/>
        <w:ind w:left="2017"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49"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w:t>
      </w:r>
      <w:r>
        <w:rPr>
          <w:spacing w:val="-1"/>
        </w:rPr>
        <w:t> </w:t>
      </w:r>
      <w:r>
        <w:rPr/>
        <w:t>removal</w:t>
      </w:r>
      <w:r>
        <w:rPr>
          <w:spacing w:val="-1"/>
        </w:rPr>
        <w:t> </w:t>
      </w:r>
      <w:r>
        <w:rPr/>
        <w:t>expense, is caused by or results from any of the following Covered Causes of Loss:</w:t>
      </w:r>
    </w:p>
    <w:p>
      <w:pPr>
        <w:pStyle w:val="BodyText"/>
        <w:spacing w:before="7"/>
        <w:rPr>
          <w:sz w:val="17"/>
        </w:rPr>
      </w:pPr>
    </w:p>
    <w:p>
      <w:pPr>
        <w:pStyle w:val="ListParagraph"/>
        <w:numPr>
          <w:ilvl w:val="2"/>
          <w:numId w:val="13"/>
        </w:numPr>
        <w:tabs>
          <w:tab w:pos="2376" w:val="left" w:leader="none"/>
        </w:tabs>
        <w:spacing w:line="240" w:lineRule="auto" w:before="1"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4"/>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Explosion;</w:t>
      </w:r>
    </w:p>
    <w:p>
      <w:pPr>
        <w:pStyle w:val="BodyText"/>
        <w:spacing w:before="3"/>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4"/>
        <w:rPr>
          <w:sz w:val="18"/>
        </w:rPr>
      </w:pPr>
    </w:p>
    <w:p>
      <w:pPr>
        <w:pStyle w:val="BodyText"/>
        <w:spacing w:line="249" w:lineRule="auto" w:before="1"/>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pStyle w:val="BodyText"/>
        <w:spacing w:before="7"/>
        <w:rPr>
          <w:sz w:val="17"/>
        </w:rPr>
      </w:pPr>
    </w:p>
    <w:p>
      <w:pPr>
        <w:pStyle w:val="BodyText"/>
        <w:spacing w:line="249" w:lineRule="auto" w:before="1"/>
        <w:ind w:left="1659" w:right="216"/>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spacing w:after="0" w:line="249" w:lineRule="auto"/>
        <w:jc w:val="both"/>
        <w:sectPr>
          <w:footerReference w:type="default" r:id="rId1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9" w:lineRule="auto" w:before="64" w:after="0"/>
        <w:ind w:left="1300" w:right="2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7" w:val="left" w:leader="none"/>
          <w:tab w:pos="1660" w:val="left" w:leader="none"/>
        </w:tabs>
        <w:spacing w:line="249" w:lineRule="auto" w:before="1" w:after="0"/>
        <w:ind w:left="1660" w:right="220"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pStyle w:val="ListParagraph"/>
        <w:numPr>
          <w:ilvl w:val="2"/>
          <w:numId w:val="1"/>
        </w:numPr>
        <w:tabs>
          <w:tab w:pos="1297" w:val="left" w:leader="none"/>
          <w:tab w:pos="1300" w:val="left" w:leader="none"/>
        </w:tabs>
        <w:spacing w:line="240" w:lineRule="auto" w:before="193" w:after="0"/>
        <w:ind w:left="1300" w:right="2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5"/>
        <w:rPr>
          <w:b/>
          <w:sz w:val="17"/>
        </w:rPr>
      </w:pPr>
    </w:p>
    <w:p>
      <w:pPr>
        <w:pStyle w:val="Heading1"/>
        <w:ind w:left="1300"/>
      </w:pPr>
      <w:r>
        <w:rPr/>
        <w:t>Fine</w:t>
      </w:r>
      <w:r>
        <w:rPr>
          <w:spacing w:val="-2"/>
        </w:rPr>
        <w:t> </w:t>
      </w:r>
      <w:r>
        <w:rPr>
          <w:spacing w:val="-4"/>
        </w:rPr>
        <w:t>Arts</w:t>
      </w:r>
    </w:p>
    <w:p>
      <w:pPr>
        <w:pStyle w:val="BodyText"/>
        <w:rPr>
          <w:b/>
          <w:sz w:val="18"/>
        </w:rPr>
      </w:pPr>
    </w:p>
    <w:p>
      <w:pPr>
        <w:pStyle w:val="BodyText"/>
        <w:spacing w:line="252" w:lineRule="auto"/>
        <w:ind w:left="1660" w:right="215"/>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line="249" w:lineRule="auto" w:before="194"/>
        <w:ind w:left="1660" w:right="219" w:hanging="1"/>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ind w:left="1300"/>
      </w:pPr>
      <w:r>
        <w:rPr>
          <w:spacing w:val="-2"/>
        </w:rPr>
        <w:t>Salespersons</w:t>
      </w:r>
      <w:r>
        <w:rPr>
          <w:spacing w:val="7"/>
        </w:rPr>
        <w:t> </w:t>
      </w:r>
      <w:r>
        <w:rPr>
          <w:spacing w:val="-2"/>
        </w:rPr>
        <w:t>Samples</w:t>
      </w:r>
    </w:p>
    <w:p>
      <w:pPr>
        <w:pStyle w:val="BodyText"/>
        <w:rPr>
          <w:b/>
          <w:sz w:val="18"/>
        </w:rPr>
      </w:pPr>
    </w:p>
    <w:p>
      <w:pPr>
        <w:pStyle w:val="BodyText"/>
        <w:spacing w:line="252" w:lineRule="auto"/>
        <w:ind w:left="1660" w:right="219"/>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line="249" w:lineRule="auto" w:before="197"/>
        <w:ind w:left="1660" w:right="219"/>
        <w:jc w:val="both"/>
        <w:rPr>
          <w:b/>
        </w:rPr>
      </w:pPr>
      <w:r>
        <w:rPr/>
        <w:t>The most we will pay for loss or damage under this Extension is the Salespersons Samples limit shown in </w:t>
      </w:r>
      <w:r>
        <w:rPr>
          <w:b/>
        </w:rPr>
        <w:t>Section I.C.</w:t>
      </w:r>
    </w:p>
    <w:p>
      <w:pPr>
        <w:pStyle w:val="Heading1"/>
        <w:spacing w:before="194"/>
        <w:ind w:left="1300"/>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7" w:val="left" w:leader="none"/>
          <w:tab w:pos="2020" w:val="left" w:leader="none"/>
        </w:tabs>
        <w:spacing w:line="249" w:lineRule="auto" w:before="0" w:after="0"/>
        <w:ind w:left="2020"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5"/>
        <w:rPr>
          <w:sz w:val="17"/>
        </w:rPr>
      </w:pPr>
    </w:p>
    <w:p>
      <w:pPr>
        <w:pStyle w:val="ListParagraph"/>
        <w:numPr>
          <w:ilvl w:val="1"/>
          <w:numId w:val="14"/>
        </w:numPr>
        <w:tabs>
          <w:tab w:pos="2377" w:val="left" w:leader="none"/>
        </w:tabs>
        <w:spacing w:line="240" w:lineRule="auto" w:before="0" w:after="0"/>
        <w:ind w:left="2377"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5"/>
        <w:rPr>
          <w:sz w:val="18"/>
        </w:rPr>
      </w:pPr>
    </w:p>
    <w:p>
      <w:pPr>
        <w:pStyle w:val="ListParagraph"/>
        <w:numPr>
          <w:ilvl w:val="1"/>
          <w:numId w:val="14"/>
        </w:numPr>
        <w:tabs>
          <w:tab w:pos="2377" w:val="left" w:leader="none"/>
          <w:tab w:pos="2380" w:val="left" w:leader="none"/>
        </w:tabs>
        <w:spacing w:line="249" w:lineRule="auto" w:before="0" w:after="0"/>
        <w:ind w:left="2380"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5"/>
        <w:rPr>
          <w:sz w:val="17"/>
        </w:rPr>
      </w:pPr>
    </w:p>
    <w:p>
      <w:pPr>
        <w:pStyle w:val="ListParagraph"/>
        <w:numPr>
          <w:ilvl w:val="1"/>
          <w:numId w:val="14"/>
        </w:numPr>
        <w:tabs>
          <w:tab w:pos="2377" w:val="left" w:leader="none"/>
          <w:tab w:pos="2380" w:val="left" w:leader="none"/>
        </w:tabs>
        <w:spacing w:line="249" w:lineRule="auto" w:before="0" w:after="0"/>
        <w:ind w:left="2380" w:right="219"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Other</w:t>
      </w:r>
      <w:r>
        <w:rPr>
          <w:spacing w:val="75"/>
          <w:sz w:val="20"/>
        </w:rPr>
        <w:t> </w:t>
      </w:r>
      <w:r>
        <w:rPr>
          <w:sz w:val="20"/>
        </w:rPr>
        <w:t>reasonable</w:t>
      </w:r>
      <w:r>
        <w:rPr>
          <w:spacing w:val="73"/>
          <w:sz w:val="20"/>
        </w:rPr>
        <w:t> </w:t>
      </w:r>
      <w:r>
        <w:rPr>
          <w:sz w:val="20"/>
        </w:rPr>
        <w:t>expenses</w:t>
      </w:r>
      <w:r>
        <w:rPr>
          <w:spacing w:val="75"/>
          <w:sz w:val="20"/>
        </w:rPr>
        <w:t> </w:t>
      </w:r>
      <w:r>
        <w:rPr>
          <w:sz w:val="20"/>
        </w:rPr>
        <w:t>that</w:t>
      </w:r>
      <w:r>
        <w:rPr>
          <w:spacing w:val="76"/>
          <w:sz w:val="20"/>
        </w:rPr>
        <w:t> </w:t>
      </w:r>
      <w:r>
        <w:rPr>
          <w:sz w:val="20"/>
        </w:rPr>
        <w:t>you</w:t>
      </w:r>
      <w:r>
        <w:rPr>
          <w:spacing w:val="75"/>
          <w:sz w:val="20"/>
        </w:rPr>
        <w:t> </w:t>
      </w:r>
      <w:r>
        <w:rPr>
          <w:sz w:val="20"/>
        </w:rPr>
        <w:t>incur</w:t>
      </w:r>
      <w:r>
        <w:rPr>
          <w:spacing w:val="75"/>
          <w:sz w:val="20"/>
        </w:rPr>
        <w:t> </w:t>
      </w:r>
      <w:r>
        <w:rPr>
          <w:sz w:val="20"/>
        </w:rPr>
        <w:t>to</w:t>
      </w:r>
      <w:r>
        <w:rPr>
          <w:spacing w:val="73"/>
          <w:sz w:val="20"/>
        </w:rPr>
        <w:t> </w:t>
      </w:r>
      <w:r>
        <w:rPr>
          <w:sz w:val="20"/>
        </w:rPr>
        <w:t>re-establish</w:t>
      </w:r>
      <w:r>
        <w:rPr>
          <w:spacing w:val="76"/>
          <w:sz w:val="20"/>
        </w:rPr>
        <w:t> </w:t>
      </w:r>
      <w:r>
        <w:rPr>
          <w:sz w:val="20"/>
        </w:rPr>
        <w:t>your</w:t>
      </w:r>
      <w:r>
        <w:rPr>
          <w:spacing w:val="75"/>
          <w:sz w:val="20"/>
        </w:rPr>
        <w:t> </w:t>
      </w:r>
      <w:r>
        <w:rPr>
          <w:sz w:val="20"/>
        </w:rPr>
        <w:t>records</w:t>
      </w:r>
      <w:r>
        <w:rPr>
          <w:spacing w:val="75"/>
          <w:sz w:val="20"/>
        </w:rPr>
        <w:t> </w:t>
      </w:r>
      <w:r>
        <w:rPr>
          <w:sz w:val="20"/>
        </w:rPr>
        <w:t>of accounts receivable.</w:t>
      </w:r>
    </w:p>
    <w:p>
      <w:pPr>
        <w:pStyle w:val="BodyText"/>
        <w:spacing w:before="3"/>
        <w:rPr>
          <w:sz w:val="17"/>
        </w:rPr>
      </w:pPr>
    </w:p>
    <w:p>
      <w:pPr>
        <w:pStyle w:val="BodyText"/>
        <w:spacing w:line="249" w:lineRule="auto"/>
        <w:ind w:left="2020" w:right="164" w:hanging="1"/>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BodyText"/>
        <w:spacing w:before="5"/>
        <w:rPr>
          <w:b/>
          <w:sz w:val="17"/>
        </w:rPr>
      </w:pPr>
    </w:p>
    <w:p>
      <w:pPr>
        <w:pStyle w:val="ListParagraph"/>
        <w:numPr>
          <w:ilvl w:val="0"/>
          <w:numId w:val="14"/>
        </w:numPr>
        <w:tabs>
          <w:tab w:pos="2017" w:val="left" w:leader="none"/>
        </w:tabs>
        <w:spacing w:line="240" w:lineRule="auto" w:before="0" w:after="0"/>
        <w:ind w:left="2017"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2"/>
        <w:rPr>
          <w:sz w:val="18"/>
        </w:rPr>
      </w:pPr>
    </w:p>
    <w:p>
      <w:pPr>
        <w:pStyle w:val="ListParagraph"/>
        <w:numPr>
          <w:ilvl w:val="1"/>
          <w:numId w:val="14"/>
        </w:numPr>
        <w:tabs>
          <w:tab w:pos="2377" w:val="left" w:leader="none"/>
        </w:tabs>
        <w:spacing w:line="240" w:lineRule="auto" w:before="1" w:after="0"/>
        <w:ind w:left="2377"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4"/>
        <w:rPr>
          <w:sz w:val="18"/>
        </w:rPr>
      </w:pPr>
    </w:p>
    <w:p>
      <w:pPr>
        <w:pStyle w:val="ListParagraph"/>
        <w:numPr>
          <w:ilvl w:val="1"/>
          <w:numId w:val="14"/>
        </w:numPr>
        <w:tabs>
          <w:tab w:pos="2377" w:val="left" w:leader="none"/>
          <w:tab w:pos="2380" w:val="left" w:leader="none"/>
        </w:tabs>
        <w:spacing w:line="249" w:lineRule="auto" w:before="0" w:after="0"/>
        <w:ind w:left="2380" w:right="221" w:hanging="360"/>
        <w:jc w:val="left"/>
        <w:rPr>
          <w:sz w:val="20"/>
        </w:rPr>
      </w:pPr>
      <w:r>
        <w:rPr>
          <w:sz w:val="20"/>
        </w:rPr>
        <w:t>Loss or damage that requires any audit of records or any inventory computation to prove its factual existence.</w:t>
      </w:r>
    </w:p>
    <w:p>
      <w:pPr>
        <w:pStyle w:val="BodyText"/>
        <w:spacing w:before="6"/>
        <w:rPr>
          <w:sz w:val="17"/>
        </w:rPr>
      </w:pPr>
    </w:p>
    <w:p>
      <w:pPr>
        <w:pStyle w:val="Heading1"/>
        <w:ind w:left="1300"/>
      </w:pPr>
      <w:r>
        <w:rPr/>
        <w:t>Off</w:t>
      </w:r>
      <w:r>
        <w:rPr>
          <w:spacing w:val="-6"/>
        </w:rPr>
        <w:t> </w:t>
      </w:r>
      <w:r>
        <w:rPr/>
        <w:t>Premises</w:t>
      </w:r>
      <w:r>
        <w:rPr>
          <w:spacing w:val="-7"/>
        </w:rPr>
        <w:t> </w:t>
      </w:r>
      <w:r>
        <w:rPr/>
        <w:t>Utility</w:t>
      </w:r>
      <w:r>
        <w:rPr>
          <w:spacing w:val="-9"/>
        </w:rPr>
        <w:t> </w:t>
      </w:r>
      <w:r>
        <w:rPr>
          <w:spacing w:val="-2"/>
        </w:rPr>
        <w:t>Failure</w:t>
      </w:r>
    </w:p>
    <w:p>
      <w:pPr>
        <w:spacing w:after="0"/>
        <w:sectPr>
          <w:footerReference w:type="default" r:id="rId16"/>
          <w:pgSz w:w="12240" w:h="15840"/>
          <w:pgMar w:footer="844" w:header="0" w:top="1380" w:bottom="1040" w:left="1220" w:right="1220"/>
        </w:sectPr>
      </w:pPr>
    </w:p>
    <w:p>
      <w:pPr>
        <w:pStyle w:val="BodyText"/>
        <w:spacing w:line="249" w:lineRule="auto" w:before="64"/>
        <w:ind w:left="1660"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pStyle w:val="BodyText"/>
        <w:spacing w:before="7"/>
        <w:rPr>
          <w:sz w:val="17"/>
        </w:rPr>
      </w:pPr>
    </w:p>
    <w:p>
      <w:pPr>
        <w:pStyle w:val="ListParagraph"/>
        <w:numPr>
          <w:ilvl w:val="0"/>
          <w:numId w:val="15"/>
        </w:numPr>
        <w:tabs>
          <w:tab w:pos="2019" w:val="left" w:leader="none"/>
          <w:tab w:pos="2021" w:val="left" w:leader="none"/>
        </w:tabs>
        <w:spacing w:line="249" w:lineRule="auto" w:before="0" w:after="0"/>
        <w:ind w:left="2019" w:right="218" w:hanging="360"/>
        <w:jc w:val="both"/>
        <w:rPr>
          <w:sz w:val="20"/>
        </w:rPr>
      </w:pPr>
      <w:r>
        <w:rPr>
          <w:rFonts w:ascii="Times New Roman"/>
          <w:b/>
          <w:sz w:val="20"/>
        </w:rPr>
        <w:tab/>
      </w:r>
      <w:r>
        <w:rPr>
          <w:sz w:val="20"/>
        </w:rPr>
        <w:t>Water Supply Services, meaning the following types of property supplying water to the described premises:</w:t>
      </w:r>
    </w:p>
    <w:p>
      <w:pPr>
        <w:pStyle w:val="BodyText"/>
        <w:spacing w:before="5"/>
        <w:rPr>
          <w:sz w:val="17"/>
        </w:rPr>
      </w:pPr>
    </w:p>
    <w:p>
      <w:pPr>
        <w:pStyle w:val="ListParagraph"/>
        <w:numPr>
          <w:ilvl w:val="1"/>
          <w:numId w:val="15"/>
        </w:numPr>
        <w:tabs>
          <w:tab w:pos="2381" w:val="left" w:leader="none"/>
        </w:tabs>
        <w:spacing w:line="240" w:lineRule="auto" w:before="1"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4"/>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0"/>
          <w:numId w:val="15"/>
        </w:numPr>
        <w:tabs>
          <w:tab w:pos="2019" w:val="left" w:leader="none"/>
          <w:tab w:pos="2021" w:val="left" w:leader="none"/>
        </w:tabs>
        <w:spacing w:line="249" w:lineRule="auto" w:before="1" w:after="0"/>
        <w:ind w:left="2019" w:right="219"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6"/>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4"/>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5"/>
        <w:rPr>
          <w:sz w:val="18"/>
        </w:rPr>
      </w:pPr>
    </w:p>
    <w:p>
      <w:pPr>
        <w:pStyle w:val="ListParagraph"/>
        <w:numPr>
          <w:ilvl w:val="0"/>
          <w:numId w:val="15"/>
        </w:numPr>
        <w:tabs>
          <w:tab w:pos="2019" w:val="left" w:leader="none"/>
          <w:tab w:pos="2021" w:val="left" w:leader="none"/>
        </w:tabs>
        <w:spacing w:line="249"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5"/>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5"/>
        <w:rPr>
          <w:sz w:val="18"/>
        </w:rPr>
      </w:pPr>
    </w:p>
    <w:p>
      <w:pPr>
        <w:pStyle w:val="ListParagraph"/>
        <w:numPr>
          <w:ilvl w:val="1"/>
          <w:numId w:val="15"/>
        </w:numPr>
        <w:tabs>
          <w:tab w:pos="2380" w:val="left" w:leader="none"/>
        </w:tabs>
        <w:spacing w:line="240" w:lineRule="auto" w:before="0" w:after="0"/>
        <w:ind w:left="2380" w:right="0" w:hanging="362"/>
        <w:jc w:val="left"/>
        <w:rPr>
          <w:sz w:val="20"/>
        </w:rPr>
      </w:pPr>
      <w:r>
        <w:rPr>
          <w:spacing w:val="-2"/>
          <w:sz w:val="20"/>
        </w:rPr>
        <w:t>Substations;</w:t>
      </w:r>
    </w:p>
    <w:p>
      <w:pPr>
        <w:pStyle w:val="BodyText"/>
        <w:spacing w:before="2"/>
        <w:rPr>
          <w:sz w:val="18"/>
        </w:rPr>
      </w:pPr>
    </w:p>
    <w:p>
      <w:pPr>
        <w:pStyle w:val="ListParagraph"/>
        <w:numPr>
          <w:ilvl w:val="1"/>
          <w:numId w:val="15"/>
        </w:numPr>
        <w:tabs>
          <w:tab w:pos="2390" w:val="left" w:leader="none"/>
        </w:tabs>
        <w:spacing w:line="240" w:lineRule="auto" w:before="0" w:after="0"/>
        <w:ind w:left="2390"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0" w:val="left" w:leader="none"/>
        </w:tabs>
        <w:spacing w:line="240" w:lineRule="auto" w:before="1" w:after="0"/>
        <w:ind w:left="2380" w:right="0" w:hanging="362"/>
        <w:jc w:val="left"/>
        <w:rPr>
          <w:sz w:val="20"/>
        </w:rPr>
      </w:pPr>
      <w:r>
        <w:rPr>
          <w:spacing w:val="-2"/>
          <w:sz w:val="20"/>
        </w:rPr>
        <w:t>Transmission</w:t>
      </w:r>
      <w:r>
        <w:rPr>
          <w:spacing w:val="8"/>
          <w:sz w:val="20"/>
        </w:rPr>
        <w:t> </w:t>
      </w:r>
      <w:r>
        <w:rPr>
          <w:spacing w:val="-2"/>
          <w:sz w:val="20"/>
        </w:rPr>
        <w:t>lines.</w:t>
      </w:r>
    </w:p>
    <w:p>
      <w:pPr>
        <w:pStyle w:val="BodyText"/>
        <w:spacing w:before="4"/>
        <w:rPr>
          <w:sz w:val="18"/>
        </w:rPr>
      </w:pPr>
    </w:p>
    <w:p>
      <w:pPr>
        <w:pStyle w:val="BodyText"/>
        <w:ind w:left="2018"/>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9"/>
        <w:rPr>
          <w:sz w:val="17"/>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2"/>
        <w:rPr>
          <w:sz w:val="18"/>
        </w:rPr>
      </w:pPr>
    </w:p>
    <w:p>
      <w:pPr>
        <w:pStyle w:val="BodyText"/>
        <w:spacing w:line="252" w:lineRule="auto"/>
        <w:ind w:left="1658" w:right="218"/>
        <w:jc w:val="both"/>
        <w:rPr>
          <w:b/>
        </w:rPr>
      </w:pPr>
      <w:r>
        <w:rPr/>
        <w:t>The most we will pay for loss or damage under this Extension is the Off Premises Utility Failure – Damage to Covered Property limit shown in </w:t>
      </w:r>
      <w:r>
        <w:rPr>
          <w:b/>
        </w:rPr>
        <w:t>Section I.C.</w:t>
      </w:r>
    </w:p>
    <w:p>
      <w:pPr>
        <w:pStyle w:val="Heading1"/>
        <w:spacing w:before="191"/>
        <w:ind w:left="1298"/>
      </w:pPr>
      <w:r>
        <w:rPr/>
        <w:t>Retaining</w:t>
      </w:r>
      <w:r>
        <w:rPr>
          <w:spacing w:val="-14"/>
        </w:rPr>
        <w:t> </w:t>
      </w:r>
      <w:r>
        <w:rPr>
          <w:spacing w:val="-2"/>
        </w:rPr>
        <w:t>Walls</w:t>
      </w:r>
    </w:p>
    <w:p>
      <w:pPr>
        <w:pStyle w:val="BodyText"/>
        <w:rPr>
          <w:b/>
          <w:sz w:val="18"/>
        </w:rPr>
      </w:pPr>
    </w:p>
    <w:p>
      <w:pPr>
        <w:pStyle w:val="BodyText"/>
        <w:spacing w:line="249" w:lineRule="auto"/>
        <w:ind w:left="1658" w:right="222"/>
        <w:jc w:val="both"/>
      </w:pPr>
      <w:r>
        <w:rPr/>
        <w:t>Coverage for your building is extended to include retaining walls that are not a part of a building, located at the premises described in the Declarations.</w:t>
      </w:r>
    </w:p>
    <w:p>
      <w:pPr>
        <w:pStyle w:val="BodyText"/>
        <w:spacing w:before="5"/>
        <w:rPr>
          <w:sz w:val="17"/>
        </w:rPr>
      </w:pPr>
    </w:p>
    <w:p>
      <w:pPr>
        <w:pStyle w:val="BodyText"/>
        <w:spacing w:line="249" w:lineRule="auto" w:before="1"/>
        <w:ind w:left="1658" w:right="217"/>
        <w:jc w:val="both"/>
        <w:rPr>
          <w:b/>
        </w:rPr>
      </w:pPr>
      <w:r>
        <w:rPr/>
        <w:t>The most we will pay for loss or damage under this Extension is the Retaining Walls limit shown in </w:t>
      </w:r>
      <w:r>
        <w:rPr>
          <w:b/>
        </w:rPr>
        <w:t>Section I.C.</w:t>
      </w:r>
    </w:p>
    <w:p>
      <w:pPr>
        <w:pStyle w:val="BodyText"/>
        <w:spacing w:before="5"/>
        <w:rPr>
          <w:b/>
          <w:sz w:val="17"/>
        </w:rPr>
      </w:pPr>
    </w:p>
    <w:p>
      <w:pPr>
        <w:pStyle w:val="Heading1"/>
        <w:ind w:left="1298"/>
      </w:pPr>
      <w:r>
        <w:rPr/>
        <w:t>Undamaged</w:t>
      </w:r>
      <w:r>
        <w:rPr>
          <w:spacing w:val="-13"/>
        </w:rPr>
        <w:t> </w:t>
      </w:r>
      <w:r>
        <w:rPr/>
        <w:t>Leasehold</w:t>
      </w:r>
      <w:r>
        <w:rPr>
          <w:spacing w:val="-12"/>
        </w:rPr>
        <w:t> </w:t>
      </w:r>
      <w:r>
        <w:rPr>
          <w:spacing w:val="-2"/>
        </w:rPr>
        <w:t>Improvements</w:t>
      </w:r>
    </w:p>
    <w:p>
      <w:pPr>
        <w:spacing w:after="0"/>
        <w:sectPr>
          <w:footerReference w:type="default" r:id="rId17"/>
          <w:pgSz w:w="12240" w:h="15840"/>
          <w:pgMar w:footer="844" w:header="0" w:top="1380" w:bottom="1040" w:left="1220" w:right="1220"/>
        </w:sectPr>
      </w:pPr>
    </w:p>
    <w:p>
      <w:pPr>
        <w:pStyle w:val="BodyText"/>
        <w:spacing w:line="249" w:lineRule="auto" w:before="64"/>
        <w:ind w:left="1660" w:right="217"/>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pStyle w:val="BodyText"/>
        <w:spacing w:before="8"/>
        <w:rPr>
          <w:sz w:val="17"/>
        </w:rPr>
      </w:pPr>
    </w:p>
    <w:p>
      <w:pPr>
        <w:pStyle w:val="BodyText"/>
        <w:spacing w:line="249" w:lineRule="auto"/>
        <w:ind w:left="1659" w:right="218"/>
        <w:jc w:val="both"/>
        <w:rPr>
          <w:b/>
        </w:rPr>
      </w:pPr>
      <w:r>
        <w:rPr/>
        <w:t>The most we will pay for loss or damage under this Extension is the Undamaged Leasehold Improvements limit shown in </w:t>
      </w:r>
      <w:r>
        <w:rPr>
          <w:b/>
        </w:rPr>
        <w:t>Section I.C.</w:t>
      </w:r>
    </w:p>
    <w:p>
      <w:pPr>
        <w:pStyle w:val="Heading1"/>
        <w:spacing w:before="194"/>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52" w:lineRule="auto"/>
        <w:ind w:left="1659" w:right="218"/>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line="249" w:lineRule="auto" w:before="197"/>
        <w:ind w:left="1659" w:right="221"/>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5"/>
        <w:rPr>
          <w:sz w:val="17"/>
        </w:rPr>
      </w:pPr>
    </w:p>
    <w:p>
      <w:pPr>
        <w:pStyle w:val="BodyText"/>
        <w:spacing w:line="249" w:lineRule="auto"/>
        <w:ind w:left="1659" w:right="2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spacing w:before="2"/>
        <w:rPr>
          <w:b/>
          <w:sz w:val="18"/>
        </w:rPr>
      </w:pPr>
    </w:p>
    <w:p>
      <w:pPr>
        <w:pStyle w:val="BodyText"/>
        <w:spacing w:line="249"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BodyText"/>
        <w:spacing w:before="7"/>
        <w:rPr>
          <w:sz w:val="17"/>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4"/>
        <w:rPr>
          <w:sz w:val="18"/>
        </w:rPr>
      </w:pPr>
    </w:p>
    <w:p>
      <w:pPr>
        <w:pStyle w:val="BodyText"/>
        <w:spacing w:before="1"/>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2"/>
        <w:rPr>
          <w:sz w:val="18"/>
        </w:rPr>
      </w:pPr>
    </w:p>
    <w:p>
      <w:pPr>
        <w:pStyle w:val="ListParagraph"/>
        <w:numPr>
          <w:ilvl w:val="0"/>
          <w:numId w:val="17"/>
        </w:numPr>
        <w:tabs>
          <w:tab w:pos="2016" w:val="left" w:leader="none"/>
          <w:tab w:pos="2019" w:val="left" w:leader="none"/>
        </w:tabs>
        <w:spacing w:line="249" w:lineRule="auto" w:before="0" w:after="0"/>
        <w:ind w:left="2019" w:right="221" w:hanging="360"/>
        <w:jc w:val="both"/>
        <w:rPr>
          <w:sz w:val="20"/>
        </w:rPr>
      </w:pPr>
      <w:r>
        <w:rPr>
          <w:sz w:val="20"/>
        </w:rPr>
        <w:t>At a location that is under a United States Department of State travel or trade restriction at the time of loss or damage; or</w:t>
      </w:r>
    </w:p>
    <w:p>
      <w:pPr>
        <w:pStyle w:val="BodyText"/>
        <w:spacing w:before="5"/>
        <w:rPr>
          <w:sz w:val="17"/>
        </w:rPr>
      </w:pPr>
    </w:p>
    <w:p>
      <w:pPr>
        <w:pStyle w:val="ListParagraph"/>
        <w:numPr>
          <w:ilvl w:val="0"/>
          <w:numId w:val="17"/>
        </w:numPr>
        <w:tabs>
          <w:tab w:pos="2016" w:val="left" w:leader="none"/>
        </w:tabs>
        <w:spacing w:line="240" w:lineRule="auto" w:before="0" w:after="0"/>
        <w:ind w:left="2016"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5"/>
        <w:rPr>
          <w:sz w:val="18"/>
        </w:rPr>
      </w:pPr>
    </w:p>
    <w:p>
      <w:pPr>
        <w:pStyle w:val="BodyText"/>
        <w:spacing w:line="249" w:lineRule="auto"/>
        <w:ind w:left="1659" w:right="218"/>
        <w:jc w:val="both"/>
        <w:rPr>
          <w:b/>
        </w:rPr>
      </w:pPr>
      <w:r>
        <w:rPr/>
        <w:t>The most we will pay for loss or damage under this Extension is the Worldwide Laptop Coverage limit shown in </w:t>
      </w:r>
      <w:r>
        <w:rPr>
          <w:b/>
        </w:rPr>
        <w:t>Section I.C.</w:t>
      </w:r>
    </w:p>
    <w:p>
      <w:pPr>
        <w:pStyle w:val="Heading1"/>
        <w:spacing w:before="194"/>
      </w:pPr>
      <w:r>
        <w:rPr/>
        <w:t>Extra</w:t>
      </w:r>
      <w:r>
        <w:rPr>
          <w:spacing w:val="-9"/>
        </w:rPr>
        <w:t> </w:t>
      </w:r>
      <w:r>
        <w:rPr>
          <w:spacing w:val="-2"/>
        </w:rPr>
        <w:t>Expense</w:t>
      </w:r>
    </w:p>
    <w:p>
      <w:pPr>
        <w:pStyle w:val="BodyText"/>
        <w:spacing w:before="6"/>
        <w:rPr>
          <w:b/>
          <w:sz w:val="17"/>
        </w:rPr>
      </w:pPr>
    </w:p>
    <w:p>
      <w:pPr>
        <w:pStyle w:val="BodyText"/>
        <w:ind w:left="1659"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spacing w:before="1"/>
        <w:ind w:left="16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6" w:val="left" w:leader="none"/>
          <w:tab w:pos="2019" w:val="left" w:leader="none"/>
        </w:tabs>
        <w:spacing w:line="240" w:lineRule="auto" w:before="197" w:after="0"/>
        <w:ind w:left="2019"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5"/>
        <w:rPr>
          <w:sz w:val="17"/>
        </w:rPr>
      </w:pPr>
    </w:p>
    <w:p>
      <w:pPr>
        <w:pStyle w:val="ListParagraph"/>
        <w:numPr>
          <w:ilvl w:val="0"/>
          <w:numId w:val="18"/>
        </w:numPr>
        <w:tabs>
          <w:tab w:pos="2016" w:val="left" w:leader="none"/>
        </w:tabs>
        <w:spacing w:line="240" w:lineRule="auto" w:before="1" w:after="0"/>
        <w:ind w:left="20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spacing w:after="0" w:line="240" w:lineRule="auto"/>
        <w:jc w:val="left"/>
        <w:rPr>
          <w:sz w:val="20"/>
        </w:rPr>
        <w:sectPr>
          <w:footerReference w:type="default" r:id="rId18"/>
          <w:pgSz w:w="12240" w:h="15840"/>
          <w:pgMar w:footer="844" w:header="0" w:top="1380" w:bottom="1040" w:left="1220" w:right="1220"/>
        </w:sectPr>
      </w:pPr>
    </w:p>
    <w:p>
      <w:pPr>
        <w:pStyle w:val="BodyText"/>
        <w:spacing w:before="79"/>
        <w:ind w:left="1660" w:right="235"/>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4"/>
        </w:rPr>
        <w:t> </w:t>
      </w:r>
      <w:r>
        <w:rPr/>
        <w:t>Coverage </w:t>
      </w:r>
      <w:r>
        <w:rPr>
          <w:spacing w:val="-2"/>
        </w:rPr>
        <w:t>Form.</w:t>
      </w:r>
    </w:p>
    <w:p>
      <w:pPr>
        <w:pStyle w:val="BodyText"/>
        <w:spacing w:before="8"/>
        <w:rPr>
          <w:sz w:val="17"/>
        </w:rPr>
      </w:pPr>
    </w:p>
    <w:p>
      <w:pPr>
        <w:pStyle w:val="BodyText"/>
        <w:spacing w:line="252" w:lineRule="auto"/>
        <w:ind w:left="1660" w:right="216"/>
        <w:jc w:val="both"/>
        <w:rPr>
          <w:b/>
        </w:rPr>
      </w:pPr>
      <w:r>
        <w:rPr/>
        <w:t>The most we will pay for loss or damage under this Extension is the Extra Expense limit shown in </w:t>
      </w:r>
      <w:r>
        <w:rPr>
          <w:b/>
        </w:rPr>
        <w:t>Section I.C.</w:t>
      </w:r>
    </w:p>
    <w:p>
      <w:pPr>
        <w:pStyle w:val="Heading1"/>
        <w:spacing w:before="191"/>
        <w:ind w:left="1300"/>
      </w:pPr>
      <w:r>
        <w:rPr/>
        <w:t>Expediting</w:t>
      </w:r>
      <w:r>
        <w:rPr>
          <w:spacing w:val="-14"/>
        </w:rPr>
        <w:t> </w:t>
      </w:r>
      <w:r>
        <w:rPr>
          <w:spacing w:val="-2"/>
        </w:rPr>
        <w:t>Expenses</w:t>
      </w:r>
    </w:p>
    <w:p>
      <w:pPr>
        <w:pStyle w:val="BodyText"/>
        <w:spacing w:before="7"/>
        <w:rPr>
          <w:b/>
          <w:sz w:val="17"/>
        </w:rPr>
      </w:pPr>
    </w:p>
    <w:p>
      <w:pPr>
        <w:pStyle w:val="BodyText"/>
        <w:ind w:left="1660"/>
      </w:pPr>
      <w:r>
        <w:rPr/>
        <w:t>We will pay with respect to your damaged Covered Property the reasonable additional</w:t>
      </w:r>
      <w:r>
        <w:rPr>
          <w:spacing w:val="80"/>
        </w:rPr>
        <w:t> </w:t>
      </w:r>
      <w:r>
        <w:rPr/>
        <w:t>expense to:</w:t>
      </w:r>
    </w:p>
    <w:p>
      <w:pPr>
        <w:pStyle w:val="BodyText"/>
        <w:spacing w:before="5"/>
        <w:rPr>
          <w:sz w:val="17"/>
        </w:rPr>
      </w:pPr>
    </w:p>
    <w:p>
      <w:pPr>
        <w:pStyle w:val="ListParagraph"/>
        <w:numPr>
          <w:ilvl w:val="0"/>
          <w:numId w:val="19"/>
        </w:numPr>
        <w:tabs>
          <w:tab w:pos="2017" w:val="left" w:leader="none"/>
        </w:tabs>
        <w:spacing w:line="240" w:lineRule="auto" w:before="0" w:after="0"/>
        <w:ind w:left="2017"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4"/>
        <w:rPr>
          <w:sz w:val="17"/>
        </w:rPr>
      </w:pPr>
    </w:p>
    <w:p>
      <w:pPr>
        <w:pStyle w:val="ListParagraph"/>
        <w:numPr>
          <w:ilvl w:val="0"/>
          <w:numId w:val="19"/>
        </w:numPr>
        <w:tabs>
          <w:tab w:pos="2017" w:val="left" w:leader="none"/>
        </w:tabs>
        <w:spacing w:line="240" w:lineRule="auto" w:before="0" w:after="0"/>
        <w:ind w:left="2017"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52" w:lineRule="auto"/>
        <w:ind w:left="1660" w:right="2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1"/>
        <w:ind w:left="1300"/>
      </w:pPr>
      <w:r>
        <w:rPr/>
        <w:t>Tools</w:t>
      </w:r>
      <w:r>
        <w:rPr>
          <w:spacing w:val="-5"/>
        </w:rPr>
        <w:t> </w:t>
      </w:r>
      <w:r>
        <w:rPr>
          <w:spacing w:val="-2"/>
        </w:rPr>
        <w:t>Coverage</w:t>
      </w:r>
    </w:p>
    <w:p>
      <w:pPr>
        <w:pStyle w:val="BodyText"/>
        <w:spacing w:before="7"/>
        <w:rPr>
          <w:b/>
          <w:sz w:val="17"/>
        </w:rPr>
      </w:pPr>
    </w:p>
    <w:p>
      <w:pPr>
        <w:pStyle w:val="BodyText"/>
        <w:ind w:left="1660" w:right="235"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6"/>
          <w:sz w:val="20"/>
        </w:rPr>
        <w:t> </w:t>
      </w:r>
      <w:r>
        <w:rPr>
          <w:b/>
          <w:sz w:val="20"/>
        </w:rPr>
        <w:t>of</w:t>
      </w:r>
      <w:r>
        <w:rPr>
          <w:b/>
          <w:spacing w:val="-6"/>
          <w:sz w:val="20"/>
        </w:rPr>
        <w:t> </w:t>
      </w:r>
      <w:r>
        <w:rPr>
          <w:b/>
          <w:sz w:val="20"/>
        </w:rPr>
        <w:t>Insurance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17"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39"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7" w:val="left" w:leader="none"/>
        </w:tabs>
        <w:spacing w:line="240" w:lineRule="auto" w:before="196" w:after="0"/>
        <w:ind w:left="937"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7"/>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939"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pStyle w:val="ListParagraph"/>
        <w:numPr>
          <w:ilvl w:val="2"/>
          <w:numId w:val="1"/>
        </w:numPr>
        <w:tabs>
          <w:tab w:pos="1297" w:val="left" w:leader="none"/>
          <w:tab w:pos="1299" w:val="left" w:leader="none"/>
        </w:tabs>
        <w:spacing w:line="230" w:lineRule="auto" w:before="198" w:after="0"/>
        <w:ind w:left="1299"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7" w:val="left" w:leader="none"/>
        </w:tabs>
        <w:spacing w:line="240" w:lineRule="auto" w:before="189" w:after="0"/>
        <w:ind w:left="1297"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spacing w:after="0" w:line="240" w:lineRule="auto"/>
        <w:jc w:val="left"/>
        <w:rPr>
          <w:sz w:val="20"/>
        </w:rPr>
        <w:sectPr>
          <w:footerReference w:type="default" r:id="rId19"/>
          <w:pgSz w:w="12240" w:h="15840"/>
          <w:pgMar w:footer="844" w:header="0" w:top="1360" w:bottom="1040" w:left="1220" w:right="1220"/>
        </w:sectPr>
      </w:pPr>
    </w:p>
    <w:p>
      <w:pPr>
        <w:pStyle w:val="BodyText"/>
        <w:spacing w:line="228" w:lineRule="auto" w:before="79"/>
        <w:ind w:left="1300"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8"/>
        <w:rPr>
          <w:sz w:val="17"/>
        </w:rPr>
      </w:pPr>
    </w:p>
    <w:p>
      <w:pPr>
        <w:pStyle w:val="BodyText"/>
        <w:spacing w:line="228" w:lineRule="auto"/>
        <w:ind w:left="1300" w:right="220"/>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pStyle w:val="BodyText"/>
        <w:spacing w:before="3"/>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9"/>
        <w:rPr>
          <w:b/>
          <w:sz w:val="17"/>
        </w:rPr>
      </w:pPr>
    </w:p>
    <w:p>
      <w:pPr>
        <w:pStyle w:val="BodyText"/>
        <w:spacing w:line="249" w:lineRule="auto"/>
        <w:ind w:left="1659" w:right="235"/>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2017" w:val="left" w:leader="none"/>
          <w:tab w:pos="2019" w:val="left" w:leader="none"/>
        </w:tabs>
        <w:spacing w:line="249" w:lineRule="auto" w:before="0"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6"/>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4"/>
        <w:rPr>
          <w:sz w:val="18"/>
        </w:rPr>
      </w:pPr>
    </w:p>
    <w:p>
      <w:pPr>
        <w:pStyle w:val="ListParagraph"/>
        <w:numPr>
          <w:ilvl w:val="1"/>
          <w:numId w:val="20"/>
        </w:numPr>
        <w:tabs>
          <w:tab w:pos="2379" w:val="left" w:leader="none"/>
          <w:tab w:pos="2381" w:val="left" w:leader="none"/>
        </w:tabs>
        <w:spacing w:line="249" w:lineRule="auto" w:before="1"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19"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5"/>
        <w:rPr>
          <w:sz w:val="18"/>
        </w:rPr>
      </w:pPr>
    </w:p>
    <w:p>
      <w:pPr>
        <w:pStyle w:val="ListParagraph"/>
        <w:numPr>
          <w:ilvl w:val="2"/>
          <w:numId w:val="20"/>
        </w:numPr>
        <w:tabs>
          <w:tab w:pos="2739" w:val="left" w:leader="none"/>
          <w:tab w:pos="2741" w:val="left" w:leader="none"/>
        </w:tabs>
        <w:spacing w:line="249" w:lineRule="auto" w:before="0" w:after="0"/>
        <w:ind w:left="2739"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5"/>
        <w:rPr>
          <w:sz w:val="17"/>
        </w:rPr>
      </w:pPr>
    </w:p>
    <w:p>
      <w:pPr>
        <w:pStyle w:val="ListParagraph"/>
        <w:numPr>
          <w:ilvl w:val="2"/>
          <w:numId w:val="20"/>
        </w:numPr>
        <w:tabs>
          <w:tab w:pos="2739" w:val="left" w:leader="none"/>
          <w:tab w:pos="2751" w:val="left" w:leader="none"/>
        </w:tabs>
        <w:spacing w:line="249" w:lineRule="auto" w:before="0" w:after="0"/>
        <w:ind w:left="2739"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6"/>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5"/>
        <w:rPr>
          <w:sz w:val="17"/>
        </w:rPr>
      </w:pPr>
    </w:p>
    <w:p>
      <w:pPr>
        <w:pStyle w:val="ListParagraph"/>
        <w:numPr>
          <w:ilvl w:val="0"/>
          <w:numId w:val="21"/>
        </w:numPr>
        <w:tabs>
          <w:tab w:pos="2735" w:val="left" w:leader="none"/>
          <w:tab w:pos="2738" w:val="left" w:leader="none"/>
        </w:tabs>
        <w:spacing w:line="249" w:lineRule="auto" w:before="0"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7"/>
        <w:rPr>
          <w:sz w:val="17"/>
        </w:rPr>
      </w:pPr>
    </w:p>
    <w:p>
      <w:pPr>
        <w:pStyle w:val="ListParagraph"/>
        <w:numPr>
          <w:ilvl w:val="0"/>
          <w:numId w:val="21"/>
        </w:numPr>
        <w:tabs>
          <w:tab w:pos="2735" w:val="left" w:leader="none"/>
          <w:tab w:pos="2738" w:val="left" w:leader="none"/>
        </w:tabs>
        <w:spacing w:line="252" w:lineRule="auto" w:before="0" w:after="0"/>
        <w:ind w:left="2738" w:right="221" w:hanging="360"/>
        <w:jc w:val="both"/>
        <w:rPr>
          <w:sz w:val="20"/>
        </w:rPr>
      </w:pPr>
      <w:r>
        <w:rPr>
          <w:sz w:val="20"/>
        </w:rPr>
        <w:t>We will not pay for loss or damage to “tenants’ improvements and betterments” if others pay for repairs or replacement.</w:t>
      </w:r>
    </w:p>
    <w:p>
      <w:pPr>
        <w:pStyle w:val="BodyText"/>
        <w:spacing w:before="3"/>
        <w:rPr>
          <w:sz w:val="17"/>
        </w:rPr>
      </w:pPr>
    </w:p>
    <w:p>
      <w:pPr>
        <w:pStyle w:val="ListParagraph"/>
        <w:numPr>
          <w:ilvl w:val="0"/>
          <w:numId w:val="20"/>
        </w:numPr>
        <w:tabs>
          <w:tab w:pos="2016" w:val="left" w:leader="none"/>
          <w:tab w:pos="2018" w:val="left" w:leader="none"/>
        </w:tabs>
        <w:spacing w:line="249" w:lineRule="auto" w:before="0" w:after="0"/>
        <w:ind w:left="2018" w:right="223"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5"/>
        <w:rPr>
          <w:sz w:val="17"/>
        </w:rPr>
      </w:pPr>
    </w:p>
    <w:p>
      <w:pPr>
        <w:pStyle w:val="ListParagraph"/>
        <w:numPr>
          <w:ilvl w:val="0"/>
          <w:numId w:val="20"/>
        </w:numPr>
        <w:tabs>
          <w:tab w:pos="2016" w:val="left" w:leader="none"/>
          <w:tab w:pos="2018" w:val="left" w:leader="none"/>
        </w:tabs>
        <w:spacing w:line="249" w:lineRule="auto" w:before="0" w:after="0"/>
        <w:ind w:left="2018" w:right="219" w:hanging="360"/>
        <w:jc w:val="left"/>
        <w:rPr>
          <w:sz w:val="20"/>
        </w:rPr>
      </w:pPr>
      <w:r>
        <w:rPr>
          <w:sz w:val="20"/>
        </w:rPr>
        <w:t>Labor, materials, and services that you furnish or arrange on property of others are valued based on the actual cost of the labor, materials, and services.</w:t>
      </w:r>
    </w:p>
    <w:p>
      <w:pPr>
        <w:spacing w:after="0" w:line="249"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7" w:val="left" w:leader="none"/>
          <w:tab w:pos="2020" w:val="left" w:leader="none"/>
        </w:tabs>
        <w:spacing w:line="249" w:lineRule="auto" w:before="64" w:after="0"/>
        <w:ind w:left="2020" w:right="218" w:hanging="361"/>
        <w:jc w:val="left"/>
        <w:rPr>
          <w:sz w:val="20"/>
        </w:rPr>
      </w:pPr>
      <w:r>
        <w:rPr>
          <w:sz w:val="20"/>
        </w:rPr>
        <w:t>Fine</w:t>
      </w:r>
      <w:r>
        <w:rPr>
          <w:spacing w:val="38"/>
          <w:sz w:val="20"/>
        </w:rPr>
        <w:t> </w:t>
      </w:r>
      <w:r>
        <w:rPr>
          <w:sz w:val="20"/>
        </w:rPr>
        <w:t>arts</w:t>
      </w:r>
      <w:r>
        <w:rPr>
          <w:spacing w:val="40"/>
          <w:sz w:val="20"/>
        </w:rPr>
        <w:t> </w:t>
      </w:r>
      <w:r>
        <w:rPr>
          <w:sz w:val="20"/>
        </w:rPr>
        <w:t>are</w:t>
      </w:r>
      <w:r>
        <w:rPr>
          <w:spacing w:val="38"/>
          <w:sz w:val="20"/>
        </w:rPr>
        <w:t> </w:t>
      </w:r>
      <w:r>
        <w:rPr>
          <w:sz w:val="20"/>
        </w:rPr>
        <w:t>valued</w:t>
      </w:r>
      <w:r>
        <w:rPr>
          <w:spacing w:val="38"/>
          <w:sz w:val="20"/>
        </w:rPr>
        <w:t> </w:t>
      </w:r>
      <w:r>
        <w:rPr>
          <w:sz w:val="20"/>
        </w:rPr>
        <w:t>at</w:t>
      </w:r>
      <w:r>
        <w:rPr>
          <w:spacing w:val="39"/>
          <w:sz w:val="20"/>
        </w:rPr>
        <w:t> </w:t>
      </w:r>
      <w:r>
        <w:rPr>
          <w:sz w:val="20"/>
        </w:rPr>
        <w:t>the</w:t>
      </w:r>
      <w:r>
        <w:rPr>
          <w:spacing w:val="38"/>
          <w:sz w:val="20"/>
        </w:rPr>
        <w:t> </w:t>
      </w:r>
      <w:r>
        <w:rPr>
          <w:sz w:val="20"/>
        </w:rPr>
        <w:t>appraised</w:t>
      </w:r>
      <w:r>
        <w:rPr>
          <w:spacing w:val="38"/>
          <w:sz w:val="20"/>
        </w:rPr>
        <w:t> </w:t>
      </w:r>
      <w:r>
        <w:rPr>
          <w:sz w:val="20"/>
        </w:rPr>
        <w:t>value</w:t>
      </w:r>
      <w:r>
        <w:rPr>
          <w:spacing w:val="38"/>
          <w:sz w:val="20"/>
        </w:rPr>
        <w:t> </w:t>
      </w:r>
      <w:r>
        <w:rPr>
          <w:sz w:val="20"/>
        </w:rPr>
        <w:t>at</w:t>
      </w:r>
      <w:r>
        <w:rPr>
          <w:spacing w:val="39"/>
          <w:sz w:val="20"/>
        </w:rPr>
        <w:t> </w:t>
      </w:r>
      <w:r>
        <w:rPr>
          <w:sz w:val="20"/>
        </w:rPr>
        <w:t>the</w:t>
      </w:r>
      <w:r>
        <w:rPr>
          <w:spacing w:val="38"/>
          <w:sz w:val="20"/>
        </w:rPr>
        <w:t> </w:t>
      </w:r>
      <w:r>
        <w:rPr>
          <w:sz w:val="20"/>
        </w:rPr>
        <w:t>time</w:t>
      </w:r>
      <w:r>
        <w:rPr>
          <w:spacing w:val="38"/>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8"/>
          <w:sz w:val="20"/>
        </w:rPr>
        <w:t> </w:t>
      </w:r>
      <w:r>
        <w:rPr>
          <w:sz w:val="20"/>
        </w:rPr>
        <w:t>is</w:t>
      </w:r>
      <w:r>
        <w:rPr>
          <w:spacing w:val="40"/>
          <w:sz w:val="20"/>
        </w:rPr>
        <w:t> </w:t>
      </w:r>
      <w:r>
        <w:rPr>
          <w:sz w:val="20"/>
        </w:rPr>
        <w:t>no appraisal at the greater of:</w:t>
      </w:r>
    </w:p>
    <w:p>
      <w:pPr>
        <w:pStyle w:val="BodyText"/>
        <w:spacing w:before="5"/>
        <w:rPr>
          <w:sz w:val="17"/>
        </w:rPr>
      </w:pPr>
    </w:p>
    <w:p>
      <w:pPr>
        <w:pStyle w:val="ListParagraph"/>
        <w:numPr>
          <w:ilvl w:val="1"/>
          <w:numId w:val="20"/>
        </w:numPr>
        <w:tabs>
          <w:tab w:pos="2382" w:val="left" w:leader="none"/>
        </w:tabs>
        <w:spacing w:line="240" w:lineRule="auto" w:before="1" w:after="0"/>
        <w:ind w:left="2382"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pStyle w:val="BodyText"/>
        <w:spacing w:before="4"/>
        <w:rPr>
          <w:sz w:val="18"/>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3"/>
        <w:rPr>
          <w:sz w:val="18"/>
        </w:rPr>
      </w:pPr>
    </w:p>
    <w:p>
      <w:pPr>
        <w:pStyle w:val="ListParagraph"/>
        <w:numPr>
          <w:ilvl w:val="1"/>
          <w:numId w:val="20"/>
        </w:numPr>
        <w:tabs>
          <w:tab w:pos="2379" w:val="left" w:leader="none"/>
          <w:tab w:pos="2381" w:val="left" w:leader="none"/>
        </w:tabs>
        <w:spacing w:line="249" w:lineRule="auto" w:before="0" w:after="0"/>
        <w:ind w:left="2379" w:right="221"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0"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0"/>
        </w:numPr>
        <w:tabs>
          <w:tab w:pos="2739" w:val="left" w:leader="none"/>
          <w:tab w:pos="2751" w:val="left" w:leader="none"/>
        </w:tabs>
        <w:spacing w:line="249" w:lineRule="auto" w:before="197" w:after="0"/>
        <w:ind w:left="2739" w:right="218"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739" w:val="left" w:leader="none"/>
          <w:tab w:pos="2751" w:val="left" w:leader="none"/>
        </w:tabs>
        <w:spacing w:line="252" w:lineRule="auto" w:before="1"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ListParagraph"/>
        <w:numPr>
          <w:ilvl w:val="1"/>
          <w:numId w:val="20"/>
        </w:numPr>
        <w:tabs>
          <w:tab w:pos="2381" w:val="left" w:leader="none"/>
        </w:tabs>
        <w:spacing w:line="240" w:lineRule="auto" w:before="197"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2"/>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5"/>
        <w:rPr>
          <w:sz w:val="18"/>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2019" w:val="left" w:leader="none"/>
          <w:tab w:pos="2074" w:val="left" w:leader="none"/>
        </w:tabs>
        <w:spacing w:line="252" w:lineRule="auto" w:before="1" w:after="0"/>
        <w:ind w:left="2019" w:right="217"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8"/>
        <w:rPr>
          <w:sz w:val="17"/>
        </w:rPr>
      </w:pPr>
    </w:p>
    <w:p>
      <w:pPr>
        <w:pStyle w:val="ListParagraph"/>
        <w:numPr>
          <w:ilvl w:val="1"/>
          <w:numId w:val="20"/>
        </w:numPr>
        <w:tabs>
          <w:tab w:pos="2379" w:val="left" w:leader="none"/>
          <w:tab w:pos="2381" w:val="left" w:leader="none"/>
        </w:tabs>
        <w:spacing w:line="249" w:lineRule="auto" w:before="0" w:after="0"/>
        <w:ind w:left="2379" w:right="219" w:hanging="360"/>
        <w:jc w:val="both"/>
        <w:rPr>
          <w:sz w:val="20"/>
        </w:rPr>
      </w:pPr>
      <w:r>
        <w:rPr>
          <w:rFonts w:ascii="Times New Roman" w:hAnsi="Times New Roman"/>
          <w:b/>
          <w:sz w:val="20"/>
        </w:rPr>
        <w:tab/>
      </w:r>
      <w:r>
        <w:rPr>
          <w:sz w:val="20"/>
        </w:rPr>
        <w:t>“Electronic data” and “programs” are valued at the actual cost to reproduce the data</w:t>
      </w:r>
      <w:r>
        <w:rPr>
          <w:spacing w:val="24"/>
          <w:sz w:val="20"/>
        </w:rPr>
        <w:t> </w:t>
      </w:r>
      <w:r>
        <w:rPr>
          <w:sz w:val="20"/>
        </w:rPr>
        <w:t>and</w:t>
      </w:r>
      <w:r>
        <w:rPr>
          <w:spacing w:val="25"/>
          <w:sz w:val="20"/>
        </w:rPr>
        <w:t> </w:t>
      </w:r>
      <w:r>
        <w:rPr>
          <w:sz w:val="20"/>
        </w:rPr>
        <w:t>programs,</w:t>
      </w:r>
      <w:r>
        <w:rPr>
          <w:spacing w:val="23"/>
          <w:sz w:val="20"/>
        </w:rPr>
        <w:t> </w:t>
      </w:r>
      <w:r>
        <w:rPr>
          <w:sz w:val="20"/>
        </w:rPr>
        <w:t>if</w:t>
      </w:r>
      <w:r>
        <w:rPr>
          <w:spacing w:val="27"/>
          <w:sz w:val="20"/>
        </w:rPr>
        <w:t> </w:t>
      </w:r>
      <w:r>
        <w:rPr>
          <w:sz w:val="20"/>
        </w:rPr>
        <w:t>you</w:t>
      </w:r>
      <w:r>
        <w:rPr>
          <w:spacing w:val="25"/>
          <w:sz w:val="20"/>
        </w:rPr>
        <w:t> </w:t>
      </w:r>
      <w:r>
        <w:rPr>
          <w:sz w:val="20"/>
        </w:rPr>
        <w:t>actually</w:t>
      </w:r>
      <w:r>
        <w:rPr>
          <w:spacing w:val="20"/>
          <w:sz w:val="20"/>
        </w:rPr>
        <w:t> </w:t>
      </w:r>
      <w:r>
        <w:rPr>
          <w:sz w:val="20"/>
        </w:rPr>
        <w:t>reproduce</w:t>
      </w:r>
      <w:r>
        <w:rPr>
          <w:spacing w:val="22"/>
          <w:sz w:val="20"/>
        </w:rPr>
        <w:t> </w:t>
      </w:r>
      <w:r>
        <w:rPr>
          <w:sz w:val="20"/>
        </w:rPr>
        <w:t>the</w:t>
      </w:r>
      <w:r>
        <w:rPr>
          <w:spacing w:val="25"/>
          <w:sz w:val="20"/>
        </w:rPr>
        <w:t> </w:t>
      </w:r>
      <w:r>
        <w:rPr>
          <w:sz w:val="20"/>
        </w:rPr>
        <w:t>data</w:t>
      </w:r>
      <w:r>
        <w:rPr>
          <w:spacing w:val="23"/>
          <w:sz w:val="20"/>
        </w:rPr>
        <w:t> </w:t>
      </w:r>
      <w:r>
        <w:rPr>
          <w:sz w:val="20"/>
        </w:rPr>
        <w:t>and</w:t>
      </w:r>
      <w:r>
        <w:rPr>
          <w:spacing w:val="23"/>
          <w:sz w:val="20"/>
        </w:rPr>
        <w:t> </w:t>
      </w:r>
      <w:r>
        <w:rPr>
          <w:sz w:val="20"/>
        </w:rPr>
        <w:t>programs.</w:t>
      </w:r>
      <w:r>
        <w:rPr>
          <w:spacing w:val="71"/>
          <w:w w:val="150"/>
          <w:sz w:val="20"/>
        </w:rPr>
        <w:t> </w:t>
      </w:r>
      <w:r>
        <w:rPr>
          <w:sz w:val="20"/>
        </w:rPr>
        <w:t>We</w:t>
      </w:r>
      <w:r>
        <w:rPr>
          <w:spacing w:val="20"/>
          <w:sz w:val="20"/>
        </w:rPr>
        <w:t> </w:t>
      </w:r>
      <w:r>
        <w:rPr>
          <w:spacing w:val="-4"/>
          <w:sz w:val="20"/>
        </w:rPr>
        <w:t>will</w:t>
      </w:r>
    </w:p>
    <w:p>
      <w:pPr>
        <w:spacing w:after="0" w:line="249" w:lineRule="auto"/>
        <w:jc w:val="both"/>
        <w:rPr>
          <w:sz w:val="20"/>
        </w:rPr>
        <w:sectPr>
          <w:footerReference w:type="default" r:id="rId21"/>
          <w:pgSz w:w="12240" w:h="15840"/>
          <w:pgMar w:footer="844" w:header="0" w:top="1380" w:bottom="1040" w:left="1220" w:right="1220"/>
        </w:sectPr>
      </w:pPr>
    </w:p>
    <w:p>
      <w:pPr>
        <w:pStyle w:val="BodyText"/>
        <w:spacing w:line="249" w:lineRule="auto" w:before="64"/>
        <w:ind w:left="2380" w:right="215"/>
        <w:jc w:val="both"/>
      </w:pPr>
      <w:r>
        <w:rPr/>
        <w:t>also pay any reasonable additional expense that you may incur in reproducing</w:t>
      </w:r>
      <w:r>
        <w:rPr>
          <w:spacing w:val="40"/>
        </w:rPr>
        <w:t> </w:t>
      </w:r>
      <w:r>
        <w:rPr/>
        <w:t>the data and programs to continue your normal computer operations.</w:t>
      </w:r>
      <w:r>
        <w:rPr>
          <w:spacing w:val="40"/>
        </w:rPr>
        <w:t> </w:t>
      </w:r>
      <w:r>
        <w:rPr/>
        <w:t>The most we will pay for this coverage is the Limit of Insurance shown in the Media, Electronic Data, And Programs Additional Coverage above.</w:t>
      </w:r>
    </w:p>
    <w:p>
      <w:pPr>
        <w:pStyle w:val="BodyText"/>
        <w:spacing w:before="7"/>
        <w:rPr>
          <w:sz w:val="17"/>
        </w:rPr>
      </w:pPr>
    </w:p>
    <w:p>
      <w:pPr>
        <w:pStyle w:val="BodyText"/>
        <w:spacing w:line="249" w:lineRule="auto"/>
        <w:ind w:left="2380" w:right="217"/>
        <w:jc w:val="both"/>
      </w:pPr>
      <w:r>
        <w:rPr/>
        <w:t>We will not pay for data and programs that cannot be reproduced due to lack of backup,</w:t>
      </w:r>
      <w:r>
        <w:rPr>
          <w:spacing w:val="-3"/>
        </w:rPr>
        <w:t> </w:t>
      </w:r>
      <w:r>
        <w:rPr/>
        <w:t>support</w:t>
      </w:r>
      <w:r>
        <w:rPr>
          <w:spacing w:val="-3"/>
        </w:rPr>
        <w:t> </w:t>
      </w:r>
      <w:r>
        <w:rPr/>
        <w:t>documentation</w:t>
      </w:r>
      <w:r>
        <w:rPr>
          <w:spacing w:val="-3"/>
        </w:rPr>
        <w:t> </w:t>
      </w:r>
      <w:r>
        <w:rPr/>
        <w:t>or</w:t>
      </w:r>
      <w:r>
        <w:rPr>
          <w:spacing w:val="-2"/>
        </w:rPr>
        <w:t> </w:t>
      </w:r>
      <w:r>
        <w:rPr/>
        <w:t>records</w:t>
      </w:r>
      <w:r>
        <w:rPr>
          <w:spacing w:val="-1"/>
        </w:rPr>
        <w:t> </w:t>
      </w:r>
      <w:r>
        <w:rPr/>
        <w:t>unless</w:t>
      </w:r>
      <w:r>
        <w:rPr>
          <w:spacing w:val="-1"/>
        </w:rPr>
        <w:t> </w:t>
      </w:r>
      <w:r>
        <w:rPr/>
        <w:t>specified</w:t>
      </w:r>
      <w:r>
        <w:rPr>
          <w:spacing w:val="-3"/>
        </w:rPr>
        <w:t> </w:t>
      </w:r>
      <w:r>
        <w:rPr/>
        <w:t>articles</w:t>
      </w:r>
      <w:r>
        <w:rPr>
          <w:spacing w:val="-1"/>
        </w:rPr>
        <w:t> </w:t>
      </w:r>
      <w:r>
        <w:rPr/>
        <w:t>are</w:t>
      </w:r>
      <w:r>
        <w:rPr>
          <w:spacing w:val="-3"/>
        </w:rPr>
        <w:t> </w:t>
      </w:r>
      <w:r>
        <w:rPr/>
        <w:t>described and agreed values are shown in the Declarations.</w:t>
      </w:r>
      <w:r>
        <w:rPr>
          <w:spacing w:val="40"/>
        </w:rPr>
        <w:t> </w:t>
      </w:r>
      <w:r>
        <w:rPr/>
        <w:t>If shown, we will pay for each article lost at the agreed value.</w:t>
      </w:r>
    </w:p>
    <w:p>
      <w:pPr>
        <w:pStyle w:val="BodyText"/>
        <w:spacing w:before="7"/>
        <w:rPr>
          <w:sz w:val="17"/>
        </w:rPr>
      </w:pPr>
    </w:p>
    <w:p>
      <w:pPr>
        <w:pStyle w:val="ListParagraph"/>
        <w:numPr>
          <w:ilvl w:val="1"/>
          <w:numId w:val="20"/>
        </w:numPr>
        <w:tabs>
          <w:tab w:pos="2379" w:val="left" w:leader="none"/>
          <w:tab w:pos="2381" w:val="left" w:leader="none"/>
        </w:tabs>
        <w:spacing w:line="252" w:lineRule="auto" w:before="0" w:after="0"/>
        <w:ind w:left="2379" w:right="2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ListParagraph"/>
        <w:numPr>
          <w:ilvl w:val="0"/>
          <w:numId w:val="20"/>
        </w:numPr>
        <w:tabs>
          <w:tab w:pos="2016" w:val="left" w:leader="none"/>
          <w:tab w:pos="2019" w:val="left" w:leader="none"/>
        </w:tabs>
        <w:spacing w:line="249" w:lineRule="auto" w:before="198" w:after="0"/>
        <w:ind w:left="2019" w:right="219" w:hanging="361"/>
        <w:jc w:val="both"/>
        <w:rPr>
          <w:sz w:val="20"/>
        </w:rPr>
      </w:pPr>
      <w:r>
        <w:rPr>
          <w:sz w:val="20"/>
        </w:rPr>
        <w:t>At the actual cash value as of the time of loss or damage, if actual cash value is shown in the Declarations.</w:t>
      </w:r>
    </w:p>
    <w:p>
      <w:pPr>
        <w:pStyle w:val="BodyText"/>
        <w:spacing w:before="5"/>
        <w:rPr>
          <w:sz w:val="17"/>
        </w:rPr>
      </w:pPr>
    </w:p>
    <w:p>
      <w:pPr>
        <w:pStyle w:val="ListParagraph"/>
        <w:numPr>
          <w:ilvl w:val="0"/>
          <w:numId w:val="20"/>
        </w:numPr>
        <w:tabs>
          <w:tab w:pos="2017" w:val="left" w:leader="none"/>
        </w:tabs>
        <w:spacing w:line="240" w:lineRule="auto" w:before="0" w:after="0"/>
        <w:ind w:left="2017"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19" w:val="left" w:leader="none"/>
        </w:tabs>
        <w:spacing w:line="240" w:lineRule="auto" w:before="0" w:after="0"/>
        <w:ind w:left="2019" w:right="0" w:hanging="359"/>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5"/>
        <w:rPr>
          <w:sz w:val="18"/>
        </w:rPr>
      </w:pPr>
    </w:p>
    <w:p>
      <w:pPr>
        <w:pStyle w:val="ListParagraph"/>
        <w:numPr>
          <w:ilvl w:val="1"/>
          <w:numId w:val="20"/>
        </w:numPr>
        <w:tabs>
          <w:tab w:pos="2377" w:val="left" w:leader="none"/>
        </w:tabs>
        <w:spacing w:line="240" w:lineRule="auto" w:before="0"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2"/>
        <w:rPr>
          <w:sz w:val="18"/>
        </w:rPr>
      </w:pPr>
    </w:p>
    <w:p>
      <w:pPr>
        <w:pStyle w:val="ListParagraph"/>
        <w:numPr>
          <w:ilvl w:val="1"/>
          <w:numId w:val="20"/>
        </w:numPr>
        <w:tabs>
          <w:tab w:pos="2376" w:val="left" w:leader="none"/>
          <w:tab w:pos="2379" w:val="left" w:leader="none"/>
        </w:tabs>
        <w:spacing w:line="249" w:lineRule="auto" w:before="0" w:after="0"/>
        <w:ind w:left="2379" w:right="219" w:hanging="360"/>
        <w:jc w:val="both"/>
        <w:rPr>
          <w:sz w:val="20"/>
        </w:rPr>
      </w:pPr>
      <w:r>
        <w:rPr>
          <w:sz w:val="20"/>
        </w:rPr>
        <w:t>A proportion of your original cost if you do not make repairs promptly. We will determine the proportionate value as follows:</w:t>
      </w:r>
    </w:p>
    <w:p>
      <w:pPr>
        <w:pStyle w:val="BodyText"/>
        <w:spacing w:before="6"/>
        <w:rPr>
          <w:sz w:val="17"/>
        </w:rPr>
      </w:pPr>
    </w:p>
    <w:p>
      <w:pPr>
        <w:pStyle w:val="ListParagraph"/>
        <w:numPr>
          <w:ilvl w:val="2"/>
          <w:numId w:val="20"/>
        </w:numPr>
        <w:tabs>
          <w:tab w:pos="2736" w:val="left" w:leader="none"/>
          <w:tab w:pos="2739" w:val="left" w:leader="none"/>
        </w:tabs>
        <w:spacing w:line="252" w:lineRule="auto" w:before="0" w:after="0"/>
        <w:ind w:left="2739" w:right="220" w:hanging="360"/>
        <w:jc w:val="left"/>
        <w:rPr>
          <w:sz w:val="20"/>
        </w:rPr>
      </w:pPr>
      <w:r>
        <w:rPr>
          <w:sz w:val="20"/>
        </w:rPr>
        <w:t>Multiply the original cost by the number of days from the loss or damage to the expiration of the lease; and</w:t>
      </w:r>
    </w:p>
    <w:p>
      <w:pPr>
        <w:pStyle w:val="BodyText"/>
        <w:spacing w:before="3"/>
        <w:rPr>
          <w:sz w:val="17"/>
        </w:rPr>
      </w:pPr>
    </w:p>
    <w:p>
      <w:pPr>
        <w:pStyle w:val="ListParagraph"/>
        <w:numPr>
          <w:ilvl w:val="2"/>
          <w:numId w:val="20"/>
        </w:numPr>
        <w:tabs>
          <w:tab w:pos="2736" w:val="left" w:leader="none"/>
          <w:tab w:pos="2740" w:val="left" w:leader="none"/>
        </w:tabs>
        <w:spacing w:line="249" w:lineRule="auto" w:before="0" w:after="0"/>
        <w:ind w:left="2740" w:right="215" w:hanging="361"/>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5"/>
        <w:rPr>
          <w:sz w:val="17"/>
        </w:rPr>
      </w:pPr>
    </w:p>
    <w:p>
      <w:pPr>
        <w:pStyle w:val="BodyText"/>
        <w:spacing w:line="249" w:lineRule="auto"/>
        <w:ind w:left="2380" w:right="221"/>
        <w:jc w:val="both"/>
      </w:pPr>
      <w:r>
        <w:rPr/>
        <w:t>If your lease contains a renewal option, the expiration of the renewal option period will replace the expiration of the lease in this procedure.</w:t>
      </w:r>
    </w:p>
    <w:p>
      <w:pPr>
        <w:pStyle w:val="BodyText"/>
        <w:spacing w:before="6"/>
        <w:rPr>
          <w:sz w:val="17"/>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4"/>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5"/>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660" w:right="220"/>
        <w:jc w:val="both"/>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6"/>
        <w:rPr>
          <w:sz w:val="17"/>
        </w:rPr>
      </w:pPr>
    </w:p>
    <w:p>
      <w:pPr>
        <w:pStyle w:val="ListParagraph"/>
        <w:numPr>
          <w:ilvl w:val="3"/>
          <w:numId w:val="1"/>
        </w:numPr>
        <w:tabs>
          <w:tab w:pos="2018" w:val="left" w:leader="none"/>
          <w:tab w:pos="2020" w:val="left" w:leader="none"/>
        </w:tabs>
        <w:spacing w:line="252" w:lineRule="auto" w:before="0" w:after="0"/>
        <w:ind w:left="2020" w:right="218"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3"/>
        <w:rPr>
          <w:sz w:val="17"/>
        </w:rPr>
      </w:pPr>
    </w:p>
    <w:p>
      <w:pPr>
        <w:pStyle w:val="ListParagraph"/>
        <w:numPr>
          <w:ilvl w:val="3"/>
          <w:numId w:val="1"/>
        </w:numPr>
        <w:tabs>
          <w:tab w:pos="2018" w:val="left" w:leader="none"/>
          <w:tab w:pos="2020" w:val="left" w:leader="none"/>
        </w:tabs>
        <w:spacing w:line="249"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before="6"/>
        <w:rPr>
          <w:sz w:val="17"/>
        </w:rPr>
      </w:pPr>
    </w:p>
    <w:p>
      <w:pPr>
        <w:pStyle w:val="BodyText"/>
        <w:spacing w:line="249" w:lineRule="auto"/>
        <w:ind w:left="1660" w:right="2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9"/>
        <w:ind w:left="1300"/>
      </w:pPr>
      <w:r>
        <w:rPr>
          <w:spacing w:val="-2"/>
        </w:rPr>
        <w:t>Consequential</w:t>
      </w:r>
      <w:r>
        <w:rPr>
          <w:spacing w:val="8"/>
        </w:rPr>
        <w:t> </w:t>
      </w:r>
      <w:r>
        <w:rPr>
          <w:spacing w:val="-2"/>
        </w:rPr>
        <w:t>Damages</w:t>
      </w:r>
    </w:p>
    <w:p>
      <w:pPr>
        <w:spacing w:after="0"/>
        <w:sectPr>
          <w:footerReference w:type="default" r:id="rId22"/>
          <w:pgSz w:w="12240" w:h="15840"/>
          <w:pgMar w:footer="844" w:header="0" w:top="1380" w:bottom="1040" w:left="1220" w:right="1220"/>
        </w:sectPr>
      </w:pPr>
    </w:p>
    <w:p>
      <w:pPr>
        <w:pStyle w:val="BodyText"/>
        <w:spacing w:line="249" w:lineRule="auto" w:before="64"/>
        <w:ind w:left="1660" w:right="235"/>
      </w:pPr>
      <w:r>
        <w:rPr/>
        <w:t>We will pay for consequential damages resulting from a partial loss by a Covered Cause of Loss to your Covered Property.</w:t>
      </w:r>
    </w:p>
    <w:p>
      <w:pPr>
        <w:pStyle w:val="BodyText"/>
        <w:spacing w:before="5"/>
        <w:rPr>
          <w:sz w:val="17"/>
        </w:rPr>
      </w:pPr>
    </w:p>
    <w:p>
      <w:pPr>
        <w:pStyle w:val="BodyText"/>
        <w:spacing w:line="249" w:lineRule="auto" w:before="1"/>
        <w:ind w:left="1660" w:right="235"/>
      </w:pPr>
      <w:r>
        <w:rPr/>
        <w:t>Consequential damages means the loss of value of a part or parts of your product that</w:t>
      </w:r>
      <w:r>
        <w:rPr>
          <w:spacing w:val="80"/>
        </w:rPr>
        <w:t> </w:t>
      </w:r>
      <w:r>
        <w:rPr/>
        <w:t>are not physically damaged and are unmarketable as a complete product.</w:t>
      </w:r>
    </w:p>
    <w:p>
      <w:pPr>
        <w:pStyle w:val="Heading1"/>
        <w:spacing w:before="186"/>
        <w:ind w:left="13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60" w:lineRule="auto"/>
        <w:ind w:left="1660" w:right="3691"/>
      </w:pPr>
      <w:r>
        <w:rPr/>
        <w:t>We shall pay for loss or damage to a Pair or Set. In</w:t>
      </w:r>
      <w:r>
        <w:rPr>
          <w:spacing w:val="-4"/>
        </w:rPr>
        <w:t> </w:t>
      </w:r>
      <w:r>
        <w:rPr/>
        <w:t>case</w:t>
      </w:r>
      <w:r>
        <w:rPr>
          <w:spacing w:val="-4"/>
        </w:rPr>
        <w:t> </w:t>
      </w:r>
      <w:r>
        <w:rPr/>
        <w:t>of</w:t>
      </w:r>
      <w:r>
        <w:rPr>
          <w:spacing w:val="-3"/>
        </w:rPr>
        <w:t> </w:t>
      </w:r>
      <w:r>
        <w:rPr/>
        <w:t>loss</w:t>
      </w:r>
      <w:r>
        <w:rPr>
          <w:spacing w:val="-3"/>
        </w:rPr>
        <w:t> </w:t>
      </w:r>
      <w:r>
        <w:rPr/>
        <w:t>to</w:t>
      </w:r>
      <w:r>
        <w:rPr>
          <w:spacing w:val="-3"/>
        </w:rPr>
        <w:t> </w:t>
      </w:r>
      <w:r>
        <w:rPr/>
        <w:t>any</w:t>
      </w:r>
      <w:r>
        <w:rPr>
          <w:spacing w:val="-7"/>
        </w:rPr>
        <w:t> </w:t>
      </w:r>
      <w:r>
        <w:rPr/>
        <w:t>part</w:t>
      </w:r>
      <w:r>
        <w:rPr>
          <w:spacing w:val="-4"/>
        </w:rPr>
        <w:t> </w:t>
      </w:r>
      <w:r>
        <w:rPr/>
        <w:t>of</w:t>
      </w:r>
      <w:r>
        <w:rPr>
          <w:spacing w:val="-3"/>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2"/>
        </w:numPr>
        <w:tabs>
          <w:tab w:pos="2075" w:val="left" w:leader="none"/>
        </w:tabs>
        <w:spacing w:line="228" w:lineRule="exact" w:before="0" w:after="0"/>
        <w:ind w:left="2075"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2"/>
        <w:rPr>
          <w:sz w:val="18"/>
        </w:rPr>
      </w:pPr>
    </w:p>
    <w:p>
      <w:pPr>
        <w:pStyle w:val="ListParagraph"/>
        <w:numPr>
          <w:ilvl w:val="0"/>
          <w:numId w:val="22"/>
        </w:numPr>
        <w:tabs>
          <w:tab w:pos="2018" w:val="left" w:leader="none"/>
        </w:tabs>
        <w:spacing w:line="240" w:lineRule="auto" w:before="0" w:after="0"/>
        <w:ind w:left="2018"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5"/>
        <w:rPr>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2"/>
        <w:rPr>
          <w:sz w:val="18"/>
        </w:rPr>
      </w:pPr>
    </w:p>
    <w:p>
      <w:pPr>
        <w:pStyle w:val="ListParagraph"/>
        <w:numPr>
          <w:ilvl w:val="2"/>
          <w:numId w:val="1"/>
        </w:numPr>
        <w:tabs>
          <w:tab w:pos="1297" w:val="left" w:leader="none"/>
          <w:tab w:pos="1299" w:val="left" w:leader="none"/>
        </w:tabs>
        <w:spacing w:line="252" w:lineRule="auto" w:before="1"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3"/>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7" w:val="left" w:leader="none"/>
        </w:tabs>
        <w:spacing w:line="240" w:lineRule="auto" w:before="0" w:after="0"/>
        <w:ind w:left="1297"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7"/>
        <w:rPr>
          <w:sz w:val="17"/>
        </w:rPr>
      </w:pPr>
    </w:p>
    <w:p>
      <w:pPr>
        <w:pStyle w:val="BodyText"/>
        <w:spacing w:line="230" w:lineRule="auto"/>
        <w:ind w:left="1299" w:right="217"/>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3"/>
        <w:rPr>
          <w:sz w:val="17"/>
        </w:rPr>
      </w:pPr>
    </w:p>
    <w:p>
      <w:pPr>
        <w:pStyle w:val="BodyText"/>
        <w:spacing w:line="228" w:lineRule="auto"/>
        <w:ind w:left="1299" w:right="221"/>
        <w:jc w:val="both"/>
      </w:pPr>
      <w:r>
        <w:rPr/>
        <w:t>“Electronic data” means information, instruction, or “programs” that are recorded on your “media”, including original source material used to enter data.</w:t>
      </w:r>
    </w:p>
    <w:p>
      <w:pPr>
        <w:pStyle w:val="BodyText"/>
        <w:spacing w:before="8"/>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23"/>
        </w:numPr>
        <w:tabs>
          <w:tab w:pos="2016" w:val="left" w:leader="none"/>
        </w:tabs>
        <w:spacing w:line="240" w:lineRule="auto" w:before="1"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11"/>
        <w:rPr>
          <w:sz w:val="17"/>
        </w:rPr>
      </w:pPr>
    </w:p>
    <w:p>
      <w:pPr>
        <w:pStyle w:val="BodyText"/>
        <w:spacing w:line="228" w:lineRule="auto"/>
        <w:ind w:left="1299" w:right="218"/>
        <w:jc w:val="both"/>
      </w:pPr>
      <w:r>
        <w:rPr/>
        <w:t>“Programs” means software that are purchased or written specifically to be used with “computer equipment”.</w:t>
      </w:r>
    </w:p>
    <w:p>
      <w:pPr>
        <w:pStyle w:val="BodyText"/>
        <w:spacing w:before="10"/>
        <w:rPr>
          <w:sz w:val="17"/>
        </w:rPr>
      </w:pPr>
    </w:p>
    <w:p>
      <w:pPr>
        <w:pStyle w:val="BodyText"/>
        <w:spacing w:line="252" w:lineRule="auto" w:before="1"/>
        <w:ind w:left="1299" w:right="218"/>
        <w:jc w:val="both"/>
      </w:pPr>
      <w:r>
        <w:rPr/>
        <w:t>“Securities” means negotiable and non-negotiable instruments or contracts representing either “money” or property and includes:</w:t>
      </w:r>
    </w:p>
    <w:p>
      <w:pPr>
        <w:pStyle w:val="BodyText"/>
        <w:spacing w:before="3"/>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4"/>
        </w:numPr>
        <w:tabs>
          <w:tab w:pos="2016" w:val="left" w:leader="none"/>
          <w:tab w:pos="2019" w:val="left" w:leader="none"/>
        </w:tabs>
        <w:spacing w:line="249" w:lineRule="auto" w:before="0" w:after="0"/>
        <w:ind w:left="2019" w:right="216" w:hanging="360"/>
        <w:jc w:val="left"/>
        <w:rPr>
          <w:sz w:val="20"/>
        </w:rPr>
      </w:pPr>
      <w:r>
        <w:rPr>
          <w:sz w:val="20"/>
        </w:rPr>
        <w:t>Evidences of debt issued in connection with credit or charge cards, which cards are not issued by you;</w:t>
      </w:r>
    </w:p>
    <w:p>
      <w:pPr>
        <w:pStyle w:val="BodyText"/>
        <w:spacing w:before="6"/>
        <w:rPr>
          <w:sz w:val="17"/>
        </w:rPr>
      </w:pPr>
    </w:p>
    <w:p>
      <w:pPr>
        <w:pStyle w:val="BodyText"/>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spacing w:after="0"/>
        <w:sectPr>
          <w:footerReference w:type="default" r:id="rId23"/>
          <w:pgSz w:w="12240" w:h="15840"/>
          <w:pgMar w:footer="844" w:header="0" w:top="1380" w:bottom="1040" w:left="1220" w:right="1220"/>
        </w:sectPr>
      </w:pPr>
    </w:p>
    <w:p>
      <w:pPr>
        <w:pStyle w:val="BodyText"/>
        <w:spacing w:line="228" w:lineRule="auto" w:before="79"/>
        <w:ind w:left="1300" w:hanging="1"/>
      </w:pPr>
      <w:r>
        <w:rPr>
          <w:b/>
        </w:rPr>
        <w:t>“</w:t>
      </w:r>
      <w:r>
        <w:rPr/>
        <w:t>Shipping document</w:t>
      </w:r>
      <w:r>
        <w:rPr>
          <w:b/>
        </w:rPr>
        <w:t>” </w:t>
      </w:r>
      <w:r>
        <w:rPr/>
        <w:t>means a tariff document, bill of lading, shipping receipt, freight bill or</w:t>
      </w:r>
      <w:r>
        <w:rPr>
          <w:spacing w:val="40"/>
        </w:rPr>
        <w:t> </w:t>
      </w:r>
      <w:r>
        <w:rPr/>
        <w:t>contract for services.</w:t>
      </w:r>
    </w:p>
    <w:p>
      <w:pPr>
        <w:pStyle w:val="BodyText"/>
        <w:spacing w:before="6"/>
        <w:rPr>
          <w:sz w:val="17"/>
        </w:rPr>
      </w:pPr>
    </w:p>
    <w:p>
      <w:pPr>
        <w:pStyle w:val="BodyText"/>
        <w:spacing w:line="228" w:lineRule="auto"/>
        <w:ind w:left="1300" w:right="235"/>
      </w:pPr>
      <w:r>
        <w:rPr/>
        <w:t>“Storage document” means a warehouse receipt, storage receipt, inventory</w:t>
      </w:r>
      <w:r>
        <w:rPr>
          <w:spacing w:val="-3"/>
        </w:rPr>
        <w:t> </w:t>
      </w:r>
      <w:r>
        <w:rPr/>
        <w:t>control document or master storage agreement.</w:t>
      </w:r>
    </w:p>
    <w:p>
      <w:pPr>
        <w:pStyle w:val="BodyText"/>
        <w:spacing w:before="8"/>
        <w:rPr>
          <w:sz w:val="17"/>
        </w:rPr>
      </w:pPr>
    </w:p>
    <w:p>
      <w:pPr>
        <w:pStyle w:val="BodyText"/>
        <w:spacing w:line="228" w:lineRule="auto"/>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8" w:val="left" w:leader="none"/>
        </w:tabs>
        <w:spacing w:line="224" w:lineRule="exact" w:before="194" w:after="0"/>
        <w:ind w:left="2018"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8" w:val="left" w:leader="none"/>
        </w:tabs>
        <w:spacing w:line="224" w:lineRule="exact" w:before="0" w:after="0"/>
        <w:ind w:left="2018"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5"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9"/>
        <w:rPr>
          <w:b/>
          <w:sz w:val="17"/>
        </w:rPr>
      </w:pPr>
    </w:p>
    <w:p>
      <w:pPr>
        <w:pStyle w:val="BodyText"/>
        <w:ind w:left="1659"/>
        <w:jc w:val="both"/>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6"/>
        </w:numPr>
        <w:tabs>
          <w:tab w:pos="2017" w:val="left" w:leader="none"/>
          <w:tab w:pos="2019" w:val="left" w:leader="none"/>
        </w:tabs>
        <w:spacing w:line="240" w:lineRule="auto" w:before="197"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93"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jc w:val="both"/>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2"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9"/>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6"/>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3"/>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8"/>
        <w:rPr>
          <w:sz w:val="17"/>
        </w:rPr>
      </w:pPr>
    </w:p>
    <w:p>
      <w:pPr>
        <w:pStyle w:val="BodyText"/>
        <w:spacing w:line="228" w:lineRule="auto" w:before="1"/>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8"/>
        <w:rPr>
          <w:sz w:val="17"/>
        </w:rPr>
      </w:pPr>
    </w:p>
    <w:p>
      <w:pPr>
        <w:pStyle w:val="BodyText"/>
        <w:ind w:left="1659" w:right="214"/>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5"/>
        <w:rPr>
          <w:sz w:val="17"/>
        </w:rPr>
      </w:pPr>
    </w:p>
    <w:p>
      <w:pPr>
        <w:pStyle w:val="BodyText"/>
        <w:spacing w:line="228" w:lineRule="auto"/>
        <w:ind w:left="1659" w:right="235"/>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2"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spacing w:after="0" w:line="240" w:lineRule="auto"/>
        <w:jc w:val="left"/>
        <w:rPr>
          <w:sz w:val="20"/>
        </w:rPr>
        <w:sectPr>
          <w:footerReference w:type="default" r:id="rId24"/>
          <w:pgSz w:w="12240" w:h="15840"/>
          <w:pgMar w:footer="844" w:header="0" w:top="1360" w:bottom="1040" w:left="1220" w:right="1220"/>
        </w:sectPr>
      </w:pPr>
    </w:p>
    <w:p>
      <w:pPr>
        <w:pStyle w:val="ListParagraph"/>
        <w:numPr>
          <w:ilvl w:val="2"/>
          <w:numId w:val="26"/>
        </w:numPr>
        <w:tabs>
          <w:tab w:pos="2736" w:val="left" w:leader="none"/>
          <w:tab w:pos="2739" w:val="left" w:leader="none"/>
        </w:tabs>
        <w:spacing w:line="228" w:lineRule="auto" w:before="79" w:after="0"/>
        <w:ind w:left="2739" w:right="219"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pStyle w:val="BodyText"/>
        <w:spacing w:before="10"/>
        <w:rPr>
          <w:sz w:val="17"/>
        </w:rPr>
      </w:pPr>
    </w:p>
    <w:p>
      <w:pPr>
        <w:pStyle w:val="ListParagraph"/>
        <w:numPr>
          <w:ilvl w:val="2"/>
          <w:numId w:val="26"/>
        </w:numPr>
        <w:tabs>
          <w:tab w:pos="2735" w:val="left" w:leader="none"/>
          <w:tab w:pos="2739" w:val="left" w:leader="none"/>
        </w:tabs>
        <w:spacing w:line="228" w:lineRule="auto" w:before="0" w:after="0"/>
        <w:ind w:left="2739" w:right="218" w:hanging="361"/>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7" w:val="left" w:leader="none"/>
        </w:tabs>
        <w:spacing w:line="240" w:lineRule="auto" w:before="193" w:after="0"/>
        <w:ind w:left="1657"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4"/>
        <w:rPr>
          <w:b/>
          <w:sz w:val="17"/>
        </w:rPr>
      </w:pPr>
    </w:p>
    <w:p>
      <w:pPr>
        <w:pStyle w:val="ListParagraph"/>
        <w:numPr>
          <w:ilvl w:val="1"/>
          <w:numId w:val="27"/>
        </w:numPr>
        <w:tabs>
          <w:tab w:pos="2017" w:val="left" w:leader="none"/>
          <w:tab w:pos="2019" w:val="left" w:leader="none"/>
        </w:tabs>
        <w:spacing w:line="228" w:lineRule="auto" w:before="0" w:after="0"/>
        <w:ind w:left="2019"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7" w:val="left" w:leader="none"/>
          <w:tab w:pos="2019" w:val="left" w:leader="none"/>
        </w:tabs>
        <w:spacing w:line="228" w:lineRule="auto" w:before="0" w:after="0"/>
        <w:ind w:left="2019"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7" w:val="left" w:leader="none"/>
          <w:tab w:pos="2019" w:val="left" w:leader="none"/>
        </w:tabs>
        <w:spacing w:line="228" w:lineRule="auto" w:before="1" w:after="0"/>
        <w:ind w:left="2019"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5"/>
        <w:rPr>
          <w:sz w:val="17"/>
        </w:rPr>
      </w:pPr>
    </w:p>
    <w:p>
      <w:pPr>
        <w:pStyle w:val="ListParagraph"/>
        <w:numPr>
          <w:ilvl w:val="2"/>
          <w:numId w:val="1"/>
        </w:numPr>
        <w:tabs>
          <w:tab w:pos="1297" w:val="left" w:leader="none"/>
          <w:tab w:pos="1299" w:val="left" w:leader="none"/>
        </w:tabs>
        <w:spacing w:line="240" w:lineRule="auto" w:before="1" w:after="0"/>
        <w:ind w:left="1299"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4"/>
        <w:rPr>
          <w:sz w:val="17"/>
        </w:rPr>
      </w:pPr>
    </w:p>
    <w:p>
      <w:pPr>
        <w:pStyle w:val="ListParagraph"/>
        <w:numPr>
          <w:ilvl w:val="0"/>
          <w:numId w:val="28"/>
        </w:numPr>
        <w:tabs>
          <w:tab w:pos="1625" w:val="left" w:leader="none"/>
          <w:tab w:pos="1659" w:val="left" w:leader="none"/>
        </w:tabs>
        <w:spacing w:line="240" w:lineRule="auto" w:before="0" w:after="0"/>
        <w:ind w:left="1659"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5"/>
        <w:rPr>
          <w:sz w:val="17"/>
        </w:rPr>
      </w:pPr>
    </w:p>
    <w:p>
      <w:pPr>
        <w:pStyle w:val="ListParagraph"/>
        <w:numPr>
          <w:ilvl w:val="1"/>
          <w:numId w:val="28"/>
        </w:numPr>
        <w:tabs>
          <w:tab w:pos="2016" w:val="left" w:leader="none"/>
        </w:tabs>
        <w:spacing w:line="240" w:lineRule="auto" w:before="0" w:after="0"/>
        <w:ind w:left="2016"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6" w:val="left" w:leader="none"/>
        </w:tabs>
        <w:spacing w:line="240" w:lineRule="auto" w:before="0" w:after="0"/>
        <w:ind w:left="2016"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7"/>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6"/>
        <w:rPr>
          <w:sz w:val="17"/>
        </w:rPr>
      </w:pPr>
    </w:p>
    <w:p>
      <w:pPr>
        <w:pStyle w:val="ListParagraph"/>
        <w:numPr>
          <w:ilvl w:val="0"/>
          <w:numId w:val="28"/>
        </w:numPr>
        <w:tabs>
          <w:tab w:pos="1657" w:val="left" w:leader="none"/>
          <w:tab w:pos="1660" w:val="left" w:leader="none"/>
        </w:tabs>
        <w:spacing w:line="240" w:lineRule="auto" w:before="0" w:after="0"/>
        <w:ind w:left="1660" w:right="217"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rPr>
          <w:sz w:val="18"/>
        </w:rPr>
      </w:pPr>
    </w:p>
    <w:p>
      <w:pPr>
        <w:pStyle w:val="ListParagraph"/>
        <w:numPr>
          <w:ilvl w:val="2"/>
          <w:numId w:val="1"/>
        </w:numPr>
        <w:tabs>
          <w:tab w:pos="1298" w:val="left" w:leader="none"/>
          <w:tab w:pos="1300" w:val="left" w:leader="none"/>
        </w:tabs>
        <w:spacing w:line="249" w:lineRule="auto" w:before="0" w:after="0"/>
        <w:ind w:left="1300" w:right="220"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59"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w:t>
      </w:r>
      <w:r>
        <w:rPr>
          <w:b/>
        </w:rPr>
        <w:t>Section I.C. </w:t>
      </w:r>
      <w:r>
        <w:rPr/>
        <w:t>at each location.</w:t>
      </w:r>
    </w:p>
    <w:p>
      <w:pPr>
        <w:spacing w:after="0" w:line="228" w:lineRule="auto"/>
        <w:jc w:val="both"/>
        <w:sectPr>
          <w:footerReference w:type="default" r:id="rId25"/>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3" w:after="0"/>
        <w:ind w:left="1299" w:right="221"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6"/>
        <w:ind w:left="2019" w:right="235"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9"/>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rPr>
          <w:sz w:val="18"/>
        </w:rPr>
      </w:pPr>
    </w:p>
    <w:p>
      <w:pPr>
        <w:pStyle w:val="Heading1"/>
      </w:pPr>
      <w:r>
        <w:rPr/>
        <w:t>Dependent</w:t>
      </w:r>
      <w:r>
        <w:rPr>
          <w:spacing w:val="-14"/>
        </w:rPr>
        <w:t> </w:t>
      </w:r>
      <w:r>
        <w:rPr>
          <w:spacing w:val="-2"/>
        </w:rPr>
        <w:t>Property</w:t>
      </w:r>
    </w:p>
    <w:p>
      <w:pPr>
        <w:pStyle w:val="BodyText"/>
        <w:spacing w:before="2"/>
        <w:rPr>
          <w:b/>
          <w:sz w:val="18"/>
        </w:rPr>
      </w:pPr>
    </w:p>
    <w:p>
      <w:pPr>
        <w:pStyle w:val="ListParagraph"/>
        <w:numPr>
          <w:ilvl w:val="0"/>
          <w:numId w:val="29"/>
        </w:numPr>
        <w:tabs>
          <w:tab w:pos="2016" w:val="left" w:leader="none"/>
          <w:tab w:pos="2019" w:val="left" w:leader="none"/>
        </w:tabs>
        <w:spacing w:line="249" w:lineRule="auto" w:before="0" w:after="0"/>
        <w:ind w:left="2019" w:right="216"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before="7"/>
        <w:rPr>
          <w:sz w:val="17"/>
        </w:rPr>
      </w:pPr>
    </w:p>
    <w:p>
      <w:pPr>
        <w:pStyle w:val="BodyText"/>
        <w:spacing w:line="252" w:lineRule="auto"/>
        <w:ind w:left="2019" w:right="217"/>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ListParagraph"/>
        <w:numPr>
          <w:ilvl w:val="0"/>
          <w:numId w:val="29"/>
        </w:numPr>
        <w:tabs>
          <w:tab w:pos="2016" w:val="left" w:leader="none"/>
        </w:tabs>
        <w:spacing w:line="240" w:lineRule="auto" w:before="195"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2"/>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2"/>
        <w:rPr>
          <w:sz w:val="18"/>
        </w:rPr>
      </w:pPr>
    </w:p>
    <w:p>
      <w:pPr>
        <w:pStyle w:val="ListParagraph"/>
        <w:numPr>
          <w:ilvl w:val="1"/>
          <w:numId w:val="29"/>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BodyText"/>
        <w:spacing w:before="7"/>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5"/>
        <w:rPr>
          <w:sz w:val="18"/>
        </w:rPr>
      </w:pPr>
    </w:p>
    <w:p>
      <w:pPr>
        <w:pStyle w:val="ListParagraph"/>
        <w:numPr>
          <w:ilvl w:val="1"/>
          <w:numId w:val="29"/>
        </w:numPr>
        <w:tabs>
          <w:tab w:pos="2379" w:val="left" w:leader="none"/>
          <w:tab w:pos="2381" w:val="left" w:leader="none"/>
        </w:tabs>
        <w:spacing w:line="249" w:lineRule="auto" w:before="0" w:after="0"/>
        <w:ind w:left="2379"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5"/>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2"/>
        <w:rPr>
          <w:sz w:val="18"/>
        </w:rPr>
      </w:pPr>
    </w:p>
    <w:p>
      <w:pPr>
        <w:pStyle w:val="ListParagraph"/>
        <w:numPr>
          <w:ilvl w:val="0"/>
          <w:numId w:val="29"/>
        </w:numPr>
        <w:tabs>
          <w:tab w:pos="2016" w:val="left" w:leader="none"/>
          <w:tab w:pos="2019" w:val="left" w:leader="none"/>
        </w:tabs>
        <w:spacing w:line="252" w:lineRule="auto" w:before="1" w:after="0"/>
        <w:ind w:left="2019" w:right="221"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3"/>
        <w:rPr>
          <w:sz w:val="17"/>
        </w:rPr>
      </w:pPr>
    </w:p>
    <w:p>
      <w:pPr>
        <w:pStyle w:val="BodyText"/>
        <w:ind w:left="2019"/>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2"/>
        <w:rPr>
          <w:sz w:val="18"/>
        </w:rPr>
      </w:pPr>
    </w:p>
    <w:p>
      <w:pPr>
        <w:pStyle w:val="ListParagraph"/>
        <w:numPr>
          <w:ilvl w:val="1"/>
          <w:numId w:val="29"/>
        </w:numPr>
        <w:tabs>
          <w:tab w:pos="2376" w:val="left" w:leader="none"/>
          <w:tab w:pos="2379" w:val="left" w:leader="none"/>
        </w:tabs>
        <w:spacing w:line="249" w:lineRule="auto" w:before="0" w:after="0"/>
        <w:ind w:left="2379" w:right="215"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w:t>
      </w:r>
      <w:r>
        <w:rPr>
          <w:spacing w:val="-3"/>
          <w:sz w:val="20"/>
        </w:rPr>
        <w:t> </w:t>
      </w:r>
      <w:r>
        <w:rPr>
          <w:sz w:val="20"/>
        </w:rPr>
        <w:t>after the time of direct physical loss or damage caused by or resulting from any Covered Cause of Loss at the premises of the dependent property; and</w:t>
      </w:r>
    </w:p>
    <w:p>
      <w:pPr>
        <w:pStyle w:val="BodyText"/>
        <w:spacing w:before="6"/>
        <w:rPr>
          <w:sz w:val="17"/>
        </w:rPr>
      </w:pPr>
    </w:p>
    <w:p>
      <w:pPr>
        <w:pStyle w:val="ListParagraph"/>
        <w:numPr>
          <w:ilvl w:val="1"/>
          <w:numId w:val="29"/>
        </w:numPr>
        <w:tabs>
          <w:tab w:pos="2376" w:val="left" w:leader="none"/>
          <w:tab w:pos="2379" w:val="left" w:leader="none"/>
        </w:tabs>
        <w:spacing w:line="252" w:lineRule="auto" w:before="0" w:after="0"/>
        <w:ind w:left="2379" w:right="218"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3"/>
        <w:rPr>
          <w:sz w:val="17"/>
        </w:rPr>
      </w:pPr>
    </w:p>
    <w:p>
      <w:pPr>
        <w:pStyle w:val="BodyText"/>
        <w:spacing w:line="249" w:lineRule="auto" w:before="1"/>
        <w:ind w:left="2018" w:right="219"/>
        <w:jc w:val="both"/>
      </w:pPr>
      <w:r>
        <w:rPr/>
        <w:t>"Period of restoration" does not include any increased period required due to the enforcement of any ordinance or law that:</w:t>
      </w:r>
    </w:p>
    <w:p>
      <w:pPr>
        <w:pStyle w:val="BodyText"/>
        <w:spacing w:before="5"/>
        <w:rPr>
          <w:sz w:val="17"/>
        </w:rPr>
      </w:pPr>
    </w:p>
    <w:p>
      <w:pPr>
        <w:pStyle w:val="ListParagraph"/>
        <w:numPr>
          <w:ilvl w:val="0"/>
          <w:numId w:val="30"/>
        </w:numPr>
        <w:tabs>
          <w:tab w:pos="2375" w:val="left" w:leader="none"/>
          <w:tab w:pos="2378" w:val="left" w:leader="none"/>
        </w:tabs>
        <w:spacing w:line="249" w:lineRule="auto" w:before="0" w:after="0"/>
        <w:ind w:left="2378" w:right="217" w:hanging="360"/>
        <w:jc w:val="both"/>
        <w:rPr>
          <w:sz w:val="20"/>
        </w:rPr>
      </w:pPr>
      <w:r>
        <w:rPr>
          <w:sz w:val="20"/>
        </w:rPr>
        <w:t>Regulates the construction, use or repair, or requires the tearing down, of any property; or</w:t>
      </w:r>
    </w:p>
    <w:p>
      <w:pPr>
        <w:spacing w:after="0" w:line="249" w:lineRule="auto"/>
        <w:jc w:val="both"/>
        <w:rPr>
          <w:sz w:val="20"/>
        </w:rPr>
        <w:sectPr>
          <w:footerReference w:type="default" r:id="rId26"/>
          <w:pgSz w:w="12240" w:h="15840"/>
          <w:pgMar w:footer="844" w:header="0" w:top="1820" w:bottom="1040" w:left="1220" w:right="1220"/>
        </w:sectPr>
      </w:pPr>
    </w:p>
    <w:p>
      <w:pPr>
        <w:pStyle w:val="ListParagraph"/>
        <w:numPr>
          <w:ilvl w:val="0"/>
          <w:numId w:val="30"/>
        </w:numPr>
        <w:tabs>
          <w:tab w:pos="2376" w:val="left" w:leader="none"/>
          <w:tab w:pos="2379" w:val="left" w:leader="none"/>
        </w:tabs>
        <w:spacing w:line="249" w:lineRule="auto" w:before="64"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6"/>
        <w:rPr>
          <w:sz w:val="17"/>
        </w:rPr>
      </w:pPr>
    </w:p>
    <w:p>
      <w:pPr>
        <w:pStyle w:val="BodyText"/>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52" w:lineRule="auto" w:before="1"/>
        <w:ind w:left="1660" w:right="219"/>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Heading1"/>
        <w:spacing w:before="194"/>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ListParagraph"/>
        <w:numPr>
          <w:ilvl w:val="1"/>
          <w:numId w:val="31"/>
        </w:numPr>
        <w:tabs>
          <w:tab w:pos="2376" w:val="left" w:leader="none"/>
          <w:tab w:pos="2379" w:val="left" w:leader="none"/>
        </w:tabs>
        <w:spacing w:line="249" w:lineRule="auto" w:before="192"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2"/>
        <w:rPr>
          <w:sz w:val="18"/>
        </w:rPr>
      </w:pPr>
    </w:p>
    <w:p>
      <w:pPr>
        <w:pStyle w:val="BodyText"/>
        <w:ind w:left="1000"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21" w:hanging="360"/>
        <w:jc w:val="both"/>
        <w:rPr>
          <w:sz w:val="20"/>
        </w:rPr>
      </w:pPr>
      <w:r>
        <w:rPr>
          <w:sz w:val="20"/>
        </w:rPr>
        <w:t>Power Supply Property, meaning the following types of property supplying electricity, steam, or gas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pacing w:val="-2"/>
          <w:sz w:val="20"/>
        </w:rPr>
        <w:t>Substations;</w:t>
      </w:r>
    </w:p>
    <w:p>
      <w:pPr>
        <w:spacing w:after="0" w:line="240" w:lineRule="auto"/>
        <w:jc w:val="left"/>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7" w:val="left" w:leader="none"/>
        </w:tabs>
        <w:spacing w:line="240" w:lineRule="auto" w:before="0" w:after="0"/>
        <w:ind w:left="2737"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spacing w:before="1"/>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1"/>
        <w:rPr>
          <w:sz w:val="18"/>
        </w:rPr>
      </w:pPr>
    </w:p>
    <w:p>
      <w:pPr>
        <w:pStyle w:val="ListParagraph"/>
        <w:numPr>
          <w:ilvl w:val="0"/>
          <w:numId w:val="31"/>
        </w:numPr>
        <w:tabs>
          <w:tab w:pos="2019" w:val="left" w:leader="none"/>
          <w:tab w:pos="2021" w:val="left" w:leader="none"/>
        </w:tabs>
        <w:spacing w:line="252" w:lineRule="auto" w:before="1"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Heading1"/>
        <w:spacing w:before="195"/>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9"/>
        <w:rPr>
          <w:b/>
          <w:sz w:val="17"/>
        </w:rPr>
      </w:pPr>
    </w:p>
    <w:p>
      <w:pPr>
        <w:pStyle w:val="BodyText"/>
        <w:ind w:left="1659" w:right="220"/>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1"/>
        <w:rPr>
          <w:sz w:val="17"/>
        </w:rPr>
      </w:pPr>
    </w:p>
    <w:p>
      <w:pPr>
        <w:pStyle w:val="BodyText"/>
        <w:spacing w:line="249" w:lineRule="auto"/>
        <w:ind w:left="1659" w:right="220"/>
        <w:jc w:val="both"/>
        <w:rPr>
          <w:b/>
        </w:rPr>
      </w:pPr>
      <w:r>
        <w:rPr/>
        <w:t>The most we will pay for loss or damage under this Coverage Extension is the Lease Cancellation Moving Expense – Business Income limit shown in </w:t>
      </w:r>
      <w:r>
        <w:rPr>
          <w:b/>
        </w:rPr>
        <w:t>Section I. C.</w:t>
      </w:r>
    </w:p>
    <w:p>
      <w:pPr>
        <w:pStyle w:val="BodyText"/>
        <w:spacing w:before="5"/>
        <w:rPr>
          <w:b/>
          <w:sz w:val="17"/>
        </w:rPr>
      </w:pPr>
    </w:p>
    <w:p>
      <w:pPr>
        <w:pStyle w:val="Heading1"/>
      </w:pPr>
      <w:r>
        <w:rPr/>
        <w:t>Contract</w:t>
      </w:r>
      <w:r>
        <w:rPr>
          <w:spacing w:val="-12"/>
        </w:rPr>
        <w:t> </w:t>
      </w:r>
      <w:r>
        <w:rPr>
          <w:spacing w:val="-2"/>
        </w:rPr>
        <w:t>Penalty</w:t>
      </w:r>
    </w:p>
    <w:p>
      <w:pPr>
        <w:pStyle w:val="BodyText"/>
        <w:spacing w:before="2"/>
        <w:rPr>
          <w:b/>
          <w:sz w:val="18"/>
        </w:rPr>
      </w:pPr>
    </w:p>
    <w:p>
      <w:pPr>
        <w:pStyle w:val="BodyText"/>
        <w:spacing w:line="252" w:lineRule="auto" w:before="1"/>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5"/>
        <w:ind w:left="1659" w:right="220"/>
        <w:jc w:val="both"/>
        <w:rPr>
          <w:b/>
        </w:rPr>
      </w:pPr>
      <w:r>
        <w:rPr/>
        <w:t>The most we will pay for loss or damage under this Coverage Extension is the Contract Penalty limit shown in </w:t>
      </w:r>
      <w:r>
        <w:rPr>
          <w:b/>
        </w:rPr>
        <w:t>Section I.C.</w:t>
      </w:r>
    </w:p>
    <w:p>
      <w:pPr>
        <w:pStyle w:val="BodyText"/>
        <w:spacing w:before="6"/>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ind w:left="1660" w:right="220" w:hanging="1"/>
        <w:jc w:val="both"/>
      </w:pPr>
      <w:r>
        <w:rPr/>
        <w:t>We will pay for the </w:t>
      </w:r>
      <w:r>
        <w:rPr>
          <w:u w:val="single"/>
        </w:rPr>
        <w:t>first</w:t>
      </w:r>
      <w:r>
        <w:rPr/>
        <w:t> increase in Real Estate Tax after a covered loss if such increase</w:t>
      </w:r>
      <w:r>
        <w:rPr>
          <w:spacing w:val="40"/>
        </w:rPr>
        <w:t> </w:t>
      </w:r>
      <w:r>
        <w:rPr/>
        <w:t>is directly</w:t>
      </w:r>
      <w:r>
        <w:rPr>
          <w:spacing w:val="-1"/>
        </w:rPr>
        <w:t> </w:t>
      </w:r>
      <w:r>
        <w:rPr/>
        <w:t>attributable to an increased real estate tax assessed to the premises described</w:t>
      </w:r>
    </w:p>
    <w:p>
      <w:pPr>
        <w:pStyle w:val="BodyText"/>
        <w:spacing w:before="3"/>
        <w:rPr>
          <w:sz w:val="17"/>
        </w:rPr>
      </w:pPr>
    </w:p>
    <w:p>
      <w:pPr>
        <w:pStyle w:val="BodyText"/>
        <w:spacing w:line="249" w:lineRule="auto" w:before="1"/>
        <w:ind w:left="1660" w:right="235"/>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5"/>
        <w:rPr>
          <w:sz w:val="17"/>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5"/>
        <w:rPr>
          <w:sz w:val="18"/>
        </w:rPr>
      </w:pPr>
    </w:p>
    <w:p>
      <w:pPr>
        <w:pStyle w:val="ListParagraph"/>
        <w:numPr>
          <w:ilvl w:val="0"/>
          <w:numId w:val="32"/>
        </w:numPr>
        <w:tabs>
          <w:tab w:pos="2107" w:val="left" w:leader="none"/>
          <w:tab w:pos="2110" w:val="left" w:leader="none"/>
        </w:tabs>
        <w:spacing w:line="249" w:lineRule="auto" w:before="0" w:after="0"/>
        <w:ind w:left="2110" w:right="215" w:hanging="452"/>
        <w:jc w:val="both"/>
        <w:rPr>
          <w:sz w:val="20"/>
        </w:rPr>
      </w:pPr>
      <w:r>
        <w:rPr>
          <w:sz w:val="20"/>
        </w:rPr>
        <w:t>The repair or reconstruction of Covered Property at the premises can be shown to</w:t>
      </w:r>
      <w:r>
        <w:rPr>
          <w:spacing w:val="40"/>
          <w:sz w:val="20"/>
        </w:rPr>
        <w:t> </w:t>
      </w:r>
      <w:r>
        <w:rPr>
          <w:sz w:val="20"/>
        </w:rPr>
        <w:t>be the cause of such real estate tax increase.</w:t>
      </w:r>
    </w:p>
    <w:p>
      <w:pPr>
        <w:spacing w:after="0" w:line="249" w:lineRule="auto"/>
        <w:jc w:val="both"/>
        <w:rPr>
          <w:sz w:val="20"/>
        </w:rPr>
        <w:sectPr>
          <w:footerReference w:type="default" r:id="rId28"/>
          <w:pgSz w:w="12240" w:h="15840"/>
          <w:pgMar w:footer="844" w:header="0" w:top="1380" w:bottom="1040" w:left="1220" w:right="1220"/>
        </w:sectPr>
      </w:pPr>
    </w:p>
    <w:p>
      <w:pPr>
        <w:pStyle w:val="BodyText"/>
        <w:spacing w:before="64"/>
        <w:ind w:left="751" w:right="1181"/>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3"/>
        </w:numPr>
        <w:tabs>
          <w:tab w:pos="2017" w:val="left" w:leader="none"/>
        </w:tabs>
        <w:spacing w:line="240" w:lineRule="auto" w:before="1" w:after="0"/>
        <w:ind w:left="2017"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4"/>
        <w:rPr>
          <w:b/>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6"/>
          <w:sz w:val="20"/>
        </w:rPr>
        <w:t> </w:t>
      </w:r>
      <w:r>
        <w:rPr>
          <w:b/>
          <w:sz w:val="20"/>
        </w:rPr>
        <w:t>E.</w:t>
      </w:r>
      <w:r>
        <w:rPr>
          <w:b/>
          <w:spacing w:val="-8"/>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5"/>
        <w:ind w:left="9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39"/>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4"/>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8"/>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2021" w:val="left" w:leader="none"/>
        </w:tabs>
        <w:spacing w:line="240" w:lineRule="auto" w:before="194"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49" w:lineRule="auto" w:before="1"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92"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7"/>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52" w:lineRule="auto"/>
        <w:ind w:left="2379" w:right="219" w:hanging="1"/>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line="249" w:lineRule="auto" w:before="197"/>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8" w:val="left" w:leader="none"/>
        </w:tabs>
        <w:spacing w:line="240" w:lineRule="auto" w:before="70" w:after="0"/>
        <w:ind w:left="938"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34"/>
        </w:numPr>
        <w:tabs>
          <w:tab w:pos="1656" w:val="left" w:leader="none"/>
          <w:tab w:pos="1659" w:val="left" w:leader="none"/>
        </w:tabs>
        <w:spacing w:line="252"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1"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34"/>
        </w:numPr>
        <w:tabs>
          <w:tab w:pos="1656" w:val="left" w:leader="none"/>
          <w:tab w:pos="1659" w:val="left" w:leader="none"/>
        </w:tabs>
        <w:spacing w:line="249"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34"/>
        </w:numPr>
        <w:tabs>
          <w:tab w:pos="1657" w:val="left" w:leader="none"/>
          <w:tab w:pos="1659" w:val="left" w:leader="none"/>
        </w:tabs>
        <w:spacing w:line="252"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4"/>
        <w:rPr>
          <w:sz w:val="17"/>
        </w:rPr>
      </w:pPr>
    </w:p>
    <w:p>
      <w:pPr>
        <w:pStyle w:val="BodyText"/>
        <w:spacing w:line="249" w:lineRule="auto"/>
        <w:ind w:left="1299" w:right="164"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28" w:lineRule="auto" w:before="196"/>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3"/>
        <w:rPr>
          <w:sz w:val="18"/>
        </w:rPr>
      </w:pPr>
    </w:p>
    <w:p>
      <w:pPr>
        <w:pStyle w:val="BodyText"/>
        <w:spacing w:before="1"/>
        <w:ind w:left="939"/>
        <w:jc w:val="both"/>
      </w:pPr>
      <w:r>
        <w:rPr/>
        <w:t>“Covered</w:t>
      </w:r>
      <w:r>
        <w:rPr>
          <w:spacing w:val="-12"/>
        </w:rPr>
        <w:t> </w:t>
      </w:r>
      <w:r>
        <w:rPr>
          <w:spacing w:val="-2"/>
        </w:rPr>
        <w:t>equipment”</w:t>
      </w:r>
    </w:p>
    <w:p>
      <w:pPr>
        <w:pStyle w:val="BodyText"/>
        <w:spacing w:before="2"/>
        <w:rPr>
          <w:sz w:val="18"/>
        </w:rPr>
      </w:pPr>
    </w:p>
    <w:p>
      <w:pPr>
        <w:pStyle w:val="ListParagraph"/>
        <w:numPr>
          <w:ilvl w:val="0"/>
          <w:numId w:val="35"/>
        </w:numPr>
        <w:tabs>
          <w:tab w:pos="1656" w:val="left" w:leader="none"/>
          <w:tab w:pos="1659" w:val="left" w:leader="none"/>
        </w:tabs>
        <w:spacing w:line="252" w:lineRule="auto" w:before="0" w:after="0"/>
        <w:ind w:left="1659"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4"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spacing w:before="1"/>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spacing w:after="0" w:line="240" w:lineRule="auto"/>
        <w:jc w:val="both"/>
        <w:rPr>
          <w:sz w:val="20"/>
        </w:rPr>
        <w:sectPr>
          <w:footerReference w:type="default" r:id="rId30"/>
          <w:pgSz w:w="12240" w:h="15840"/>
          <w:pgMar w:footer="844" w:header="0" w:top="1360" w:bottom="1040" w:left="1220" w:right="1220"/>
        </w:sectPr>
      </w:pPr>
    </w:p>
    <w:p>
      <w:pPr>
        <w:pStyle w:val="ListParagraph"/>
        <w:numPr>
          <w:ilvl w:val="1"/>
          <w:numId w:val="35"/>
        </w:numPr>
        <w:tabs>
          <w:tab w:pos="2017" w:val="left" w:leader="none"/>
        </w:tabs>
        <w:spacing w:line="240" w:lineRule="auto" w:before="79"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1"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3"/>
        <w:rPr>
          <w:sz w:val="17"/>
        </w:rPr>
      </w:pPr>
    </w:p>
    <w:p>
      <w:pPr>
        <w:pStyle w:val="BodyText"/>
        <w:spacing w:line="228" w:lineRule="auto" w:before="1"/>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right="164"/>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5"/>
        <w:rPr>
          <w:sz w:val="17"/>
        </w:rPr>
      </w:pPr>
    </w:p>
    <w:p>
      <w:pPr>
        <w:pStyle w:val="BodyText"/>
        <w:spacing w:line="228" w:lineRule="auto" w:before="1"/>
        <w:ind w:left="939" w:right="164"/>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4"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90"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298"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8"/>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9"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6"/>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6"/>
        </w:numPr>
        <w:tabs>
          <w:tab w:pos="1657" w:val="left" w:leader="none"/>
          <w:tab w:pos="1660" w:val="left" w:leader="none"/>
        </w:tabs>
        <w:spacing w:line="240" w:lineRule="auto" w:before="0" w:after="0"/>
        <w:ind w:left="1660" w:right="216" w:hanging="361"/>
        <w:jc w:val="both"/>
        <w:rPr>
          <w:sz w:val="20"/>
        </w:rPr>
      </w:pPr>
      <w:r>
        <w:rPr>
          <w:sz w:val="20"/>
        </w:rPr>
        <w:t>The Furs, Garments and Garments Trimmed With Fur limits shown in </w:t>
      </w:r>
      <w:r>
        <w:rPr>
          <w:b/>
          <w:sz w:val="20"/>
        </w:rPr>
        <w:t>Section I.D. </w:t>
      </w:r>
      <w:r>
        <w:rPr>
          <w:sz w:val="20"/>
        </w:rPr>
        <w:t>for</w:t>
      </w:r>
      <w:r>
        <w:rPr>
          <w:spacing w:val="40"/>
          <w:sz w:val="20"/>
        </w:rPr>
        <w:t> </w:t>
      </w:r>
      <w:r>
        <w:rPr>
          <w:sz w:val="20"/>
        </w:rPr>
        <w:t>any</w:t>
      </w:r>
      <w:r>
        <w:rPr>
          <w:spacing w:val="-4"/>
          <w:sz w:val="20"/>
        </w:rPr>
        <w:t> </w:t>
      </w:r>
      <w:r>
        <w:rPr>
          <w:sz w:val="20"/>
        </w:rPr>
        <w:t>one</w:t>
      </w:r>
      <w:r>
        <w:rPr>
          <w:spacing w:val="-3"/>
          <w:sz w:val="20"/>
        </w:rPr>
        <w:t> </w:t>
      </w:r>
      <w:r>
        <w:rPr>
          <w:sz w:val="20"/>
        </w:rPr>
        <w:t>occurrence</w:t>
      </w:r>
      <w:r>
        <w:rPr>
          <w:spacing w:val="-3"/>
          <w:sz w:val="20"/>
        </w:rPr>
        <w:t> </w:t>
      </w:r>
      <w:r>
        <w:rPr>
          <w:sz w:val="20"/>
        </w:rPr>
        <w:t>or any</w:t>
      </w:r>
      <w:r>
        <w:rPr>
          <w:spacing w:val="-4"/>
          <w:sz w:val="20"/>
        </w:rPr>
        <w:t> </w:t>
      </w:r>
      <w:r>
        <w:rPr>
          <w:sz w:val="20"/>
        </w:rPr>
        <w:t>one</w:t>
      </w:r>
      <w:r>
        <w:rPr>
          <w:spacing w:val="-1"/>
          <w:sz w:val="20"/>
        </w:rPr>
        <w:t> </w:t>
      </w:r>
      <w:r>
        <w:rPr>
          <w:sz w:val="20"/>
        </w:rPr>
        <w:t>item for</w:t>
      </w:r>
      <w:r>
        <w:rPr>
          <w:spacing w:val="-4"/>
          <w:sz w:val="20"/>
        </w:rPr>
        <w:t> </w:t>
      </w:r>
      <w:r>
        <w:rPr>
          <w:sz w:val="20"/>
        </w:rPr>
        <w:t>furs,</w:t>
      </w:r>
      <w:r>
        <w:rPr>
          <w:spacing w:val="-3"/>
          <w:sz w:val="20"/>
        </w:rPr>
        <w:t> </w:t>
      </w:r>
      <w:r>
        <w:rPr>
          <w:sz w:val="20"/>
        </w:rPr>
        <w:t>fur</w:t>
      </w:r>
      <w:r>
        <w:rPr>
          <w:spacing w:val="-2"/>
          <w:sz w:val="20"/>
        </w:rPr>
        <w:t> </w:t>
      </w:r>
      <w:r>
        <w:rPr>
          <w:sz w:val="20"/>
        </w:rPr>
        <w:t>garments</w:t>
      </w:r>
      <w:r>
        <w:rPr>
          <w:spacing w:val="-2"/>
          <w:sz w:val="20"/>
        </w:rPr>
        <w:t> </w:t>
      </w:r>
      <w:r>
        <w:rPr>
          <w:sz w:val="20"/>
        </w:rPr>
        <w:t>and</w:t>
      </w:r>
      <w:r>
        <w:rPr>
          <w:spacing w:val="-1"/>
          <w:sz w:val="20"/>
        </w:rPr>
        <w:t> </w:t>
      </w:r>
      <w:r>
        <w:rPr>
          <w:sz w:val="20"/>
        </w:rPr>
        <w:t>garments</w:t>
      </w:r>
      <w:r>
        <w:rPr>
          <w:spacing w:val="-2"/>
          <w:sz w:val="20"/>
        </w:rPr>
        <w:t> </w:t>
      </w:r>
      <w:r>
        <w:rPr>
          <w:sz w:val="20"/>
        </w:rPr>
        <w:t>trimmed</w:t>
      </w:r>
      <w:r>
        <w:rPr>
          <w:spacing w:val="-6"/>
          <w:sz w:val="20"/>
        </w:rPr>
        <w:t> </w:t>
      </w:r>
      <w:r>
        <w:rPr>
          <w:sz w:val="20"/>
        </w:rPr>
        <w:t>with</w:t>
      </w:r>
      <w:r>
        <w:rPr>
          <w:spacing w:val="-3"/>
          <w:sz w:val="20"/>
        </w:rPr>
        <w:t> </w:t>
      </w:r>
      <w:r>
        <w:rPr>
          <w:sz w:val="20"/>
        </w:rPr>
        <w:t>fur.</w:t>
      </w:r>
    </w:p>
    <w:p>
      <w:pPr>
        <w:pStyle w:val="BodyText"/>
        <w:spacing w:before="7"/>
        <w:rPr>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8" w:val="left" w:leader="none"/>
          <w:tab w:pos="1660" w:val="left" w:leader="none"/>
        </w:tabs>
        <w:spacing w:line="235" w:lineRule="auto" w:before="0" w:after="0"/>
        <w:ind w:left="1660" w:right="219" w:hanging="360"/>
        <w:jc w:val="both"/>
        <w:rPr>
          <w:b/>
          <w:sz w:val="20"/>
        </w:rPr>
      </w:pPr>
      <w:r>
        <w:rPr>
          <w:sz w:val="20"/>
        </w:rPr>
        <w:t>Coverage for patterns, dies, molds and forms is included within the business personal property limit</w:t>
      </w:r>
      <w:r>
        <w:rPr>
          <w:b/>
          <w:sz w:val="20"/>
        </w:rPr>
        <w:t>.</w:t>
      </w:r>
    </w:p>
    <w:p>
      <w:pPr>
        <w:pStyle w:val="BodyText"/>
        <w:spacing w:before="8"/>
        <w:rPr>
          <w:b/>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BodyText"/>
        <w:spacing w:before="5"/>
        <w:rPr>
          <w:sz w:val="17"/>
        </w:rPr>
      </w:pPr>
    </w:p>
    <w:p>
      <w:pPr>
        <w:pStyle w:val="ListParagraph"/>
        <w:numPr>
          <w:ilvl w:val="1"/>
          <w:numId w:val="1"/>
        </w:numPr>
        <w:tabs>
          <w:tab w:pos="917" w:val="left" w:leader="none"/>
        </w:tabs>
        <w:spacing w:line="240" w:lineRule="auto" w:before="0" w:after="0"/>
        <w:ind w:left="917"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7"/>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spacing w:after="0" w:line="228" w:lineRule="auto"/>
        <w:jc w:val="both"/>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0"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5"/>
        <w:rPr>
          <w:sz w:val="17"/>
        </w:rPr>
      </w:pPr>
    </w:p>
    <w:p>
      <w:pPr>
        <w:pStyle w:val="ListParagraph"/>
        <w:numPr>
          <w:ilvl w:val="2"/>
          <w:numId w:val="1"/>
        </w:numPr>
        <w:tabs>
          <w:tab w:pos="1297" w:val="left" w:leader="none"/>
          <w:tab w:pos="1299" w:val="left" w:leader="none"/>
        </w:tabs>
        <w:spacing w:line="249" w:lineRule="auto" w:before="1"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Expediting</w:t>
      </w:r>
      <w:r>
        <w:rPr>
          <w:spacing w:val="-12"/>
          <w:sz w:val="20"/>
        </w:rPr>
        <w:t> </w:t>
      </w:r>
      <w:r>
        <w:rPr>
          <w:spacing w:val="-2"/>
          <w:sz w:val="20"/>
        </w:rPr>
        <w:t>Expenses</w:t>
      </w:r>
    </w:p>
    <w:p>
      <w:pPr>
        <w:pStyle w:val="BodyText"/>
        <w:spacing w:before="4"/>
        <w:rPr>
          <w:sz w:val="18"/>
        </w:rPr>
      </w:pPr>
    </w:p>
    <w:p>
      <w:pPr>
        <w:pStyle w:val="BodyText"/>
        <w:spacing w:line="249" w:lineRule="auto" w:before="1"/>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5"/>
        <w:rPr>
          <w:sz w:val="17"/>
        </w:rPr>
      </w:pPr>
    </w:p>
    <w:p>
      <w:pPr>
        <w:pStyle w:val="ListParagraph"/>
        <w:numPr>
          <w:ilvl w:val="1"/>
          <w:numId w:val="37"/>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5"/>
        <w:rPr>
          <w:sz w:val="18"/>
        </w:rPr>
      </w:pPr>
    </w:p>
    <w:p>
      <w:pPr>
        <w:pStyle w:val="BodyText"/>
        <w:spacing w:line="249" w:lineRule="auto"/>
        <w:ind w:left="1659"/>
        <w:rPr>
          <w:b/>
        </w:rPr>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pStyle w:val="BodyText"/>
        <w:spacing w:before="5"/>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3"/>
        <w:rPr>
          <w:sz w:val="18"/>
        </w:rPr>
      </w:pPr>
    </w:p>
    <w:p>
      <w:pPr>
        <w:pStyle w:val="BodyText"/>
        <w:spacing w:line="252"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line="249" w:lineRule="auto" w:before="197"/>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before="7"/>
        <w:rPr>
          <w:sz w:val="17"/>
        </w:rPr>
      </w:pPr>
    </w:p>
    <w:p>
      <w:pPr>
        <w:pStyle w:val="BodyText"/>
        <w:spacing w:line="249" w:lineRule="auto"/>
        <w:ind w:left="1659" w:right="220"/>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BodyText"/>
        <w:spacing w:before="6"/>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5"/>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2"/>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52"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3"/>
        <w:rPr>
          <w:sz w:val="17"/>
        </w:rPr>
      </w:pPr>
    </w:p>
    <w:p>
      <w:pPr>
        <w:pStyle w:val="ListParagraph"/>
        <w:numPr>
          <w:ilvl w:val="2"/>
          <w:numId w:val="37"/>
        </w:numPr>
        <w:tabs>
          <w:tab w:pos="2378" w:val="left" w:leader="none"/>
          <w:tab w:pos="2380" w:val="left" w:leader="none"/>
        </w:tabs>
        <w:spacing w:line="249" w:lineRule="auto" w:before="0" w:after="0"/>
        <w:ind w:left="2378" w:right="220"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BodyText"/>
        <w:spacing w:before="6"/>
        <w:rPr>
          <w:sz w:val="17"/>
        </w:rPr>
      </w:pPr>
    </w:p>
    <w:p>
      <w:pPr>
        <w:pStyle w:val="ListParagraph"/>
        <w:numPr>
          <w:ilvl w:val="1"/>
          <w:numId w:val="37"/>
        </w:numPr>
        <w:tabs>
          <w:tab w:pos="2015" w:val="left" w:leader="none"/>
          <w:tab w:pos="2018" w:val="left" w:leader="none"/>
        </w:tabs>
        <w:spacing w:line="249" w:lineRule="auto" w:before="0" w:after="0"/>
        <w:ind w:left="2018" w:right="2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52" w:lineRule="auto"/>
        <w:ind w:left="1658" w:right="309"/>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spacing w:after="0" w:line="252" w:lineRule="auto"/>
        <w:sectPr>
          <w:footerReference w:type="default" r:id="rId33"/>
          <w:pgSz w:w="12240" w:h="15840"/>
          <w:pgMar w:footer="844" w:header="0" w:top="1380" w:bottom="1040" w:left="1220" w:right="1220"/>
        </w:sectPr>
      </w:pPr>
    </w:p>
    <w:p>
      <w:pPr>
        <w:pStyle w:val="ListParagraph"/>
        <w:numPr>
          <w:ilvl w:val="0"/>
          <w:numId w:val="37"/>
        </w:numPr>
        <w:tabs>
          <w:tab w:pos="1658" w:val="left" w:leader="none"/>
        </w:tabs>
        <w:spacing w:line="240" w:lineRule="auto" w:before="64" w:after="0"/>
        <w:ind w:left="1658" w:right="0" w:hanging="358"/>
        <w:jc w:val="left"/>
        <w:rPr>
          <w:sz w:val="20"/>
        </w:rPr>
      </w:pPr>
      <w:r>
        <w:rPr>
          <w:sz w:val="20"/>
        </w:rPr>
        <w:t>Computer</w:t>
      </w:r>
      <w:r>
        <w:rPr>
          <w:spacing w:val="-10"/>
          <w:sz w:val="20"/>
        </w:rPr>
        <w:t> </w:t>
      </w:r>
      <w:r>
        <w:rPr>
          <w:spacing w:val="-2"/>
          <w:sz w:val="20"/>
        </w:rPr>
        <w:t>Equipment</w:t>
      </w:r>
    </w:p>
    <w:p>
      <w:pPr>
        <w:pStyle w:val="BodyText"/>
        <w:spacing w:before="2"/>
        <w:rPr>
          <w:sz w:val="18"/>
        </w:rPr>
      </w:pPr>
    </w:p>
    <w:p>
      <w:pPr>
        <w:pStyle w:val="BodyText"/>
        <w:spacing w:line="249" w:lineRule="auto"/>
        <w:ind w:left="1660" w:right="219"/>
        <w:jc w:val="both"/>
      </w:pPr>
      <w:r>
        <w:rPr/>
        <w:t>We will pay for loss, damage or expense caused by or resulting from an “accident” to “computer equipment”.</w:t>
      </w:r>
    </w:p>
    <w:p>
      <w:pPr>
        <w:pStyle w:val="BodyText"/>
        <w:spacing w:before="6"/>
        <w:rPr>
          <w:sz w:val="17"/>
        </w:rPr>
      </w:pPr>
    </w:p>
    <w:p>
      <w:pPr>
        <w:pStyle w:val="BodyText"/>
        <w:spacing w:line="252" w:lineRule="auto"/>
        <w:ind w:left="1660" w:right="217"/>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ListParagraph"/>
        <w:numPr>
          <w:ilvl w:val="0"/>
          <w:numId w:val="37"/>
        </w:numPr>
        <w:tabs>
          <w:tab w:pos="1658" w:val="left" w:leader="none"/>
        </w:tabs>
        <w:spacing w:line="240" w:lineRule="auto" w:before="196"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49" w:lineRule="auto"/>
        <w:ind w:left="1660" w:right="218"/>
        <w:jc w:val="both"/>
      </w:pPr>
      <w:r>
        <w:rPr/>
        <w:t>We will pay for your reasonable and necessary cost to research, replace and restore lost “electronic data</w:t>
      </w:r>
      <w:r>
        <w:rPr>
          <w:b/>
        </w:rPr>
        <w:t>”</w:t>
      </w:r>
      <w:r>
        <w:rPr/>
        <w:t>.</w:t>
      </w:r>
    </w:p>
    <w:p>
      <w:pPr>
        <w:pStyle w:val="BodyText"/>
        <w:spacing w:before="5"/>
        <w:rPr>
          <w:sz w:val="17"/>
        </w:rPr>
      </w:pPr>
    </w:p>
    <w:p>
      <w:pPr>
        <w:pStyle w:val="BodyText"/>
        <w:spacing w:line="252" w:lineRule="auto"/>
        <w:ind w:left="1660" w:right="217"/>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ListParagraph"/>
        <w:numPr>
          <w:ilvl w:val="0"/>
          <w:numId w:val="37"/>
        </w:numPr>
        <w:tabs>
          <w:tab w:pos="1659" w:val="left" w:leader="none"/>
        </w:tabs>
        <w:spacing w:line="240" w:lineRule="auto" w:before="198" w:after="0"/>
        <w:ind w:left="1659" w:right="0" w:hanging="359"/>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2019" w:val="left" w:leader="none"/>
          <w:tab w:pos="2021" w:val="left" w:leader="none"/>
        </w:tabs>
        <w:spacing w:line="249" w:lineRule="auto" w:before="0" w:after="0"/>
        <w:ind w:left="2019" w:right="216"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BodyText"/>
        <w:rPr>
          <w:sz w:val="18"/>
        </w:rPr>
      </w:pPr>
    </w:p>
    <w:p>
      <w:pPr>
        <w:pStyle w:val="ListParagraph"/>
        <w:numPr>
          <w:ilvl w:val="1"/>
          <w:numId w:val="37"/>
        </w:numPr>
        <w:tabs>
          <w:tab w:pos="2019" w:val="left" w:leader="none"/>
          <w:tab w:pos="2021" w:val="left" w:leader="none"/>
        </w:tabs>
        <w:spacing w:line="252" w:lineRule="auto" w:before="0" w:after="0"/>
        <w:ind w:left="2019" w:right="219"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ListParagraph"/>
        <w:numPr>
          <w:ilvl w:val="1"/>
          <w:numId w:val="37"/>
        </w:numPr>
        <w:tabs>
          <w:tab w:pos="2019" w:val="left" w:leader="none"/>
          <w:tab w:pos="2021" w:val="left" w:leader="none"/>
        </w:tabs>
        <w:spacing w:line="249" w:lineRule="auto" w:before="197" w:after="0"/>
        <w:ind w:left="2019" w:right="215"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2"/>
        <w:rPr>
          <w:sz w:val="18"/>
        </w:rPr>
      </w:pPr>
    </w:p>
    <w:p>
      <w:pPr>
        <w:pStyle w:val="BodyText"/>
        <w:spacing w:line="252" w:lineRule="auto"/>
        <w:ind w:left="1659" w:right="235"/>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3"/>
        <w:rPr>
          <w:sz w:val="17"/>
        </w:rPr>
      </w:pPr>
    </w:p>
    <w:p>
      <w:pPr>
        <w:pStyle w:val="BodyText"/>
        <w:spacing w:line="249" w:lineRule="auto" w:before="1"/>
        <w:ind w:left="1659" w:right="235"/>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297" w:val="left" w:leader="none"/>
          <w:tab w:pos="1299" w:val="left" w:leader="none"/>
        </w:tabs>
        <w:spacing w:line="249"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5"/>
        <w:rPr>
          <w:sz w:val="17"/>
        </w:rPr>
      </w:pPr>
    </w:p>
    <w:p>
      <w:pPr>
        <w:pStyle w:val="ListParagraph"/>
        <w:numPr>
          <w:ilvl w:val="0"/>
          <w:numId w:val="38"/>
        </w:numPr>
        <w:tabs>
          <w:tab w:pos="1657" w:val="left" w:leader="none"/>
          <w:tab w:pos="1659" w:val="left" w:leader="none"/>
        </w:tabs>
        <w:spacing w:line="252"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spacing w:after="0" w:line="252" w:lineRule="auto"/>
        <w:jc w:val="both"/>
        <w:rPr>
          <w:sz w:val="20"/>
        </w:rPr>
        <w:sectPr>
          <w:footerReference w:type="default" r:id="rId34"/>
          <w:pgSz w:w="12240" w:h="15840"/>
          <w:pgMar w:footer="844" w:header="0" w:top="1380" w:bottom="1040" w:left="1220" w:right="1220"/>
        </w:sectPr>
      </w:pPr>
    </w:p>
    <w:p>
      <w:pPr>
        <w:pStyle w:val="ListParagraph"/>
        <w:numPr>
          <w:ilvl w:val="0"/>
          <w:numId w:val="38"/>
        </w:numPr>
        <w:tabs>
          <w:tab w:pos="1658" w:val="left" w:leader="none"/>
        </w:tabs>
        <w:spacing w:line="240" w:lineRule="auto" w:before="64" w:after="0"/>
        <w:ind w:left="1658"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7" w:val="left" w:leader="none"/>
        </w:tabs>
        <w:spacing w:line="240" w:lineRule="auto" w:before="0" w:after="0"/>
        <w:ind w:left="2017"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2"/>
        <w:rPr>
          <w:sz w:val="18"/>
        </w:rPr>
      </w:pPr>
    </w:p>
    <w:p>
      <w:pPr>
        <w:pStyle w:val="ListParagraph"/>
        <w:numPr>
          <w:ilvl w:val="1"/>
          <w:numId w:val="38"/>
        </w:numPr>
        <w:tabs>
          <w:tab w:pos="2017" w:val="left" w:leader="none"/>
        </w:tabs>
        <w:spacing w:line="240" w:lineRule="auto" w:before="1"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4"/>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49" w:lineRule="auto" w:before="0"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BodyText"/>
        <w:spacing w:before="8"/>
        <w:rPr>
          <w:sz w:val="17"/>
        </w:rPr>
      </w:pPr>
    </w:p>
    <w:p>
      <w:pPr>
        <w:pStyle w:val="ListParagraph"/>
        <w:numPr>
          <w:ilvl w:val="2"/>
          <w:numId w:val="1"/>
        </w:numPr>
        <w:tabs>
          <w:tab w:pos="1298" w:val="left" w:leader="none"/>
          <w:tab w:pos="1300" w:val="left" w:leader="none"/>
        </w:tabs>
        <w:spacing w:line="252" w:lineRule="auto" w:before="0"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2"/>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2"/>
        <w:rPr>
          <w:sz w:val="18"/>
        </w:rPr>
      </w:pPr>
    </w:p>
    <w:p>
      <w:pPr>
        <w:pStyle w:val="ListParagraph"/>
        <w:numPr>
          <w:ilvl w:val="0"/>
          <w:numId w:val="39"/>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4"/>
        <w:rPr>
          <w:sz w:val="18"/>
        </w:rPr>
      </w:pPr>
    </w:p>
    <w:p>
      <w:pPr>
        <w:pStyle w:val="BodyText"/>
        <w:spacing w:line="249" w:lineRule="auto"/>
        <w:ind w:left="1660" w:right="215"/>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2"/>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4"/>
        <w:rPr>
          <w:sz w:val="18"/>
        </w:rPr>
      </w:pPr>
    </w:p>
    <w:p>
      <w:pPr>
        <w:pStyle w:val="BodyText"/>
        <w:spacing w:line="249" w:lineRule="auto" w:before="1"/>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6"/>
        <w:rPr>
          <w:sz w:val="17"/>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2"/>
        <w:rPr>
          <w:sz w:val="18"/>
        </w:rPr>
      </w:pPr>
    </w:p>
    <w:p>
      <w:pPr>
        <w:pStyle w:val="BodyText"/>
        <w:spacing w:line="252"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ListParagraph"/>
        <w:numPr>
          <w:ilvl w:val="0"/>
          <w:numId w:val="39"/>
        </w:numPr>
        <w:tabs>
          <w:tab w:pos="1658" w:val="left" w:leader="none"/>
        </w:tabs>
        <w:spacing w:line="240" w:lineRule="auto" w:before="196" w:after="0"/>
        <w:ind w:left="1658"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7"/>
        <w:rPr>
          <w:sz w:val="17"/>
        </w:rPr>
      </w:pPr>
    </w:p>
    <w:p>
      <w:pPr>
        <w:pStyle w:val="BodyText"/>
        <w:spacing w:before="1"/>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spacing w:after="0"/>
        <w:jc w:val="both"/>
        <w:sectPr>
          <w:footerReference w:type="default" r:id="rId35"/>
          <w:pgSz w:w="12240" w:h="15840"/>
          <w:pgMar w:footer="844" w:header="0" w:top="1380" w:bottom="1040" w:left="1220" w:right="1220"/>
        </w:sectPr>
      </w:pPr>
    </w:p>
    <w:p>
      <w:pPr>
        <w:pStyle w:val="BodyText"/>
        <w:spacing w:before="79"/>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pStyle w:val="ListParagraph"/>
        <w:numPr>
          <w:ilvl w:val="1"/>
          <w:numId w:val="1"/>
        </w:numPr>
        <w:tabs>
          <w:tab w:pos="1297" w:val="left" w:leader="none"/>
        </w:tabs>
        <w:spacing w:line="240" w:lineRule="auto" w:before="197" w:after="0"/>
        <w:ind w:left="12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line="254" w:lineRule="auto" w:before="0"/>
        <w:ind w:left="1659"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Heading1"/>
        <w:numPr>
          <w:ilvl w:val="2"/>
          <w:numId w:val="1"/>
        </w:numPr>
        <w:tabs>
          <w:tab w:pos="2017" w:val="left" w:leader="none"/>
        </w:tabs>
        <w:spacing w:line="240" w:lineRule="auto" w:before="195" w:after="0"/>
        <w:ind w:left="2017" w:right="0" w:hanging="358"/>
        <w:jc w:val="left"/>
      </w:pPr>
      <w:r>
        <w:rPr/>
        <w:t>Property</w:t>
      </w:r>
      <w:r>
        <w:rPr>
          <w:spacing w:val="-11"/>
        </w:rPr>
        <w:t> </w:t>
      </w:r>
      <w:r>
        <w:rPr/>
        <w:t>In</w:t>
      </w:r>
      <w:r>
        <w:rPr>
          <w:spacing w:val="-4"/>
        </w:rPr>
        <w:t> </w:t>
      </w:r>
      <w:r>
        <w:rPr>
          <w:spacing w:val="-2"/>
        </w:rPr>
        <w:t>Transit</w:t>
      </w:r>
    </w:p>
    <w:p>
      <w:pPr>
        <w:pStyle w:val="BodyText"/>
        <w:spacing w:before="4"/>
        <w:rPr>
          <w:b/>
          <w:sz w:val="18"/>
        </w:rPr>
      </w:pPr>
    </w:p>
    <w:p>
      <w:pPr>
        <w:pStyle w:val="BodyText"/>
        <w:spacing w:line="249" w:lineRule="auto"/>
        <w:ind w:left="2075" w:right="235"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0"/>
        </w:numPr>
        <w:tabs>
          <w:tab w:pos="2377" w:val="left" w:leader="none"/>
          <w:tab w:pos="2379" w:val="left" w:leader="none"/>
        </w:tabs>
        <w:spacing w:line="252" w:lineRule="auto" w:before="1" w:after="0"/>
        <w:ind w:left="2379" w:right="218"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line="249" w:lineRule="auto" w:before="193"/>
        <w:ind w:left="2379" w:right="164"/>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7" w:val="left" w:leader="none"/>
        </w:tabs>
        <w:spacing w:line="240" w:lineRule="auto" w:before="181" w:after="0"/>
        <w:ind w:left="23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5"/>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0"/>
        </w:numPr>
        <w:tabs>
          <w:tab w:pos="2557" w:val="left" w:leader="none"/>
          <w:tab w:pos="2560" w:val="left" w:leader="none"/>
        </w:tabs>
        <w:spacing w:line="228" w:lineRule="auto" w:before="0" w:after="0"/>
        <w:ind w:left="2560"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8"/>
        <w:rPr>
          <w:sz w:val="17"/>
        </w:rPr>
      </w:pPr>
    </w:p>
    <w:p>
      <w:pPr>
        <w:pStyle w:val="ListParagraph"/>
        <w:numPr>
          <w:ilvl w:val="0"/>
          <w:numId w:val="40"/>
        </w:numPr>
        <w:tabs>
          <w:tab w:pos="2378" w:val="left" w:leader="none"/>
          <w:tab w:pos="2380" w:val="left" w:leader="none"/>
        </w:tabs>
        <w:spacing w:line="228" w:lineRule="auto" w:before="0" w:after="0"/>
        <w:ind w:left="2380" w:right="220" w:hanging="360"/>
        <w:jc w:val="both"/>
        <w:rPr>
          <w:b/>
          <w:sz w:val="20"/>
        </w:rPr>
      </w:pPr>
      <w:r>
        <w:rPr>
          <w:sz w:val="20"/>
        </w:rPr>
        <w:t>The most we will pay for loss or damage under this Extension is the Property In Transit limit shown in </w:t>
      </w:r>
      <w:r>
        <w:rPr>
          <w:b/>
          <w:sz w:val="20"/>
        </w:rPr>
        <w:t>Section I.E.</w:t>
      </w:r>
    </w:p>
    <w:p>
      <w:pPr>
        <w:pStyle w:val="BodyText"/>
        <w:spacing w:before="8"/>
        <w:rPr>
          <w:b/>
          <w:sz w:val="17"/>
        </w:rPr>
      </w:pPr>
    </w:p>
    <w:p>
      <w:pPr>
        <w:pStyle w:val="BodyText"/>
        <w:spacing w:before="1"/>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ListParagraph"/>
        <w:numPr>
          <w:ilvl w:val="2"/>
          <w:numId w:val="1"/>
        </w:numPr>
        <w:tabs>
          <w:tab w:pos="1936" w:val="left" w:leader="none"/>
        </w:tabs>
        <w:spacing w:line="240" w:lineRule="auto" w:before="197" w:after="0"/>
        <w:ind w:left="1936" w:right="616" w:hanging="276"/>
        <w:jc w:val="left"/>
        <w:rPr>
          <w:sz w:val="20"/>
        </w:rPr>
      </w:pPr>
      <w:r>
        <w:rPr>
          <w:b/>
          <w:sz w:val="20"/>
        </w:rPr>
        <w:t>Section</w:t>
      </w:r>
      <w:r>
        <w:rPr>
          <w:b/>
          <w:spacing w:val="-5"/>
          <w:sz w:val="20"/>
        </w:rPr>
        <w:t> </w:t>
      </w:r>
      <w:r>
        <w:rPr>
          <w:b/>
          <w:sz w:val="20"/>
        </w:rPr>
        <w:t>F.</w:t>
      </w:r>
      <w:r>
        <w:rPr>
          <w:b/>
          <w:spacing w:val="-1"/>
          <w:sz w:val="20"/>
        </w:rPr>
        <w:t> </w:t>
      </w:r>
      <w:r>
        <w:rPr>
          <w:b/>
          <w:sz w:val="20"/>
        </w:rPr>
        <w:t>Additional</w:t>
      </w:r>
      <w:r>
        <w:rPr>
          <w:b/>
          <w:spacing w:val="-4"/>
          <w:sz w:val="20"/>
        </w:rPr>
        <w:t> </w:t>
      </w:r>
      <w:r>
        <w:rPr>
          <w:b/>
          <w:sz w:val="20"/>
        </w:rPr>
        <w:t>Coverage</w:t>
      </w:r>
      <w:r>
        <w:rPr>
          <w:b/>
          <w:spacing w:val="-4"/>
          <w:sz w:val="20"/>
        </w:rPr>
        <w:t> </w:t>
      </w:r>
      <w:r>
        <w:rPr>
          <w:b/>
          <w:sz w:val="20"/>
        </w:rPr>
        <w:t>Extensions</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1"/>
        <w:rPr>
          <w:sz w:val="18"/>
        </w:rPr>
      </w:pPr>
    </w:p>
    <w:p>
      <w:pPr>
        <w:pStyle w:val="Heading1"/>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52" w:lineRule="auto"/>
        <w:ind w:left="2020"/>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3"/>
        <w:rPr>
          <w:sz w:val="17"/>
        </w:rPr>
      </w:pPr>
    </w:p>
    <w:p>
      <w:pPr>
        <w:pStyle w:val="BodyText"/>
        <w:spacing w:line="249" w:lineRule="auto"/>
        <w:ind w:left="2020" w:right="235"/>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49" w:lineRule="auto"/>
        <w:ind w:left="2020" w:right="235"/>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spacing w:after="0" w:line="249" w:lineRule="auto"/>
        <w:sectPr>
          <w:footerReference w:type="default" r:id="rId36"/>
          <w:pgSz w:w="12240" w:h="15840"/>
          <w:pgMar w:footer="844" w:header="0" w:top="1360" w:bottom="1040" w:left="1220" w:right="1220"/>
        </w:sectPr>
      </w:pPr>
    </w:p>
    <w:p>
      <w:pPr>
        <w:pStyle w:val="Heading1"/>
        <w:spacing w:before="64"/>
        <w:ind w:left="2020"/>
        <w:jc w:val="both"/>
      </w:pPr>
      <w:r>
        <w:rPr/>
        <w:t>Water</w:t>
      </w:r>
      <w:r>
        <w:rPr>
          <w:spacing w:val="-9"/>
        </w:rPr>
        <w:t> </w:t>
      </w:r>
      <w:r>
        <w:rPr>
          <w:spacing w:val="-2"/>
        </w:rPr>
        <w:t>Seepage</w:t>
      </w:r>
    </w:p>
    <w:p>
      <w:pPr>
        <w:pStyle w:val="BodyText"/>
        <w:spacing w:before="2"/>
        <w:rPr>
          <w:b/>
          <w:sz w:val="18"/>
        </w:rPr>
      </w:pPr>
    </w:p>
    <w:p>
      <w:pPr>
        <w:pStyle w:val="BodyText"/>
        <w:spacing w:line="249" w:lineRule="auto"/>
        <w:ind w:left="2020" w:right="218" w:hanging="1"/>
        <w:jc w:val="both"/>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4"/>
        <w:rPr>
          <w:sz w:val="18"/>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3"/>
        <w:rPr>
          <w:sz w:val="18"/>
        </w:rPr>
      </w:pPr>
    </w:p>
    <w:p>
      <w:pPr>
        <w:pStyle w:val="BodyText"/>
        <w:spacing w:line="249" w:lineRule="auto"/>
        <w:ind w:left="2020" w:right="221"/>
        <w:jc w:val="both"/>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6"/>
        <w:ind w:left="2020" w:right="217"/>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4"/>
        <w:rPr>
          <w:sz w:val="18"/>
        </w:rPr>
      </w:pPr>
    </w:p>
    <w:p>
      <w:pPr>
        <w:pStyle w:val="Heading1"/>
        <w:ind w:left="2020"/>
        <w:jc w:val="both"/>
      </w:pPr>
      <w:r>
        <w:rPr/>
        <w:t>Additional</w:t>
      </w:r>
      <w:r>
        <w:rPr>
          <w:spacing w:val="-14"/>
        </w:rPr>
        <w:t> </w:t>
      </w:r>
      <w:r>
        <w:rPr>
          <w:spacing w:val="-2"/>
        </w:rPr>
        <w:t>Spoilage</w:t>
      </w:r>
    </w:p>
    <w:p>
      <w:pPr>
        <w:pStyle w:val="BodyText"/>
        <w:spacing w:before="9"/>
        <w:rPr>
          <w:b/>
          <w:sz w:val="17"/>
        </w:rPr>
      </w:pPr>
    </w:p>
    <w:p>
      <w:pPr>
        <w:pStyle w:val="BodyText"/>
        <w:ind w:left="2020" w:right="217"/>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3"/>
        <w:rPr>
          <w:sz w:val="17"/>
        </w:rPr>
      </w:pPr>
    </w:p>
    <w:p>
      <w:pPr>
        <w:pStyle w:val="ListParagraph"/>
        <w:numPr>
          <w:ilvl w:val="0"/>
          <w:numId w:val="42"/>
        </w:numPr>
        <w:tabs>
          <w:tab w:pos="2737" w:val="left" w:leader="none"/>
          <w:tab w:pos="2740" w:val="left" w:leader="none"/>
        </w:tabs>
        <w:spacing w:line="228" w:lineRule="auto" w:before="0" w:after="0"/>
        <w:ind w:left="2740" w:right="221"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7" w:val="left" w:leader="none"/>
        </w:tabs>
        <w:spacing w:line="240" w:lineRule="auto" w:before="194" w:after="0"/>
        <w:ind w:left="3097"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Water.</w:t>
      </w:r>
    </w:p>
    <w:p>
      <w:pPr>
        <w:pStyle w:val="BodyText"/>
        <w:spacing w:before="4"/>
        <w:rPr>
          <w:sz w:val="17"/>
        </w:rPr>
      </w:pPr>
    </w:p>
    <w:p>
      <w:pPr>
        <w:pStyle w:val="ListParagraph"/>
        <w:numPr>
          <w:ilvl w:val="0"/>
          <w:numId w:val="42"/>
        </w:numPr>
        <w:tabs>
          <w:tab w:pos="2737" w:val="left" w:leader="none"/>
          <w:tab w:pos="2740" w:val="left" w:leader="none"/>
        </w:tabs>
        <w:spacing w:line="228" w:lineRule="auto" w:before="0" w:after="0"/>
        <w:ind w:left="2740" w:right="921"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9"/>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100" w:val="left" w:leader="none"/>
          <w:tab w:pos="3102" w:val="left" w:leader="none"/>
        </w:tabs>
        <w:spacing w:line="228" w:lineRule="auto" w:before="0" w:after="0"/>
        <w:ind w:left="3100" w:right="220"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6"/>
        <w:rPr>
          <w:sz w:val="17"/>
        </w:rPr>
      </w:pPr>
    </w:p>
    <w:p>
      <w:pPr>
        <w:pStyle w:val="ListParagraph"/>
        <w:numPr>
          <w:ilvl w:val="1"/>
          <w:numId w:val="42"/>
        </w:numPr>
        <w:tabs>
          <w:tab w:pos="3099" w:val="left" w:leader="none"/>
          <w:tab w:pos="3111" w:val="left" w:leader="none"/>
        </w:tabs>
        <w:spacing w:line="228" w:lineRule="auto" w:before="0" w:after="0"/>
        <w:ind w:left="3099" w:right="216"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6" w:val="left" w:leader="none"/>
        </w:tabs>
        <w:spacing w:line="240" w:lineRule="auto" w:before="192" w:after="0"/>
        <w:ind w:left="3456"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6" w:val="left" w:leader="none"/>
        </w:tabs>
        <w:spacing w:line="240" w:lineRule="auto" w:before="190" w:after="0"/>
        <w:ind w:left="3516"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2"/>
        </w:numPr>
        <w:tabs>
          <w:tab w:pos="3098" w:val="left" w:leader="none"/>
          <w:tab w:pos="3110" w:val="left" w:leader="none"/>
        </w:tabs>
        <w:spacing w:line="228" w:lineRule="auto" w:before="0"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spacing w:after="0" w:line="228" w:lineRule="auto"/>
        <w:jc w:val="both"/>
        <w:rPr>
          <w:sz w:val="20"/>
        </w:rPr>
        <w:sectPr>
          <w:footerReference w:type="default" r:id="rId37"/>
          <w:pgSz w:w="12240" w:h="15840"/>
          <w:pgMar w:footer="844" w:header="0" w:top="1380" w:bottom="1040" w:left="1220" w:right="1220"/>
        </w:sectPr>
      </w:pPr>
    </w:p>
    <w:p>
      <w:pPr>
        <w:pStyle w:val="ListParagraph"/>
        <w:numPr>
          <w:ilvl w:val="1"/>
          <w:numId w:val="42"/>
        </w:numPr>
        <w:tabs>
          <w:tab w:pos="3099" w:val="left" w:leader="none"/>
          <w:tab w:pos="3101" w:val="left" w:leader="none"/>
        </w:tabs>
        <w:spacing w:line="228" w:lineRule="auto" w:before="79" w:after="0"/>
        <w:ind w:left="3099" w:right="221" w:hanging="360"/>
        <w:jc w:val="left"/>
        <w:rPr>
          <w:sz w:val="20"/>
        </w:rPr>
      </w:pPr>
      <w:r>
        <w:rPr>
          <w:rFonts w:ascii="Times New Roman"/>
          <w:b/>
          <w:sz w:val="20"/>
        </w:rPr>
        <w:tab/>
      </w:r>
      <w:r>
        <w:rPr>
          <w:sz w:val="20"/>
        </w:rPr>
        <w:t>Breaking</w:t>
      </w:r>
      <w:r>
        <w:rPr>
          <w:spacing w:val="40"/>
          <w:sz w:val="20"/>
        </w:rPr>
        <w:t> </w:t>
      </w:r>
      <w:r>
        <w:rPr>
          <w:sz w:val="20"/>
        </w:rPr>
        <w:t>of</w:t>
      </w:r>
      <w:r>
        <w:rPr>
          <w:spacing w:val="40"/>
          <w:sz w:val="20"/>
        </w:rPr>
        <w:t> </w:t>
      </w:r>
      <w:r>
        <w:rPr>
          <w:sz w:val="20"/>
        </w:rPr>
        <w:t>any</w:t>
      </w:r>
      <w:r>
        <w:rPr>
          <w:spacing w:val="40"/>
          <w:sz w:val="20"/>
        </w:rPr>
        <w:t> </w:t>
      </w:r>
      <w:r>
        <w:rPr>
          <w:sz w:val="20"/>
        </w:rPr>
        <w:t>glass</w:t>
      </w:r>
      <w:r>
        <w:rPr>
          <w:spacing w:val="40"/>
          <w:sz w:val="20"/>
        </w:rPr>
        <w:t> </w:t>
      </w:r>
      <w:r>
        <w:rPr>
          <w:sz w:val="20"/>
        </w:rPr>
        <w:t>that</w:t>
      </w:r>
      <w:r>
        <w:rPr>
          <w:spacing w:val="40"/>
          <w:sz w:val="20"/>
        </w:rPr>
        <w:t> </w:t>
      </w:r>
      <w:r>
        <w:rPr>
          <w:sz w:val="20"/>
        </w:rPr>
        <w:t>is</w:t>
      </w:r>
      <w:r>
        <w:rPr>
          <w:spacing w:val="40"/>
          <w:sz w:val="20"/>
        </w:rPr>
        <w:t> </w:t>
      </w:r>
      <w:r>
        <w:rPr>
          <w:sz w:val="20"/>
        </w:rPr>
        <w:t>a</w:t>
      </w:r>
      <w:r>
        <w:rPr>
          <w:spacing w:val="40"/>
          <w:sz w:val="20"/>
        </w:rPr>
        <w:t> </w:t>
      </w:r>
      <w:r>
        <w:rPr>
          <w:sz w:val="20"/>
        </w:rPr>
        <w:t>permanent</w:t>
      </w:r>
      <w:r>
        <w:rPr>
          <w:spacing w:val="40"/>
          <w:sz w:val="20"/>
        </w:rPr>
        <w:t> </w:t>
      </w:r>
      <w:r>
        <w:rPr>
          <w:sz w:val="20"/>
        </w:rPr>
        <w:t>part</w:t>
      </w:r>
      <w:r>
        <w:rPr>
          <w:spacing w:val="40"/>
          <w:sz w:val="20"/>
        </w:rPr>
        <w:t> </w:t>
      </w:r>
      <w:r>
        <w:rPr>
          <w:sz w:val="20"/>
        </w:rPr>
        <w:t>of</w:t>
      </w:r>
      <w:r>
        <w:rPr>
          <w:spacing w:val="40"/>
          <w:sz w:val="20"/>
        </w:rPr>
        <w:t> </w:t>
      </w:r>
      <w:r>
        <w:rPr>
          <w:sz w:val="20"/>
        </w:rPr>
        <w:t>any</w:t>
      </w:r>
      <w:r>
        <w:rPr>
          <w:spacing w:val="40"/>
          <w:sz w:val="20"/>
        </w:rPr>
        <w:t> </w:t>
      </w:r>
      <w:r>
        <w:rPr>
          <w:sz w:val="20"/>
        </w:rPr>
        <w:t>refrigerating, cooling or humidity control unit.</w:t>
      </w:r>
    </w:p>
    <w:p>
      <w:pPr>
        <w:pStyle w:val="BodyText"/>
        <w:spacing w:before="11"/>
        <w:rPr>
          <w:sz w:val="17"/>
        </w:rPr>
      </w:pPr>
    </w:p>
    <w:p>
      <w:pPr>
        <w:pStyle w:val="BodyText"/>
        <w:spacing w:line="252" w:lineRule="auto"/>
        <w:ind w:left="2173" w:right="453"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3"/>
        <w:rPr>
          <w:b/>
          <w:sz w:val="17"/>
        </w:rPr>
      </w:pPr>
    </w:p>
    <w:p>
      <w:pPr>
        <w:pStyle w:val="Heading1"/>
        <w:ind w:left="2199"/>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4" w:val="left" w:leader="none"/>
          <w:tab w:pos="2546" w:val="left" w:leader="none"/>
        </w:tabs>
        <w:spacing w:line="249" w:lineRule="auto" w:before="1" w:after="0"/>
        <w:ind w:left="2544" w:right="384" w:hanging="346"/>
        <w:jc w:val="left"/>
        <w:rPr>
          <w:sz w:val="20"/>
        </w:rPr>
      </w:pPr>
      <w:r>
        <w:rPr>
          <w:rFonts w:ascii="Times New Roman" w:hAnsi="Times New Roman"/>
          <w:b/>
          <w:sz w:val="20"/>
        </w:rPr>
        <w:tab/>
      </w:r>
      <w:r>
        <w:rPr>
          <w:sz w:val="20"/>
        </w:rPr>
        <w:t>We cover direct physical loss to covered “computer equipment”, “electronic data”,</w:t>
      </w:r>
      <w:r>
        <w:rPr>
          <w:spacing w:val="-3"/>
          <w:sz w:val="20"/>
        </w:rPr>
        <w:t> </w:t>
      </w:r>
      <w:r>
        <w:rPr>
          <w:sz w:val="20"/>
        </w:rPr>
        <w:t>“media”</w:t>
      </w:r>
      <w:r>
        <w:rPr>
          <w:spacing w:val="-2"/>
          <w:sz w:val="20"/>
        </w:rPr>
        <w:t> </w:t>
      </w:r>
      <w:r>
        <w:rPr>
          <w:sz w:val="20"/>
        </w:rPr>
        <w:t>or</w:t>
      </w:r>
      <w:r>
        <w:rPr>
          <w:spacing w:val="-2"/>
          <w:sz w:val="20"/>
        </w:rPr>
        <w:t> </w:t>
      </w:r>
      <w:r>
        <w:rPr>
          <w:sz w:val="20"/>
        </w:rPr>
        <w:t>“programs”,</w:t>
      </w:r>
      <w:r>
        <w:rPr>
          <w:spacing w:val="-3"/>
          <w:sz w:val="20"/>
        </w:rPr>
        <w:t> </w:t>
      </w:r>
      <w:r>
        <w:rPr>
          <w:sz w:val="20"/>
        </w:rPr>
        <w:t>and</w:t>
      </w:r>
      <w:r>
        <w:rPr>
          <w:spacing w:val="-2"/>
          <w:sz w:val="20"/>
        </w:rPr>
        <w:t> </w:t>
      </w:r>
      <w:r>
        <w:rPr>
          <w:sz w:val="20"/>
        </w:rPr>
        <w:t>your</w:t>
      </w:r>
      <w:r>
        <w:rPr>
          <w:spacing w:val="-7"/>
          <w:sz w:val="20"/>
        </w:rPr>
        <w:t> </w:t>
      </w:r>
      <w:r>
        <w:rPr>
          <w:sz w:val="20"/>
        </w:rPr>
        <w:t>Web</w:t>
      </w:r>
      <w:r>
        <w:rPr>
          <w:spacing w:val="-3"/>
          <w:sz w:val="20"/>
        </w:rPr>
        <w:t> </w:t>
      </w:r>
      <w:r>
        <w:rPr>
          <w:sz w:val="20"/>
        </w:rPr>
        <w:t>site</w:t>
      </w:r>
      <w:r>
        <w:rPr>
          <w:spacing w:val="-3"/>
          <w:sz w:val="20"/>
        </w:rPr>
        <w:t> </w:t>
      </w:r>
      <w:r>
        <w:rPr>
          <w:sz w:val="20"/>
        </w:rPr>
        <w:t>caused</w:t>
      </w:r>
      <w:r>
        <w:rPr>
          <w:spacing w:val="-3"/>
          <w:sz w:val="20"/>
        </w:rPr>
        <w:t> </w:t>
      </w:r>
      <w:r>
        <w:rPr>
          <w:sz w:val="20"/>
        </w:rPr>
        <w:t>by</w:t>
      </w:r>
      <w:r>
        <w:rPr>
          <w:spacing w:val="-6"/>
          <w:sz w:val="20"/>
        </w:rPr>
        <w:t> </w:t>
      </w:r>
      <w:r>
        <w:rPr>
          <w:sz w:val="20"/>
        </w:rPr>
        <w:t>a</w:t>
      </w:r>
      <w:r>
        <w:rPr>
          <w:spacing w:val="-3"/>
          <w:sz w:val="20"/>
        </w:rPr>
        <w:t> </w:t>
      </w:r>
      <w:r>
        <w:rPr>
          <w:sz w:val="20"/>
        </w:rPr>
        <w:t>“computer</w:t>
      </w:r>
      <w:r>
        <w:rPr>
          <w:spacing w:val="-2"/>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0"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1" w:val="left" w:leader="none"/>
        </w:tabs>
        <w:spacing w:line="249" w:lineRule="auto" w:before="0" w:after="0"/>
        <w:ind w:left="2874" w:right="340" w:hanging="315"/>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8" w:val="left" w:leader="none"/>
          <w:tab w:pos="2928" w:val="left" w:leader="none"/>
        </w:tabs>
        <w:spacing w:line="240" w:lineRule="auto" w:before="0" w:after="0"/>
        <w:ind w:left="2878" w:right="408"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2"/>
      </w:pPr>
    </w:p>
    <w:p>
      <w:pPr>
        <w:pStyle w:val="BodyText"/>
        <w:spacing w:line="237" w:lineRule="auto"/>
        <w:ind w:left="2875" w:right="587"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4"/>
        <w:rPr>
          <w:b/>
          <w:sz w:val="18"/>
        </w:rPr>
      </w:pPr>
    </w:p>
    <w:p>
      <w:pPr>
        <w:pStyle w:val="BodyText"/>
        <w:spacing w:line="252" w:lineRule="auto"/>
        <w:ind w:left="2875" w:right="235"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ListParagraph"/>
        <w:numPr>
          <w:ilvl w:val="0"/>
          <w:numId w:val="44"/>
        </w:numPr>
        <w:tabs>
          <w:tab w:pos="934" w:val="left" w:leader="none"/>
        </w:tabs>
        <w:spacing w:line="240" w:lineRule="auto" w:before="197" w:after="0"/>
        <w:ind w:left="934"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2"/>
        <w:rPr>
          <w:sz w:val="18"/>
        </w:rPr>
      </w:pPr>
    </w:p>
    <w:p>
      <w:pPr>
        <w:pStyle w:val="BodyText"/>
        <w:spacing w:line="249" w:lineRule="auto"/>
        <w:ind w:left="935"/>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44"/>
        </w:numPr>
        <w:tabs>
          <w:tab w:pos="1653" w:val="left" w:leader="none"/>
        </w:tabs>
        <w:spacing w:line="240" w:lineRule="auto" w:before="0" w:after="0"/>
        <w:ind w:left="1653"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2" w:val="left" w:leader="none"/>
          <w:tab w:pos="1655" w:val="left" w:leader="none"/>
        </w:tabs>
        <w:spacing w:line="249" w:lineRule="auto" w:before="0" w:after="0"/>
        <w:ind w:left="1655" w:right="224"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6"/>
        <w:rPr>
          <w:sz w:val="17"/>
        </w:rPr>
      </w:pPr>
    </w:p>
    <w:p>
      <w:pPr>
        <w:pStyle w:val="ListParagraph"/>
        <w:numPr>
          <w:ilvl w:val="1"/>
          <w:numId w:val="44"/>
        </w:numPr>
        <w:tabs>
          <w:tab w:pos="1653" w:val="left" w:leader="none"/>
          <w:tab w:pos="1655" w:val="left" w:leader="none"/>
        </w:tabs>
        <w:spacing w:line="249" w:lineRule="auto" w:before="0" w:after="0"/>
        <w:ind w:left="1655"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2" w:val="left" w:leader="none"/>
          <w:tab w:pos="1655" w:val="left" w:leader="none"/>
        </w:tabs>
        <w:spacing w:line="252" w:lineRule="auto" w:before="0" w:after="0"/>
        <w:ind w:left="1655" w:right="223"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3" w:val="left" w:leader="none"/>
          <w:tab w:pos="1655" w:val="left" w:leader="none"/>
        </w:tabs>
        <w:spacing w:line="249" w:lineRule="auto" w:before="1" w:after="0"/>
        <w:ind w:left="1655" w:right="226"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spacing w:after="0" w:line="249" w:lineRule="auto"/>
        <w:jc w:val="left"/>
        <w:rPr>
          <w:sz w:val="20"/>
        </w:rPr>
        <w:sectPr>
          <w:footerReference w:type="default" r:id="rId38"/>
          <w:pgSz w:w="12240" w:h="15840"/>
          <w:pgMar w:footer="844" w:header="0" w:top="1360" w:bottom="1040" w:left="1220" w:right="1220"/>
        </w:sectPr>
      </w:pPr>
    </w:p>
    <w:p>
      <w:pPr>
        <w:pStyle w:val="BodyText"/>
        <w:spacing w:line="249" w:lineRule="auto" w:before="64"/>
        <w:ind w:left="1300" w:right="164"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5"/>
        <w:rPr>
          <w:sz w:val="17"/>
        </w:rPr>
      </w:pPr>
    </w:p>
    <w:p>
      <w:pPr>
        <w:pStyle w:val="BodyText"/>
        <w:spacing w:before="1"/>
        <w:ind w:left="940"/>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4"/>
        <w:rPr>
          <w:sz w:val="18"/>
        </w:rPr>
      </w:pPr>
    </w:p>
    <w:p>
      <w:pPr>
        <w:pStyle w:val="ListParagraph"/>
        <w:numPr>
          <w:ilvl w:val="0"/>
          <w:numId w:val="45"/>
        </w:numPr>
        <w:tabs>
          <w:tab w:pos="1657" w:val="left" w:leader="none"/>
          <w:tab w:pos="1660" w:val="left" w:leader="none"/>
        </w:tabs>
        <w:spacing w:line="249" w:lineRule="auto" w:before="0" w:after="0"/>
        <w:ind w:left="1660"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6"/>
        <w:rPr>
          <w:sz w:val="17"/>
        </w:rPr>
      </w:pPr>
    </w:p>
    <w:p>
      <w:pPr>
        <w:pStyle w:val="BodyText"/>
        <w:spacing w:line="249" w:lineRule="auto"/>
        <w:ind w:left="940" w:right="221" w:hanging="1"/>
        <w:jc w:val="both"/>
      </w:pPr>
      <w:r>
        <w:rPr/>
        <w:t>This term does not appear in this policy, but may appear in the Equipment Breakdown – Other Conditions Endorsement.</w:t>
      </w:r>
    </w:p>
    <w:p>
      <w:pPr>
        <w:pStyle w:val="BodyText"/>
        <w:spacing w:line="230" w:lineRule="auto" w:before="194"/>
        <w:ind w:left="940" w:right="216"/>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line="252" w:lineRule="auto"/>
        <w:ind w:left="940"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ListParagraph"/>
        <w:numPr>
          <w:ilvl w:val="0"/>
          <w:numId w:val="46"/>
        </w:numPr>
        <w:tabs>
          <w:tab w:pos="1658" w:val="left" w:leader="none"/>
        </w:tabs>
        <w:spacing w:line="240" w:lineRule="auto" w:before="197" w:after="0"/>
        <w:ind w:left="1658"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2"/>
        <w:rPr>
          <w:sz w:val="18"/>
        </w:rPr>
      </w:pPr>
    </w:p>
    <w:p>
      <w:pPr>
        <w:pStyle w:val="ListParagraph"/>
        <w:numPr>
          <w:ilvl w:val="0"/>
          <w:numId w:val="46"/>
        </w:numPr>
        <w:tabs>
          <w:tab w:pos="1657" w:val="left" w:leader="none"/>
          <w:tab w:pos="1660" w:val="left" w:leader="none"/>
        </w:tabs>
        <w:spacing w:line="249" w:lineRule="auto" w:before="1" w:after="0"/>
        <w:ind w:left="1660"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8" w:val="left" w:leader="none"/>
          <w:tab w:pos="1660" w:val="left" w:leader="none"/>
        </w:tabs>
        <w:spacing w:line="252"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3"/>
        <w:rPr>
          <w:sz w:val="17"/>
        </w:rPr>
      </w:pPr>
    </w:p>
    <w:p>
      <w:pPr>
        <w:pStyle w:val="ListParagraph"/>
        <w:numPr>
          <w:ilvl w:val="0"/>
          <w:numId w:val="46"/>
        </w:numPr>
        <w:tabs>
          <w:tab w:pos="1657" w:val="left" w:leader="none"/>
          <w:tab w:pos="1660" w:val="left" w:leader="none"/>
        </w:tabs>
        <w:spacing w:line="249" w:lineRule="auto" w:before="0" w:after="0"/>
        <w:ind w:left="1660" w:right="214"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1"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52"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ListParagraph"/>
        <w:numPr>
          <w:ilvl w:val="0"/>
          <w:numId w:val="47"/>
        </w:numPr>
        <w:tabs>
          <w:tab w:pos="1658" w:val="left" w:leader="none"/>
          <w:tab w:pos="1660" w:val="left" w:leader="none"/>
        </w:tabs>
        <w:spacing w:line="249" w:lineRule="auto" w:before="197"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6"/>
        <w:rPr>
          <w:sz w:val="17"/>
        </w:rPr>
      </w:pPr>
    </w:p>
    <w:p>
      <w:pPr>
        <w:pStyle w:val="ListParagraph"/>
        <w:numPr>
          <w:ilvl w:val="0"/>
          <w:numId w:val="47"/>
        </w:numPr>
        <w:tabs>
          <w:tab w:pos="1657" w:val="left" w:leader="none"/>
          <w:tab w:pos="1660" w:val="left" w:leader="none"/>
        </w:tabs>
        <w:spacing w:line="249" w:lineRule="auto" w:before="0" w:after="0"/>
        <w:ind w:left="1660" w:right="411" w:hanging="361"/>
        <w:jc w:val="left"/>
        <w:rPr>
          <w:sz w:val="20"/>
        </w:rPr>
      </w:pPr>
      <w:r>
        <w:rPr>
          <w:sz w:val="20"/>
        </w:rPr>
        <w:t>alteration,</w:t>
      </w:r>
      <w:r>
        <w:rPr>
          <w:spacing w:val="-5"/>
          <w:sz w:val="20"/>
        </w:rPr>
        <w:t> </w:t>
      </w:r>
      <w:r>
        <w:rPr>
          <w:sz w:val="20"/>
        </w:rPr>
        <w:t>contamination,</w:t>
      </w:r>
      <w:r>
        <w:rPr>
          <w:spacing w:val="-6"/>
          <w:sz w:val="20"/>
        </w:rPr>
        <w:t> </w:t>
      </w:r>
      <w:r>
        <w:rPr>
          <w:sz w:val="20"/>
        </w:rPr>
        <w:t>corruption,</w:t>
      </w:r>
      <w:r>
        <w:rPr>
          <w:spacing w:val="-4"/>
          <w:sz w:val="20"/>
        </w:rPr>
        <w:t> </w:t>
      </w:r>
      <w:r>
        <w:rPr>
          <w:sz w:val="20"/>
        </w:rPr>
        <w:t>degradation,</w:t>
      </w:r>
      <w:r>
        <w:rPr>
          <w:spacing w:val="-5"/>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52" w:lineRule="auto" w:before="0" w:after="0"/>
        <w:ind w:left="1660" w:right="214"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3"/>
        <w:rPr>
          <w:sz w:val="17"/>
        </w:rPr>
      </w:pPr>
    </w:p>
    <w:p>
      <w:pPr>
        <w:pStyle w:val="ListParagraph"/>
        <w:numPr>
          <w:ilvl w:val="0"/>
          <w:numId w:val="47"/>
        </w:numPr>
        <w:tabs>
          <w:tab w:pos="1658" w:val="left" w:leader="none"/>
          <w:tab w:pos="1661" w:val="left" w:leader="none"/>
        </w:tabs>
        <w:spacing w:line="249" w:lineRule="auto" w:before="0" w:after="0"/>
        <w:ind w:left="1661" w:right="216" w:hanging="361"/>
        <w:jc w:val="left"/>
        <w:rPr>
          <w:sz w:val="20"/>
        </w:rPr>
      </w:pPr>
      <w:r>
        <w:rPr>
          <w:sz w:val="20"/>
        </w:rPr>
        <w:t>denial of access to or denial of services from your “computer equipment”, your computer network, or Web site.</w:t>
      </w:r>
    </w:p>
    <w:p>
      <w:pPr>
        <w:spacing w:after="0" w:line="249" w:lineRule="auto"/>
        <w:jc w:val="left"/>
        <w:rPr>
          <w:sz w:val="20"/>
        </w:rPr>
        <w:sectPr>
          <w:footerReference w:type="default" r:id="rId39"/>
          <w:pgSz w:w="12240" w:h="15840"/>
          <w:pgMar w:footer="844" w:header="0" w:top="1380" w:bottom="1040" w:left="1220" w:right="1220"/>
        </w:sectPr>
      </w:pPr>
    </w:p>
    <w:p>
      <w:pPr>
        <w:pStyle w:val="BodyText"/>
        <w:spacing w:before="64"/>
        <w:ind w:left="940"/>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7" w:val="left" w:leader="none"/>
          <w:tab w:pos="1660" w:val="left" w:leader="none"/>
        </w:tabs>
        <w:spacing w:line="249" w:lineRule="auto" w:before="0" w:after="0"/>
        <w:ind w:left="1660"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7" w:val="left" w:leader="none"/>
        </w:tabs>
        <w:spacing w:line="240" w:lineRule="auto" w:before="197" w:after="0"/>
        <w:ind w:left="20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8"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60"/>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48"/>
        </w:numPr>
        <w:tabs>
          <w:tab w:pos="358" w:val="left" w:leader="none"/>
        </w:tabs>
        <w:spacing w:line="240" w:lineRule="auto" w:before="0" w:after="0"/>
        <w:ind w:left="358" w:right="4122"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rPr>
          <w:sz w:val="18"/>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5"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8"/>
        </w:numPr>
        <w:tabs>
          <w:tab w:pos="2017" w:val="left" w:leader="none"/>
          <w:tab w:pos="2020" w:val="left" w:leader="none"/>
        </w:tabs>
        <w:spacing w:line="240" w:lineRule="auto" w:before="0" w:after="0"/>
        <w:ind w:left="2020"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2"/>
        <w:rPr>
          <w:sz w:val="17"/>
        </w:rPr>
      </w:pPr>
    </w:p>
    <w:p>
      <w:pPr>
        <w:pStyle w:val="ListParagraph"/>
        <w:numPr>
          <w:ilvl w:val="1"/>
          <w:numId w:val="48"/>
        </w:numPr>
        <w:tabs>
          <w:tab w:pos="2017" w:val="left" w:leader="none"/>
          <w:tab w:pos="2020" w:val="left" w:leader="none"/>
        </w:tabs>
        <w:spacing w:line="240" w:lineRule="auto" w:before="0" w:after="0"/>
        <w:ind w:left="2020"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48"/>
        </w:numPr>
        <w:tabs>
          <w:tab w:pos="2017" w:val="left" w:leader="none"/>
        </w:tabs>
        <w:spacing w:line="240" w:lineRule="auto" w:before="1"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6"/>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357" w:val="left" w:leader="none"/>
        </w:tabs>
        <w:spacing w:line="240" w:lineRule="auto" w:before="0" w:after="0"/>
        <w:ind w:left="357" w:right="4157"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before="1"/>
        <w:ind w:left="939" w:right="217"/>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8"/>
        <w:jc w:val="both"/>
      </w:pPr>
      <w:r>
        <w:rPr/>
        <w:t>“Hazardous Substance” means any substance that is hazardous to health or has been declared</w:t>
      </w:r>
      <w:r>
        <w:rPr>
          <w:spacing w:val="40"/>
        </w:rPr>
        <w:t> </w:t>
      </w:r>
      <w:r>
        <w:rPr/>
        <w:t>to be hazardous to health by a governmental agency.</w:t>
      </w:r>
    </w:p>
    <w:p>
      <w:pPr>
        <w:pStyle w:val="BodyText"/>
        <w:spacing w:before="5"/>
        <w:rPr>
          <w:sz w:val="17"/>
        </w:rPr>
      </w:pPr>
    </w:p>
    <w:p>
      <w:pPr>
        <w:pStyle w:val="BodyText"/>
        <w:spacing w:line="249" w:lineRule="auto" w:before="1"/>
        <w:ind w:left="939"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ind w:left="939" w:right="221" w:hanging="1"/>
        <w:jc w:val="both"/>
      </w:pPr>
      <w:r>
        <w:rPr/>
        <w:t>This term does not appear in this policy, but may appear in the Equipment Breakdown – Other Conditions Endorsement.</w:t>
      </w:r>
    </w:p>
    <w:p>
      <w:pPr>
        <w:spacing w:after="0" w:line="249" w:lineRule="auto"/>
        <w:jc w:val="both"/>
        <w:sectPr>
          <w:footerReference w:type="default" r:id="rId40"/>
          <w:pgSz w:w="12240" w:h="15840"/>
          <w:pgMar w:footer="844" w:header="0" w:top="1380" w:bottom="1040" w:left="1220" w:right="1220"/>
        </w:sectPr>
      </w:pPr>
    </w:p>
    <w:p>
      <w:pPr>
        <w:pStyle w:val="BodyText"/>
        <w:spacing w:line="228" w:lineRule="auto" w:before="79"/>
        <w:ind w:left="940" w:right="164"/>
      </w:pPr>
      <w:r>
        <w:rPr/>
        <w:t>“Programs” means software that are purchased or written specifically to be used with “computer </w:t>
      </w:r>
      <w:r>
        <w:rPr>
          <w:spacing w:val="-2"/>
        </w:rPr>
        <w:t>equipment”.</w:t>
      </w:r>
    </w:p>
    <w:p>
      <w:pPr>
        <w:pStyle w:val="BodyText"/>
        <w:spacing w:before="4"/>
        <w:rPr>
          <w:sz w:val="18"/>
        </w:rPr>
      </w:pPr>
    </w:p>
    <w:p>
      <w:pPr>
        <w:pStyle w:val="BodyText"/>
        <w:ind w:left="939"/>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5"/>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49"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5"/>
        <w:rPr>
          <w:sz w:val="17"/>
        </w:rPr>
      </w:pPr>
    </w:p>
    <w:p>
      <w:pPr>
        <w:pStyle w:val="ListParagraph"/>
        <w:numPr>
          <w:ilvl w:val="0"/>
          <w:numId w:val="49"/>
        </w:numPr>
        <w:tabs>
          <w:tab w:pos="1658" w:val="left" w:leader="none"/>
          <w:tab w:pos="1660" w:val="left" w:leader="none"/>
        </w:tabs>
        <w:spacing w:line="252" w:lineRule="auto" w:before="1"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ListParagraph"/>
        <w:numPr>
          <w:ilvl w:val="0"/>
          <w:numId w:val="49"/>
        </w:numPr>
        <w:tabs>
          <w:tab w:pos="1657" w:val="left" w:leader="none"/>
          <w:tab w:pos="1660" w:val="left" w:leader="none"/>
        </w:tabs>
        <w:spacing w:line="249" w:lineRule="auto" w:before="197"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9"/>
        </w:rPr>
      </w:pPr>
      <w:r>
        <w:rPr/>
        <mc:AlternateContent>
          <mc:Choice Requires="wps">
            <w:drawing>
              <wp:anchor distT="0" distB="0" distL="0" distR="0" allowOverlap="1" layoutInCell="1" locked="0" behindDoc="1" simplePos="0" relativeHeight="487606272">
                <wp:simplePos x="0" y="0"/>
                <wp:positionH relativeFrom="page">
                  <wp:posOffset>4114958</wp:posOffset>
                </wp:positionH>
                <wp:positionV relativeFrom="paragraph">
                  <wp:posOffset>227800</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12482pt;margin-top:17.937008pt;width:144.450pt;height:.1pt;mso-position-horizontal-relative:page;mso-position-vertical-relative:paragraph;z-index:-15710208;mso-wrap-distance-left:0;mso-wrap-distance-right:0" id="docshape37" coordorigin="6480,359" coordsize="2889,0" path="m6480,359l9369,359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6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bookmarkStart w:name="(2) Dependent Property means property op" w:id="1"/>
                                <w:bookmarkEnd w:id="1"/>
                                <w:r>
                                  <w:rPr/>
                                </w: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bookmarkStart w:name="(2) Dependent Property means property op" w:id="2"/>
                          <w:bookmarkEnd w:id="2"/>
                          <w:r>
                            <w:rPr/>
                          </w: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z w:val="18"/>
                            </w:rPr>
                            <w:t>121953</w:t>
                          </w:r>
                          <w:r>
                            <w:rPr>
                              <w:spacing w:val="-9"/>
                              <w:sz w:val="18"/>
                            </w:rPr>
                            <w:t> </w:t>
                          </w:r>
                          <w:r>
                            <w:rPr>
                              <w:spacing w:val="-2"/>
                              <w:sz w:val="18"/>
                            </w:rPr>
                            <w:t>(12/17)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5"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4"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4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100"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5"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4"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59"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29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299"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7"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7"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1990" w:hanging="351"/>
        <w:jc w:val="left"/>
      </w:pPr>
      <w:rPr>
        <w:rFonts w:hint="default" w:ascii="Arial" w:hAnsi="Arial" w:eastAsia="Arial" w:cs="Arial"/>
        <w:b/>
        <w:bCs/>
        <w:i w:val="0"/>
        <w:iCs w:val="0"/>
        <w:spacing w:val="-1"/>
        <w:w w:val="99"/>
        <w:sz w:val="20"/>
        <w:szCs w:val="20"/>
        <w:lang w:val="en-US" w:eastAsia="en-US" w:bidi="ar-SA"/>
      </w:rPr>
    </w:lvl>
    <w:lvl w:ilvl="5">
      <w:start w:val="1"/>
      <w:numFmt w:val="lowerLetter"/>
      <w:lvlText w:val="(%6)"/>
      <w:lvlJc w:val="left"/>
      <w:pPr>
        <w:ind w:left="2374" w:hanging="356"/>
        <w:jc w:val="left"/>
      </w:pPr>
      <w:rPr>
        <w:rFonts w:hint="default" w:ascii="Arial" w:hAnsi="Arial" w:eastAsia="Arial" w:cs="Arial"/>
        <w:b/>
        <w:bCs/>
        <w:i w:val="0"/>
        <w:iCs w:val="0"/>
        <w:spacing w:val="-1"/>
        <w:w w:val="99"/>
        <w:sz w:val="20"/>
        <w:szCs w:val="20"/>
        <w:lang w:val="en-US" w:eastAsia="en-US" w:bidi="ar-SA"/>
      </w:rPr>
    </w:lvl>
    <w:lvl w:ilvl="6">
      <w:start w:val="0"/>
      <w:numFmt w:val="bullet"/>
      <w:lvlText w:val="•"/>
      <w:lvlJc w:val="left"/>
      <w:pPr>
        <w:ind w:left="2380" w:hanging="356"/>
      </w:pPr>
      <w:rPr>
        <w:rFonts w:hint="default"/>
        <w:lang w:val="en-US" w:eastAsia="en-US" w:bidi="ar-SA"/>
      </w:rPr>
    </w:lvl>
    <w:lvl w:ilvl="7">
      <w:start w:val="0"/>
      <w:numFmt w:val="bullet"/>
      <w:lvlText w:val="•"/>
      <w:lvlJc w:val="left"/>
      <w:pPr>
        <w:ind w:left="4235" w:hanging="356"/>
      </w:pPr>
      <w:rPr>
        <w:rFonts w:hint="default"/>
        <w:lang w:val="en-US" w:eastAsia="en-US" w:bidi="ar-SA"/>
      </w:rPr>
    </w:lvl>
    <w:lvl w:ilvl="8">
      <w:start w:val="0"/>
      <w:numFmt w:val="bullet"/>
      <w:lvlText w:val="•"/>
      <w:lvlJc w:val="left"/>
      <w:pPr>
        <w:ind w:left="6090"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9"/>
      <w:ind w:left="978" w:right="97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2024-01-23T23:04:48Z</dcterms:created>
  <dcterms:modified xsi:type="dcterms:W3CDTF">2024-01-23T23:04:48Z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D:20171220203237</vt:lpwstr>
  </property>
</Properties>
</file>