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178" w:right="1181"/>
        <w:jc w:val="center"/>
      </w:pPr>
      <w:r>
        <w:rPr>
          <w:spacing w:val="-2"/>
        </w:rPr>
        <w:t>ENDORSEMENT</w:t>
      </w:r>
    </w:p>
    <w:p>
      <w:pPr>
        <w:pStyle w:val="BodyText"/>
        <w:rPr>
          <w:b/>
        </w:rPr>
      </w:pPr>
    </w:p>
    <w:p>
      <w:pPr>
        <w:spacing w:before="0"/>
        <w:ind w:left="1181" w:right="1181"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0"/>
        </w:rPr>
        <w:t> </w:t>
      </w:r>
      <w:r>
        <w:rPr/>
        <w:t>PROGRAM</w:t>
      </w:r>
      <w:r>
        <w:rPr>
          <w:spacing w:val="-13"/>
        </w:rPr>
        <w:t> </w:t>
      </w:r>
      <w:r>
        <w:rPr/>
        <w:t>PERFORMANCE</w:t>
      </w:r>
      <w:r>
        <w:rPr>
          <w:vertAlign w:val="superscript"/>
        </w:rPr>
        <w:t>sm</w:t>
      </w:r>
      <w:r>
        <w:rPr>
          <w:spacing w:val="-27"/>
          <w:vertAlign w:val="baseline"/>
        </w:rPr>
        <w:t> </w:t>
      </w:r>
      <w:r>
        <w:rPr>
          <w:vertAlign w:val="baseline"/>
        </w:rPr>
        <w:t>ENDORSEMENT </w:t>
      </w:r>
      <w:r>
        <w:rPr>
          <w:spacing w:val="-2"/>
          <w:vertAlign w:val="baseline"/>
        </w:rPr>
        <w:t>ALASKA</w:t>
      </w:r>
    </w:p>
    <w:p>
      <w:pPr>
        <w:pStyle w:val="BodyText"/>
        <w:spacing w:before="2"/>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0"/>
        <w:rPr>
          <w:sz w:val="19"/>
        </w:rPr>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spacing w:before="2"/>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pPr>
    </w:p>
    <w:p>
      <w:pPr>
        <w:pStyle w:val="BodyText"/>
        <w:ind w:left="219" w:right="219"/>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3"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4"/>
                <w:sz w:val="20"/>
              </w:rPr>
              <w:t> </w:t>
            </w:r>
            <w:r>
              <w:rPr>
                <w:sz w:val="20"/>
              </w:rPr>
              <w:t>in</w:t>
            </w:r>
            <w:r>
              <w:rPr>
                <w:spacing w:val="-14"/>
                <w:sz w:val="20"/>
              </w:rPr>
              <w:t> </w:t>
            </w:r>
            <w:r>
              <w:rPr>
                <w:sz w:val="20"/>
              </w:rPr>
              <w:t>the</w:t>
            </w:r>
            <w:r>
              <w:rPr>
                <w:spacing w:val="-12"/>
                <w:sz w:val="20"/>
              </w:rPr>
              <w:t> </w:t>
            </w:r>
            <w:r>
              <w:rPr>
                <w:sz w:val="20"/>
              </w:rPr>
              <w:t>Applicable Limit of Insurance</w:t>
            </w:r>
          </w:p>
        </w:tc>
        <w:tc>
          <w:tcPr>
            <w:tcW w:w="1350" w:type="dxa"/>
          </w:tcPr>
          <w:p>
            <w:pPr>
              <w:pStyle w:val="TableParagraph"/>
              <w:spacing w:line="240" w:lineRule="auto"/>
              <w:ind w:left="0"/>
              <w:rPr>
                <w:rFonts w:ascii="Times New Roman"/>
                <w:sz w:val="20"/>
              </w:rPr>
            </w:pPr>
          </w:p>
        </w:tc>
      </w:tr>
    </w:tbl>
    <w:p>
      <w:pPr>
        <w:spacing w:after="0" w:line="240" w:lineRule="auto"/>
        <w:rPr>
          <w:rFonts w:ascii="Times New Roman"/>
          <w:sz w:val="20"/>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43"/>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7" w:val="left" w:leader="none"/>
        </w:tabs>
        <w:spacing w:line="240" w:lineRule="auto" w:before="192" w:after="0"/>
        <w:ind w:left="1627"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21" w:hanging="360"/>
        <w:jc w:val="both"/>
        <w:rPr>
          <w:sz w:val="20"/>
        </w:rPr>
      </w:pPr>
      <w:r>
        <w:rPr>
          <w:sz w:val="20"/>
        </w:rPr>
        <w:t>The enforcement of or compliance with any ordinance or law which requires demolition, repair, replacement, reconstruction, remodeling or remediation of property due to contamination by “pollutants”; or</w:t>
      </w:r>
    </w:p>
    <w:p>
      <w:pPr>
        <w:pStyle w:val="BodyText"/>
        <w:spacing w:before="8"/>
        <w:rPr>
          <w:sz w:val="17"/>
        </w:rPr>
      </w:pPr>
    </w:p>
    <w:p>
      <w:pPr>
        <w:pStyle w:val="ListParagraph"/>
        <w:numPr>
          <w:ilvl w:val="1"/>
          <w:numId w:val="4"/>
        </w:numPr>
        <w:tabs>
          <w:tab w:pos="2015" w:val="left" w:leader="none"/>
          <w:tab w:pos="2018" w:val="left" w:leader="none"/>
        </w:tabs>
        <w:spacing w:line="228" w:lineRule="auto" w:before="0" w:after="0"/>
        <w:ind w:left="2018" w:right="217" w:hanging="360"/>
        <w:jc w:val="both"/>
        <w:rPr>
          <w:sz w:val="20"/>
        </w:rPr>
      </w:pPr>
      <w:r>
        <w:rPr>
          <w:b/>
          <w:sz w:val="20"/>
        </w:rPr>
        <w:t>(b)</w:t>
      </w:r>
      <w:r>
        <w:rPr>
          <w:b/>
          <w:spacing w:val="40"/>
          <w:sz w:val="20"/>
        </w:rPr>
        <w:t> </w:t>
      </w:r>
      <w:r>
        <w:rPr>
          <w:sz w:val="20"/>
        </w:rPr>
        <w:t>Any</w:t>
      </w:r>
      <w:r>
        <w:rPr>
          <w:spacing w:val="-4"/>
          <w:sz w:val="20"/>
        </w:rPr>
        <w:t> </w:t>
      </w:r>
      <w:r>
        <w:rPr>
          <w:sz w:val="20"/>
        </w:rPr>
        <w:t>costs associated with the</w:t>
      </w:r>
      <w:r>
        <w:rPr>
          <w:spacing w:val="-1"/>
          <w:sz w:val="20"/>
        </w:rPr>
        <w:t> </w:t>
      </w:r>
      <w:r>
        <w:rPr>
          <w:sz w:val="20"/>
        </w:rPr>
        <w:t>enforcement</w:t>
      </w:r>
      <w:r>
        <w:rPr>
          <w:spacing w:val="-1"/>
          <w:sz w:val="20"/>
        </w:rPr>
        <w:t> </w:t>
      </w:r>
      <w:r>
        <w:rPr>
          <w:sz w:val="20"/>
        </w:rPr>
        <w:t>of or compliance with</w:t>
      </w:r>
      <w:r>
        <w:rPr>
          <w:spacing w:val="-1"/>
          <w:sz w:val="20"/>
        </w:rPr>
        <w:t> </w:t>
      </w:r>
      <w:r>
        <w:rPr>
          <w:sz w:val="20"/>
        </w:rPr>
        <w:t>an</w:t>
      </w:r>
      <w:r>
        <w:rPr>
          <w:spacing w:val="-1"/>
          <w:sz w:val="20"/>
        </w:rPr>
        <w:t> </w:t>
      </w:r>
      <w:r>
        <w:rPr>
          <w:sz w:val="20"/>
        </w:rPr>
        <w:t>ordinance</w:t>
      </w:r>
      <w:r>
        <w:rPr>
          <w:spacing w:val="-1"/>
          <w:sz w:val="20"/>
        </w:rPr>
        <w:t> </w:t>
      </w:r>
      <w:r>
        <w:rPr>
          <w:sz w:val="20"/>
        </w:rPr>
        <w:t>or law which requires any insured or others to test for, monitor, clean up, remove, contain, treat, detoxify or neutralize, or in any way respond to, or assess the effects</w:t>
      </w:r>
      <w:r>
        <w:rPr>
          <w:spacing w:val="40"/>
          <w:sz w:val="20"/>
        </w:rPr>
        <w:t> </w:t>
      </w:r>
      <w:r>
        <w:rPr>
          <w:sz w:val="20"/>
        </w:rPr>
        <w:t>of “pollutants”. 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BodyText"/>
        <w:spacing w:before="5"/>
        <w:rPr>
          <w:sz w:val="17"/>
        </w:rPr>
      </w:pPr>
    </w:p>
    <w:p>
      <w:pPr>
        <w:pStyle w:val="ListParagraph"/>
        <w:numPr>
          <w:ilvl w:val="1"/>
          <w:numId w:val="4"/>
        </w:numPr>
        <w:tabs>
          <w:tab w:pos="2015" w:val="left" w:leader="none"/>
        </w:tabs>
        <w:spacing w:line="240" w:lineRule="auto" w:before="1" w:after="0"/>
        <w:ind w:left="2015"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3"/>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8"/>
        <w:rPr>
          <w:sz w:val="17"/>
        </w:rPr>
      </w:pPr>
    </w:p>
    <w:p>
      <w:pPr>
        <w:pStyle w:val="ListParagraph"/>
        <w:numPr>
          <w:ilvl w:val="3"/>
          <w:numId w:val="4"/>
        </w:numPr>
        <w:tabs>
          <w:tab w:pos="2735" w:val="left" w:leader="none"/>
          <w:tab w:pos="2738" w:val="left" w:leader="none"/>
        </w:tabs>
        <w:spacing w:line="228" w:lineRule="auto" w:before="1"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7"/>
        <w:rPr>
          <w:sz w:val="17"/>
        </w:rPr>
      </w:pPr>
    </w:p>
    <w:p>
      <w:pPr>
        <w:pStyle w:val="ListParagraph"/>
        <w:numPr>
          <w:ilvl w:val="2"/>
          <w:numId w:val="4"/>
        </w:numPr>
        <w:tabs>
          <w:tab w:pos="2375" w:val="left" w:leader="none"/>
          <w:tab w:pos="2378" w:val="left" w:leader="none"/>
        </w:tabs>
        <w:spacing w:line="228" w:lineRule="auto" w:before="1"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8" w:val="left" w:leader="none"/>
          <w:tab w:pos="1301" w:val="left" w:leader="none"/>
        </w:tabs>
        <w:spacing w:line="240" w:lineRule="auto" w:before="0" w:after="0"/>
        <w:ind w:left="1301"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8"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59"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1" w:val="left" w:leader="none"/>
        </w:tabs>
        <w:spacing w:line="240" w:lineRule="auto" w:before="192"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4"/>
        <w:ind w:left="1300"/>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8"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6" w:val="left" w:leader="none"/>
          <w:tab w:pos="2019" w:val="left" w:leader="none"/>
        </w:tabs>
        <w:spacing w:line="249" w:lineRule="auto" w:before="198"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49" w:lineRule="auto" w:before="0" w:after="0"/>
        <w:ind w:left="2019" w:right="221"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8"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6"/>
        <w:jc w:val="both"/>
        <w:rPr>
          <w:b/>
        </w:rPr>
      </w:pPr>
      <w:r>
        <w:rPr/>
        <w:t>The most we will pay under this Additional Coverage is the Lock Replacement limit</w:t>
      </w:r>
      <w:r>
        <w:rPr>
          <w:spacing w:val="40"/>
        </w:rPr>
        <w:t> </w:t>
      </w:r>
      <w:r>
        <w:rPr/>
        <w:t>shown in </w:t>
      </w:r>
      <w:r>
        <w:rPr>
          <w:b/>
        </w:rPr>
        <w:t>Section I.B.</w:t>
      </w:r>
    </w:p>
    <w:p>
      <w:pPr>
        <w:pStyle w:val="BodyText"/>
        <w:spacing w:before="3"/>
        <w:rPr>
          <w:b/>
          <w:sz w:val="17"/>
        </w:rPr>
      </w:pPr>
    </w:p>
    <w:p>
      <w:pPr>
        <w:pStyle w:val="Heading1"/>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rPr>
          <w:b/>
        </w:rPr>
      </w:pPr>
      <w:r>
        <w:rPr/>
        <w:t>The most we will pay under this Additional Coverage is the Wind Blown Debris limit shown in </w:t>
      </w:r>
      <w:r>
        <w:rPr>
          <w:b/>
        </w:rPr>
        <w:t>Section I.B.</w:t>
      </w:r>
    </w:p>
    <w:p>
      <w:pPr>
        <w:pStyle w:val="BodyText"/>
        <w:spacing w:before="6"/>
        <w:rPr>
          <w:b/>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5"/>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8"/>
        <w:jc w:val="both"/>
        <w:rPr>
          <w:b/>
        </w:rPr>
      </w:pPr>
      <w:r>
        <w:rPr/>
        <w:t>The most we will pay under this Additional Coverage is the Inventory and Appraisal limit shown in </w:t>
      </w:r>
      <w:r>
        <w:rPr>
          <w:b/>
        </w:rPr>
        <w:t>Section I.B.</w:t>
      </w:r>
    </w:p>
    <w:p>
      <w:pPr>
        <w:spacing w:after="0" w:line="228" w:lineRule="auto"/>
        <w:jc w:val="both"/>
        <w:sectPr>
          <w:pgSz w:w="12240" w:h="15840"/>
          <w:pgMar w:header="0" w:footer="844" w:top="1380" w:bottom="1040" w:left="1220" w:right="1220"/>
        </w:sectPr>
      </w:pPr>
    </w:p>
    <w:p>
      <w:pPr>
        <w:pStyle w:val="Heading1"/>
        <w:spacing w:before="77"/>
        <w:ind w:left="13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59"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4"/>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43"/>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before="1"/>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7"/>
        <w:rPr>
          <w:b/>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3"/>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0"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8"/>
        <w:rPr>
          <w:sz w:val="17"/>
        </w:rPr>
      </w:pPr>
    </w:p>
    <w:p>
      <w:pPr>
        <w:pStyle w:val="BodyText"/>
        <w:spacing w:line="235" w:lineRule="auto"/>
        <w:ind w:left="1660" w:right="221"/>
        <w:jc w:val="both"/>
      </w:pPr>
      <w:r>
        <w:rPr/>
        <w:t>The most we will pay for loss or damage under this Extension is the Newly Acquired Or Constructed Property – Buildings limit shown in </w:t>
      </w:r>
      <w:r>
        <w:rPr>
          <w:b/>
        </w:rPr>
        <w:t>Section I.C. </w:t>
      </w:r>
      <w:r>
        <w:rPr/>
        <w:t>at each building.</w:t>
      </w:r>
    </w:p>
    <w:p>
      <w:pPr>
        <w:pStyle w:val="BodyText"/>
        <w:spacing w:before="8"/>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59" w:val="left" w:leader="none"/>
        </w:tabs>
        <w:spacing w:line="242" w:lineRule="auto" w:before="0" w:after="0"/>
        <w:ind w:left="1299" w:right="220" w:firstLine="0"/>
        <w:jc w:val="left"/>
        <w:rPr>
          <w:sz w:val="20"/>
        </w:rPr>
      </w:pPr>
      <w:r>
        <w:rPr>
          <w:b/>
          <w:sz w:val="20"/>
        </w:rPr>
        <w:t>Newly</w:t>
      </w:r>
      <w:r>
        <w:rPr>
          <w:b/>
          <w:spacing w:val="37"/>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6"/>
          <w:sz w:val="20"/>
        </w:rPr>
        <w:t> </w:t>
      </w:r>
      <w:r>
        <w:rPr>
          <w:b/>
          <w:sz w:val="20"/>
        </w:rPr>
        <w:t>Property</w:t>
      </w:r>
      <w:r>
        <w:rPr>
          <w:b/>
          <w:spacing w:val="33"/>
          <w:sz w:val="20"/>
        </w:rPr>
        <w:t> </w:t>
      </w:r>
      <w:r>
        <w:rPr>
          <w:sz w:val="20"/>
        </w:rPr>
        <w:t>of</w:t>
      </w:r>
      <w:r>
        <w:rPr>
          <w:spacing w:val="38"/>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6" w:val="left" w:leader="none"/>
          <w:tab w:pos="1659" w:val="left" w:leader="none"/>
        </w:tabs>
        <w:spacing w:line="228" w:lineRule="auto" w:before="197" w:after="0"/>
        <w:ind w:left="1659"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1"/>
        <w:rPr>
          <w:sz w:val="18"/>
        </w:rPr>
      </w:pPr>
    </w:p>
    <w:p>
      <w:pPr>
        <w:pStyle w:val="BodyText"/>
        <w:spacing w:line="235" w:lineRule="auto"/>
        <w:ind w:left="2019" w:right="218"/>
        <w:jc w:val="both"/>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1"/>
        <w:ind w:left="2019"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09" w:val="left" w:leader="none"/>
          <w:tab w:pos="1660" w:val="left" w:leader="none"/>
        </w:tabs>
        <w:spacing w:line="228" w:lineRule="auto" w:before="0" w:after="0"/>
        <w:ind w:left="1660" w:right="215"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9"/>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17"/>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1"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7" w:val="left" w:leader="none"/>
          <w:tab w:pos="2020" w:val="left" w:leader="none"/>
        </w:tabs>
        <w:spacing w:line="228" w:lineRule="auto" w:before="1" w:after="0"/>
        <w:ind w:left="2020"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1"/>
        </w:numPr>
        <w:tabs>
          <w:tab w:pos="2016" w:val="left" w:leader="none"/>
          <w:tab w:pos="2019" w:val="left" w:leader="none"/>
        </w:tabs>
        <w:spacing w:line="228" w:lineRule="auto" w:before="1" w:after="0"/>
        <w:ind w:left="2019"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pStyle w:val="BodyText"/>
        <w:spacing w:before="10"/>
        <w:rPr>
          <w:sz w:val="17"/>
        </w:rPr>
      </w:pPr>
    </w:p>
    <w:p>
      <w:pPr>
        <w:pStyle w:val="BodyText"/>
        <w:spacing w:line="228" w:lineRule="auto"/>
        <w:ind w:left="2019"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1" w:after="0"/>
        <w:ind w:left="1660" w:right="213" w:hanging="360"/>
        <w:jc w:val="both"/>
        <w:rPr>
          <w:b/>
          <w:sz w:val="20"/>
        </w:rPr>
      </w:pPr>
      <w:r>
        <w:rPr>
          <w:sz w:val="20"/>
        </w:rPr>
        <w:t>The most we will pay for loss or damage under this Extension is the Property Off- Premises limit shown in </w:t>
      </w:r>
      <w:r>
        <w:rPr>
          <w:b/>
          <w:sz w:val="20"/>
        </w:rPr>
        <w:t>Section I.C.</w:t>
      </w:r>
    </w:p>
    <w:p>
      <w:pPr>
        <w:spacing w:after="0" w:line="240" w:lineRule="auto"/>
        <w:jc w:val="both"/>
        <w:rPr>
          <w:sz w:val="20"/>
        </w:rPr>
        <w:sectPr>
          <w:footerReference w:type="default" r:id="rId14"/>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3"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7" w:val="left" w:leader="none"/>
        </w:tabs>
        <w:spacing w:line="240" w:lineRule="auto" w:before="190"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20"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 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1" w:after="0"/>
        <w:ind w:left="2376" w:right="0" w:hanging="357"/>
        <w:jc w:val="left"/>
        <w:rPr>
          <w:sz w:val="20"/>
        </w:rPr>
      </w:pPr>
      <w:r>
        <w:rPr>
          <w:spacing w:val="-2"/>
          <w:sz w:val="20"/>
        </w:rPr>
        <w:t>Explosion;</w:t>
      </w:r>
    </w:p>
    <w:p>
      <w:pPr>
        <w:pStyle w:val="BodyText"/>
        <w:spacing w:before="4"/>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6"/>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spacing w:after="0" w:line="252" w:lineRule="auto"/>
        <w:jc w:val="left"/>
        <w:rPr>
          <w:sz w:val="20"/>
        </w:rPr>
        <w:sectPr>
          <w:footerReference w:type="default" r:id="rId1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4"/>
        <w:rPr>
          <w:b/>
          <w:sz w:val="17"/>
        </w:rPr>
      </w:pPr>
    </w:p>
    <w:p>
      <w:pPr>
        <w:pStyle w:val="Heading1"/>
        <w:spacing w:before="1"/>
      </w:pPr>
      <w:r>
        <w:rPr/>
        <w:t>Fine</w:t>
      </w:r>
      <w:r>
        <w:rPr>
          <w:spacing w:val="-2"/>
        </w:rPr>
        <w:t> </w:t>
      </w:r>
      <w:r>
        <w:rPr>
          <w:spacing w:val="-4"/>
        </w:rPr>
        <w:t>Arts</w:t>
      </w:r>
    </w:p>
    <w:p>
      <w:pPr>
        <w:pStyle w:val="BodyText"/>
        <w:spacing w:before="11"/>
        <w:rPr>
          <w:b/>
          <w:sz w:val="17"/>
        </w:rPr>
      </w:pPr>
    </w:p>
    <w:p>
      <w:pPr>
        <w:pStyle w:val="BodyText"/>
        <w:spacing w:line="249" w:lineRule="auto"/>
        <w:ind w:left="1659"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8"/>
        <w:rPr>
          <w:sz w:val="17"/>
        </w:rPr>
      </w:pPr>
    </w:p>
    <w:p>
      <w:pPr>
        <w:pStyle w:val="BodyText"/>
        <w:spacing w:line="249" w:lineRule="auto"/>
        <w:ind w:left="1660" w:right="219" w:hanging="1"/>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spacing w:before="2"/>
        <w:rPr>
          <w:b/>
          <w:sz w:val="18"/>
        </w:rPr>
      </w:pPr>
    </w:p>
    <w:p>
      <w:pPr>
        <w:pStyle w:val="BodyText"/>
        <w:spacing w:line="249"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before="6"/>
        <w:rPr>
          <w:sz w:val="17"/>
        </w:rPr>
      </w:pPr>
    </w:p>
    <w:p>
      <w:pPr>
        <w:pStyle w:val="BodyText"/>
        <w:spacing w:line="249" w:lineRule="auto"/>
        <w:ind w:left="1659" w:right="219"/>
        <w:jc w:val="both"/>
        <w:rPr>
          <w:b/>
        </w:rPr>
      </w:pPr>
      <w:r>
        <w:rPr/>
        <w:t>The most we will pay for loss or damage under this Extension is the Salespersons 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7" w:val="left" w:leader="none"/>
          <w:tab w:pos="2020" w:val="left" w:leader="none"/>
        </w:tabs>
        <w:spacing w:line="252" w:lineRule="auto" w:before="0" w:after="0"/>
        <w:ind w:left="2020"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7" w:val="left" w:leader="none"/>
        </w:tabs>
        <w:spacing w:line="240" w:lineRule="auto" w:before="0" w:after="0"/>
        <w:ind w:left="23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7" w:val="left" w:leader="none"/>
          <w:tab w:pos="2380" w:val="left" w:leader="none"/>
        </w:tabs>
        <w:spacing w:line="249" w:lineRule="auto" w:before="0" w:after="0"/>
        <w:ind w:left="2380"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hanging="1"/>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6"/>
        <w:rPr>
          <w:b/>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spacing w:after="0" w:line="249" w:lineRule="auto"/>
        <w:jc w:val="both"/>
        <w:sectPr>
          <w:footerReference w:type="default" r:id="rId16"/>
          <w:pgSz w:w="12240" w:h="15840"/>
          <w:pgMar w:footer="844" w:header="0" w:top="136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7"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5"/>
        <w:rPr>
          <w:sz w:val="17"/>
        </w:rPr>
      </w:pPr>
    </w:p>
    <w:p>
      <w:pPr>
        <w:pStyle w:val="ListParagraph"/>
        <w:numPr>
          <w:ilvl w:val="1"/>
          <w:numId w:val="15"/>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0"/>
          <w:numId w:val="15"/>
        </w:numPr>
        <w:tabs>
          <w:tab w:pos="2019" w:val="left" w:leader="none"/>
          <w:tab w:pos="2021" w:val="left" w:leader="none"/>
        </w:tabs>
        <w:spacing w:line="249"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7"/>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3"/>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rPr>
          <w:sz w:val="18"/>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1"/>
        <w:rPr>
          <w:sz w:val="18"/>
        </w:rPr>
      </w:pPr>
    </w:p>
    <w:p>
      <w:pPr>
        <w:pStyle w:val="BodyText"/>
        <w:spacing w:line="249" w:lineRule="auto" w:before="1"/>
        <w:ind w:left="1658" w:right="218"/>
        <w:jc w:val="both"/>
        <w:rPr>
          <w:b/>
        </w:rPr>
      </w:pPr>
      <w:r>
        <w:rPr/>
        <w:t>The most we will pay for loss or damage under this Extension is the Off Premises Utility Failure – Damage to Covered Property limit shown in </w:t>
      </w:r>
      <w:r>
        <w:rPr>
          <w:b/>
        </w:rPr>
        <w:t>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ind w:left="1658" w:right="217"/>
        <w:jc w:val="both"/>
        <w:rPr>
          <w:b/>
        </w:rPr>
      </w:pPr>
      <w:r>
        <w:rPr/>
        <w:t>The most we will pay for loss or damage under this Extension is the Retaining Walls limit shown in </w:t>
      </w:r>
      <w:r>
        <w:rPr>
          <w:b/>
        </w:rPr>
        <w:t>Section I.C.</w:t>
      </w:r>
    </w:p>
    <w:p>
      <w:pPr>
        <w:pStyle w:val="BodyText"/>
        <w:spacing w:before="6"/>
        <w:rPr>
          <w:b/>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52" w:lineRule="auto"/>
        <w:jc w:val="both"/>
        <w:sectPr>
          <w:footerReference w:type="default" r:id="rId17"/>
          <w:pgSz w:w="12240" w:h="15840"/>
          <w:pgMar w:footer="844" w:header="0" w:top="1380" w:bottom="1040" w:left="1220" w:right="1220"/>
        </w:sectPr>
      </w:pPr>
    </w:p>
    <w:p>
      <w:pPr>
        <w:pStyle w:val="BodyText"/>
        <w:spacing w:line="249" w:lineRule="auto" w:before="64"/>
        <w:ind w:left="1660" w:right="218"/>
        <w:jc w:val="both"/>
        <w:rPr>
          <w:b/>
        </w:rPr>
      </w:pPr>
      <w:r>
        <w:rPr/>
        <w:t>The most we will pay for loss or damage under this Extension is the Undamaged Leasehold Improvements limit shown in </w:t>
      </w:r>
      <w:r>
        <w:rPr>
          <w:b/>
        </w:rPr>
        <w:t>Section I.C.</w:t>
      </w:r>
    </w:p>
    <w:p>
      <w:pPr>
        <w:pStyle w:val="Heading1"/>
        <w:spacing w:before="194"/>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9"/>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ind w:left="1659"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spacing w:before="1"/>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6" w:val="left" w:leader="none"/>
          <w:tab w:pos="2019" w:val="left" w:leader="none"/>
        </w:tabs>
        <w:spacing w:line="249" w:lineRule="auto" w:before="0" w:after="0"/>
        <w:ind w:left="2019" w:right="221" w:hanging="360"/>
        <w:jc w:val="both"/>
        <w:rPr>
          <w:sz w:val="20"/>
        </w:rPr>
      </w:pPr>
      <w:r>
        <w:rPr>
          <w:sz w:val="20"/>
        </w:rPr>
        <w:t>At a location that is under a United States Department of State travel or trade restriction at the time of loss or damage; or</w:t>
      </w:r>
    </w:p>
    <w:p>
      <w:pPr>
        <w:pStyle w:val="BodyText"/>
        <w:spacing w:before="6"/>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59" w:right="218"/>
        <w:jc w:val="both"/>
        <w:rPr>
          <w:b/>
        </w:rPr>
      </w:pPr>
      <w:r>
        <w:rPr/>
        <w:t>The most we will pay for loss or damage under this Extension is the Worldwide Laptop Coverage limit shown in </w:t>
      </w:r>
      <w:r>
        <w:rPr>
          <w:b/>
        </w:rPr>
        <w:t>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6" w:val="left" w:leader="none"/>
          <w:tab w:pos="2019" w:val="left" w:leader="none"/>
        </w:tabs>
        <w:spacing w:line="240" w:lineRule="auto" w:before="198"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6" w:val="left" w:leader="none"/>
        </w:tabs>
        <w:spacing w:line="240" w:lineRule="auto" w:before="0"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43"/>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3"/>
        </w:rPr>
        <w:t> </w:t>
      </w:r>
      <w:r>
        <w:rPr/>
        <w:t>Coverage </w:t>
      </w:r>
      <w:r>
        <w:rPr>
          <w:spacing w:val="-2"/>
        </w:rPr>
        <w:t>Form.</w:t>
      </w:r>
    </w:p>
    <w:p>
      <w:pPr>
        <w:pStyle w:val="BodyText"/>
        <w:spacing w:before="7"/>
        <w:rPr>
          <w:sz w:val="17"/>
        </w:rPr>
      </w:pPr>
    </w:p>
    <w:p>
      <w:pPr>
        <w:pStyle w:val="BodyText"/>
        <w:spacing w:line="252" w:lineRule="auto" w:before="1"/>
        <w:ind w:left="1659" w:right="216"/>
        <w:jc w:val="both"/>
        <w:rPr>
          <w:b/>
        </w:rPr>
      </w:pPr>
      <w:r>
        <w:rPr/>
        <w:t>The most we will pay for loss or damage under this Extension is the Extra Expense limit shown in </w:t>
      </w:r>
      <w:r>
        <w:rPr>
          <w:b/>
        </w:rPr>
        <w:t>Section I.C.</w:t>
      </w:r>
    </w:p>
    <w:p>
      <w:pPr>
        <w:spacing w:after="0" w:line="252" w:lineRule="auto"/>
        <w:jc w:val="both"/>
        <w:sectPr>
          <w:footerReference w:type="default" r:id="rId18"/>
          <w:pgSz w:w="12240" w:h="15840"/>
          <w:pgMar w:footer="844" w:header="0" w:top="1380" w:bottom="1040" w:left="1220" w:right="1220"/>
        </w:sectPr>
      </w:pPr>
    </w:p>
    <w:p>
      <w:pPr>
        <w:pStyle w:val="Heading1"/>
        <w:spacing w:before="77"/>
        <w:ind w:left="1300"/>
      </w:pPr>
      <w:r>
        <w:rPr/>
        <w:t>Expediting</w:t>
      </w:r>
      <w:r>
        <w:rPr>
          <w:spacing w:val="-14"/>
        </w:rPr>
        <w:t> </w:t>
      </w:r>
      <w:r>
        <w:rPr>
          <w:spacing w:val="-2"/>
        </w:rPr>
        <w:t>Expenses</w:t>
      </w:r>
    </w:p>
    <w:p>
      <w:pPr>
        <w:pStyle w:val="BodyText"/>
        <w:spacing w:before="6"/>
        <w:rPr>
          <w:b/>
          <w:sz w:val="17"/>
        </w:rPr>
      </w:pPr>
    </w:p>
    <w:p>
      <w:pPr>
        <w:pStyle w:val="BodyText"/>
        <w:spacing w:before="1"/>
        <w:ind w:left="16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2"/>
          <w:sz w:val="20"/>
        </w:rPr>
        <w:t> </w:t>
      </w:r>
      <w:r>
        <w:rPr>
          <w:sz w:val="20"/>
        </w:rPr>
        <w:t>repairs;</w:t>
      </w:r>
      <w:r>
        <w:rPr>
          <w:spacing w:val="-7"/>
          <w:sz w:val="20"/>
        </w:rPr>
        <w:t> </w:t>
      </w:r>
      <w:r>
        <w:rPr>
          <w:spacing w:val="-5"/>
          <w:sz w:val="20"/>
        </w:rPr>
        <w:t>and</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59"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59" w:right="243"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7"/>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7" w:val="left" w:leader="none"/>
          <w:tab w:pos="1299" w:val="left" w:leader="none"/>
        </w:tabs>
        <w:spacing w:line="230" w:lineRule="auto" w:before="0"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299"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299"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8"/>
        <w:rPr>
          <w:b/>
          <w:sz w:val="17"/>
        </w:rPr>
      </w:pPr>
    </w:p>
    <w:p>
      <w:pPr>
        <w:pStyle w:val="BodyText"/>
        <w:spacing w:line="249" w:lineRule="auto" w:before="1"/>
        <w:ind w:left="1659" w:right="243"/>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0" w:after="0"/>
        <w:ind w:left="2739"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739" w:val="left" w:leader="none"/>
          <w:tab w:pos="2751" w:val="left" w:leader="none"/>
        </w:tabs>
        <w:spacing w:line="249" w:lineRule="auto" w:before="0" w:after="0"/>
        <w:ind w:left="2739"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before="1"/>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1"/>
        </w:numPr>
        <w:tabs>
          <w:tab w:pos="2735" w:val="left" w:leader="none"/>
          <w:tab w:pos="2738" w:val="left" w:leader="none"/>
        </w:tabs>
        <w:spacing w:line="249"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6"/>
        <w:rPr>
          <w:sz w:val="17"/>
        </w:rPr>
      </w:pPr>
    </w:p>
    <w:p>
      <w:pPr>
        <w:pStyle w:val="ListParagraph"/>
        <w:numPr>
          <w:ilvl w:val="0"/>
          <w:numId w:val="20"/>
        </w:numPr>
        <w:tabs>
          <w:tab w:pos="2016" w:val="left" w:leader="none"/>
          <w:tab w:pos="2018" w:val="left" w:leader="none"/>
        </w:tabs>
        <w:spacing w:line="249"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2015" w:val="left" w:leader="none"/>
          <w:tab w:pos="2018" w:val="left" w:leader="none"/>
        </w:tabs>
        <w:spacing w:line="252" w:lineRule="auto" w:before="0" w:after="0"/>
        <w:ind w:left="2018" w:right="219" w:hanging="361"/>
        <w:jc w:val="left"/>
        <w:rPr>
          <w:sz w:val="20"/>
        </w:rPr>
      </w:pPr>
      <w:r>
        <w:rPr>
          <w:sz w:val="20"/>
        </w:rPr>
        <w:t>Fine</w:t>
      </w:r>
      <w:r>
        <w:rPr>
          <w:spacing w:val="39"/>
          <w:sz w:val="20"/>
        </w:rPr>
        <w:t> </w:t>
      </w:r>
      <w:r>
        <w:rPr>
          <w:sz w:val="20"/>
        </w:rPr>
        <w:t>arts</w:t>
      </w:r>
      <w:r>
        <w:rPr>
          <w:spacing w:val="40"/>
          <w:sz w:val="20"/>
        </w:rPr>
        <w:t> </w:t>
      </w:r>
      <w:r>
        <w:rPr>
          <w:sz w:val="20"/>
        </w:rPr>
        <w:t>are</w:t>
      </w:r>
      <w:r>
        <w:rPr>
          <w:spacing w:val="39"/>
          <w:sz w:val="20"/>
        </w:rPr>
        <w:t> </w:t>
      </w:r>
      <w:r>
        <w:rPr>
          <w:sz w:val="20"/>
        </w:rPr>
        <w:t>valued</w:t>
      </w:r>
      <w:r>
        <w:rPr>
          <w:spacing w:val="39"/>
          <w:sz w:val="20"/>
        </w:rPr>
        <w:t> </w:t>
      </w:r>
      <w:r>
        <w:rPr>
          <w:sz w:val="20"/>
        </w:rPr>
        <w:t>at</w:t>
      </w:r>
      <w:r>
        <w:rPr>
          <w:spacing w:val="39"/>
          <w:sz w:val="20"/>
        </w:rPr>
        <w:t> </w:t>
      </w:r>
      <w:r>
        <w:rPr>
          <w:sz w:val="20"/>
        </w:rPr>
        <w:t>the</w:t>
      </w:r>
      <w:r>
        <w:rPr>
          <w:spacing w:val="39"/>
          <w:sz w:val="20"/>
        </w:rPr>
        <w:t> </w:t>
      </w:r>
      <w:r>
        <w:rPr>
          <w:sz w:val="20"/>
        </w:rPr>
        <w:t>appraised</w:t>
      </w:r>
      <w:r>
        <w:rPr>
          <w:spacing w:val="39"/>
          <w:sz w:val="20"/>
        </w:rPr>
        <w:t> </w:t>
      </w:r>
      <w:r>
        <w:rPr>
          <w:sz w:val="20"/>
        </w:rPr>
        <w:t>value</w:t>
      </w:r>
      <w:r>
        <w:rPr>
          <w:spacing w:val="39"/>
          <w:sz w:val="20"/>
        </w:rPr>
        <w:t> </w:t>
      </w:r>
      <w:r>
        <w:rPr>
          <w:sz w:val="20"/>
        </w:rPr>
        <w:t>at</w:t>
      </w:r>
      <w:r>
        <w:rPr>
          <w:spacing w:val="39"/>
          <w:sz w:val="20"/>
        </w:rPr>
        <w:t> </w:t>
      </w:r>
      <w:r>
        <w:rPr>
          <w:sz w:val="20"/>
        </w:rPr>
        <w:t>the</w:t>
      </w:r>
      <w:r>
        <w:rPr>
          <w:spacing w:val="39"/>
          <w:sz w:val="20"/>
        </w:rPr>
        <w:t> </w:t>
      </w:r>
      <w:r>
        <w:rPr>
          <w:sz w:val="20"/>
        </w:rPr>
        <w:t>time</w:t>
      </w:r>
      <w:r>
        <w:rPr>
          <w:spacing w:val="39"/>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9"/>
          <w:sz w:val="20"/>
        </w:rPr>
        <w:t> </w:t>
      </w:r>
      <w:r>
        <w:rPr>
          <w:sz w:val="20"/>
        </w:rPr>
        <w:t>is</w:t>
      </w:r>
      <w:r>
        <w:rPr>
          <w:spacing w:val="40"/>
          <w:sz w:val="20"/>
        </w:rPr>
        <w:t> </w:t>
      </w:r>
      <w:r>
        <w:rPr>
          <w:sz w:val="20"/>
        </w:rPr>
        <w:t>no appraisal at the greater of:</w:t>
      </w:r>
    </w:p>
    <w:p>
      <w:pPr>
        <w:pStyle w:val="BodyText"/>
        <w:spacing w:before="3"/>
        <w:rPr>
          <w:sz w:val="17"/>
        </w:rPr>
      </w:pPr>
    </w:p>
    <w:p>
      <w:pPr>
        <w:pStyle w:val="ListParagraph"/>
        <w:numPr>
          <w:ilvl w:val="1"/>
          <w:numId w:val="20"/>
        </w:numPr>
        <w:tabs>
          <w:tab w:pos="2380" w:val="left" w:leader="none"/>
        </w:tabs>
        <w:spacing w:line="240" w:lineRule="auto" w:before="1" w:after="0"/>
        <w:ind w:left="2380"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0" w:val="left" w:leader="none"/>
        </w:tabs>
        <w:spacing w:line="240" w:lineRule="auto" w:before="0" w:after="0"/>
        <w:ind w:left="2380"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spacing w:after="0" w:line="240"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8" w:val="left" w:leader="none"/>
        </w:tabs>
        <w:spacing w:line="240" w:lineRule="auto" w:before="64"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1"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7"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0"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3"/>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1"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0" w:after="0"/>
        <w:ind w:left="2019" w:right="218"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0"/>
        </w:numPr>
        <w:tabs>
          <w:tab w:pos="2379" w:val="left" w:leader="none"/>
          <w:tab w:pos="2381" w:val="left" w:leader="none"/>
        </w:tabs>
        <w:spacing w:line="249" w:lineRule="auto" w:before="0"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52" w:lineRule="auto"/>
        <w:ind w:left="2379"/>
      </w:pPr>
      <w:r>
        <w:rPr/>
        <w:t>We will not pay for data and programs that cannot be reproduced due to lack of backup,</w:t>
      </w:r>
      <w:r>
        <w:rPr>
          <w:spacing w:val="-7"/>
        </w:rPr>
        <w:t> </w:t>
      </w:r>
      <w:r>
        <w:rPr/>
        <w:t>support</w:t>
      </w:r>
      <w:r>
        <w:rPr>
          <w:spacing w:val="-7"/>
        </w:rPr>
        <w:t> </w:t>
      </w:r>
      <w:r>
        <w:rPr/>
        <w:t>documentation</w:t>
      </w:r>
      <w:r>
        <w:rPr>
          <w:spacing w:val="-7"/>
        </w:rPr>
        <w:t> </w:t>
      </w:r>
      <w:r>
        <w:rPr/>
        <w:t>or</w:t>
      </w:r>
      <w:r>
        <w:rPr>
          <w:spacing w:val="-5"/>
        </w:rPr>
        <w:t> </w:t>
      </w:r>
      <w:r>
        <w:rPr/>
        <w:t>records</w:t>
      </w:r>
      <w:r>
        <w:rPr>
          <w:spacing w:val="-5"/>
        </w:rPr>
        <w:t> </w:t>
      </w:r>
      <w:r>
        <w:rPr/>
        <w:t>unless</w:t>
      </w:r>
      <w:r>
        <w:rPr>
          <w:spacing w:val="-5"/>
        </w:rPr>
        <w:t> </w:t>
      </w:r>
      <w:r>
        <w:rPr/>
        <w:t>specified</w:t>
      </w:r>
      <w:r>
        <w:rPr>
          <w:spacing w:val="-7"/>
        </w:rPr>
        <w:t> </w:t>
      </w:r>
      <w:r>
        <w:rPr/>
        <w:t>articles</w:t>
      </w:r>
      <w:r>
        <w:rPr>
          <w:spacing w:val="-5"/>
        </w:rPr>
        <w:t> </w:t>
      </w:r>
      <w:r>
        <w:rPr/>
        <w:t>are</w:t>
      </w:r>
      <w:r>
        <w:rPr>
          <w:spacing w:val="-7"/>
        </w:rPr>
        <w:t> </w:t>
      </w:r>
      <w:r>
        <w:rPr>
          <w:spacing w:val="-2"/>
        </w:rPr>
        <w:t>described</w:t>
      </w:r>
    </w:p>
    <w:p>
      <w:pPr>
        <w:spacing w:after="0" w:line="252" w:lineRule="auto"/>
        <w:sectPr>
          <w:footerReference w:type="default" r:id="rId21"/>
          <w:pgSz w:w="12240" w:h="15840"/>
          <w:pgMar w:footer="844" w:header="0" w:top="1380" w:bottom="1040" w:left="1220" w:right="1220"/>
        </w:sectPr>
      </w:pPr>
    </w:p>
    <w:p>
      <w:pPr>
        <w:pStyle w:val="BodyText"/>
        <w:spacing w:line="249" w:lineRule="auto" w:before="64"/>
        <w:ind w:left="2380"/>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380" w:val="left" w:leader="none"/>
          <w:tab w:pos="2382" w:val="left" w:leader="none"/>
        </w:tabs>
        <w:spacing w:line="249" w:lineRule="auto" w:before="1" w:after="0"/>
        <w:ind w:left="2380"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0"/>
        </w:numPr>
        <w:tabs>
          <w:tab w:pos="2017" w:val="left" w:leader="none"/>
          <w:tab w:pos="2020" w:val="left" w:leader="none"/>
        </w:tabs>
        <w:spacing w:line="252" w:lineRule="auto" w:before="0" w:after="0"/>
        <w:ind w:left="2020" w:right="219" w:hanging="361"/>
        <w:jc w:val="both"/>
        <w:rPr>
          <w:sz w:val="20"/>
        </w:rPr>
      </w:pPr>
      <w:r>
        <w:rPr>
          <w:sz w:val="20"/>
        </w:rPr>
        <w:t>At the actual cash value as of the time of loss or damage, if actual cash value is shown in the Declarations.</w:t>
      </w:r>
    </w:p>
    <w:p>
      <w:pPr>
        <w:pStyle w:val="BodyText"/>
        <w:spacing w:before="3"/>
        <w:rPr>
          <w:sz w:val="17"/>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0"/>
        </w:numPr>
        <w:tabs>
          <w:tab w:pos="2377" w:val="left" w:leader="none"/>
        </w:tabs>
        <w:spacing w:line="240" w:lineRule="auto" w:before="1"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4"/>
        <w:rPr>
          <w:sz w:val="18"/>
        </w:rPr>
      </w:pPr>
    </w:p>
    <w:p>
      <w:pPr>
        <w:pStyle w:val="ListParagraph"/>
        <w:numPr>
          <w:ilvl w:val="1"/>
          <w:numId w:val="20"/>
        </w:numPr>
        <w:tabs>
          <w:tab w:pos="2377" w:val="left" w:leader="none"/>
          <w:tab w:pos="2380" w:val="left" w:leader="none"/>
        </w:tabs>
        <w:spacing w:line="249" w:lineRule="auto" w:before="0" w:after="0"/>
        <w:ind w:left="2380"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7" w:val="left" w:leader="none"/>
          <w:tab w:pos="2740" w:val="left" w:leader="none"/>
        </w:tabs>
        <w:spacing w:line="249" w:lineRule="auto" w:before="1" w:after="0"/>
        <w:ind w:left="2740" w:right="220" w:hanging="360"/>
        <w:jc w:val="left"/>
        <w:rPr>
          <w:sz w:val="20"/>
        </w:rPr>
      </w:pPr>
      <w:r>
        <w:rPr>
          <w:sz w:val="20"/>
        </w:rPr>
        <w:t>Multiply the original cost by the number of days from the loss or damage to the expiration of the lease; and</w:t>
      </w:r>
    </w:p>
    <w:p>
      <w:pPr>
        <w:pStyle w:val="BodyText"/>
        <w:spacing w:before="5"/>
        <w:rPr>
          <w:sz w:val="17"/>
        </w:rPr>
      </w:pPr>
    </w:p>
    <w:p>
      <w:pPr>
        <w:pStyle w:val="ListParagraph"/>
        <w:numPr>
          <w:ilvl w:val="2"/>
          <w:numId w:val="20"/>
        </w:numPr>
        <w:tabs>
          <w:tab w:pos="2737" w:val="left" w:leader="none"/>
          <w:tab w:pos="2740" w:val="left" w:leader="none"/>
        </w:tabs>
        <w:spacing w:line="252" w:lineRule="auto" w:before="0" w:after="0"/>
        <w:ind w:left="2740" w:right="215"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3"/>
        <w:rPr>
          <w:sz w:val="17"/>
        </w:rPr>
      </w:pPr>
    </w:p>
    <w:p>
      <w:pPr>
        <w:pStyle w:val="BodyText"/>
        <w:spacing w:line="249" w:lineRule="auto"/>
        <w:ind w:left="2380"/>
      </w:pPr>
      <w:r>
        <w:rPr/>
        <w:t>If</w:t>
      </w:r>
      <w:r>
        <w:rPr>
          <w:spacing w:val="40"/>
        </w:rPr>
        <w:t> </w:t>
      </w:r>
      <w:r>
        <w:rPr/>
        <w:t>your</w:t>
      </w:r>
      <w:r>
        <w:rPr>
          <w:spacing w:val="40"/>
        </w:rPr>
        <w:t> </w:t>
      </w:r>
      <w:r>
        <w:rPr/>
        <w:t>lease</w:t>
      </w:r>
      <w:r>
        <w:rPr>
          <w:spacing w:val="40"/>
        </w:rPr>
        <w:t> </w:t>
      </w:r>
      <w:r>
        <w:rPr/>
        <w:t>contains</w:t>
      </w:r>
      <w:r>
        <w:rPr>
          <w:spacing w:val="40"/>
        </w:rPr>
        <w:t> </w:t>
      </w:r>
      <w:r>
        <w:rPr/>
        <w:t>a</w:t>
      </w:r>
      <w:r>
        <w:rPr>
          <w:spacing w:val="40"/>
        </w:rPr>
        <w:t> </w:t>
      </w:r>
      <w:r>
        <w:rPr/>
        <w:t>renewal</w:t>
      </w:r>
      <w:r>
        <w:rPr>
          <w:spacing w:val="40"/>
        </w:rPr>
        <w:t> </w:t>
      </w:r>
      <w:r>
        <w:rPr/>
        <w:t>option,</w:t>
      </w:r>
      <w:r>
        <w:rPr>
          <w:spacing w:val="40"/>
        </w:rPr>
        <w:t> </w:t>
      </w:r>
      <w:r>
        <w:rPr/>
        <w:t>the</w:t>
      </w:r>
      <w:r>
        <w:rPr>
          <w:spacing w:val="40"/>
        </w:rPr>
        <w:t> </w:t>
      </w:r>
      <w:r>
        <w:rPr/>
        <w:t>expiration</w:t>
      </w:r>
      <w:r>
        <w:rPr>
          <w:spacing w:val="40"/>
        </w:rPr>
        <w:t> </w:t>
      </w:r>
      <w:r>
        <w:rPr/>
        <w:t>of</w:t>
      </w:r>
      <w:r>
        <w:rPr>
          <w:spacing w:val="40"/>
        </w:rPr>
        <w:t> </w:t>
      </w:r>
      <w:r>
        <w:rPr/>
        <w:t>the</w:t>
      </w:r>
      <w:r>
        <w:rPr>
          <w:spacing w:val="40"/>
        </w:rPr>
        <w:t> </w:t>
      </w:r>
      <w:r>
        <w:rPr/>
        <w:t>renewal</w:t>
      </w:r>
      <w:r>
        <w:rPr>
          <w:spacing w:val="40"/>
        </w:rPr>
        <w:t> </w:t>
      </w:r>
      <w:r>
        <w:rPr/>
        <w:t>option period will replace the expiration of the lease in this procedure.</w:t>
      </w:r>
    </w:p>
    <w:p>
      <w:pPr>
        <w:pStyle w:val="BodyText"/>
        <w:spacing w:before="6"/>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7"/>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right="2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5"/>
        <w:rPr>
          <w:sz w:val="17"/>
        </w:rPr>
      </w:pPr>
    </w:p>
    <w:p>
      <w:pPr>
        <w:pStyle w:val="ListParagraph"/>
        <w:numPr>
          <w:ilvl w:val="3"/>
          <w:numId w:val="1"/>
        </w:numPr>
        <w:tabs>
          <w:tab w:pos="2018" w:val="left" w:leader="none"/>
          <w:tab w:pos="2020" w:val="left" w:leader="none"/>
        </w:tabs>
        <w:spacing w:line="252"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line="249" w:lineRule="auto" w:before="197"/>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pStyle w:val="BodyText"/>
        <w:spacing w:before="9"/>
        <w:rPr>
          <w:b/>
          <w:sz w:val="17"/>
        </w:rPr>
      </w:pPr>
    </w:p>
    <w:p>
      <w:pPr>
        <w:pStyle w:val="BodyText"/>
        <w:spacing w:line="249" w:lineRule="auto"/>
        <w:ind w:left="1660" w:right="217"/>
        <w:jc w:val="both"/>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20"/>
        <w:jc w:val="both"/>
      </w:pPr>
      <w:r>
        <w:rPr/>
        <w:t>Consequential damages means the loss of value of a part or parts of your product that</w:t>
      </w:r>
      <w:r>
        <w:rPr>
          <w:spacing w:val="40"/>
        </w:rPr>
        <w:t> </w:t>
      </w:r>
      <w:r>
        <w:rPr/>
        <w:t>are not physically damaged and are unmarketable as a complete product.</w:t>
      </w:r>
    </w:p>
    <w:p>
      <w:pPr>
        <w:spacing w:after="0" w:line="252" w:lineRule="auto"/>
        <w:jc w:val="both"/>
        <w:sectPr>
          <w:footerReference w:type="default" r:id="rId22"/>
          <w:pgSz w:w="12240" w:h="15840"/>
          <w:pgMar w:footer="844" w:header="0" w:top="1380" w:bottom="1040" w:left="1220" w:right="1220"/>
        </w:sectPr>
      </w:pPr>
    </w:p>
    <w:p>
      <w:pPr>
        <w:pStyle w:val="Heading1"/>
        <w:spacing w:before="70"/>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59" w:right="3692"/>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2074" w:val="left" w:leader="none"/>
        </w:tabs>
        <w:spacing w:line="240" w:lineRule="auto" w:before="0" w:after="0"/>
        <w:ind w:left="2074"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4"/>
        <w:rPr>
          <w:sz w:val="18"/>
        </w:rPr>
      </w:pPr>
    </w:p>
    <w:p>
      <w:pPr>
        <w:pStyle w:val="ListParagraph"/>
        <w:numPr>
          <w:ilvl w:val="0"/>
          <w:numId w:val="22"/>
        </w:numPr>
        <w:tabs>
          <w:tab w:pos="2017" w:val="left" w:leader="none"/>
        </w:tabs>
        <w:spacing w:line="240" w:lineRule="auto" w:before="0" w:after="0"/>
        <w:ind w:left="2017"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1"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5"/>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7" w:val="left" w:leader="none"/>
        </w:tabs>
        <w:spacing w:line="240" w:lineRule="auto" w:before="0" w:after="0"/>
        <w:ind w:left="12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rPr>
          <w:sz w:val="18"/>
        </w:rPr>
      </w:pPr>
    </w:p>
    <w:p>
      <w:pPr>
        <w:pStyle w:val="BodyText"/>
        <w:spacing w:line="228"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299"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8"/>
        <w:rPr>
          <w:sz w:val="17"/>
        </w:rPr>
      </w:pPr>
    </w:p>
    <w:p>
      <w:pPr>
        <w:pStyle w:val="BodyText"/>
        <w:spacing w:line="228" w:lineRule="auto" w:before="1"/>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ind w:left="1299" w:right="218"/>
        <w:jc w:val="both"/>
      </w:pPr>
      <w:r>
        <w:rPr/>
        <w:t>“Securities” means negotiable and non-negotiable instruments or contracts representing either “money” or property and includes:</w:t>
      </w:r>
    </w:p>
    <w:p>
      <w:pPr>
        <w:pStyle w:val="BodyText"/>
        <w:spacing w:before="6"/>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2016" w:val="left" w:leader="none"/>
          <w:tab w:pos="2019" w:val="left" w:leader="none"/>
        </w:tabs>
        <w:spacing w:line="252"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9"/>
        <w:rPr>
          <w:sz w:val="17"/>
        </w:rPr>
      </w:pPr>
    </w:p>
    <w:p>
      <w:pPr>
        <w:pStyle w:val="BodyText"/>
        <w:spacing w:line="228" w:lineRule="auto"/>
        <w:ind w:left="1299" w:right="217" w:hanging="1"/>
        <w:jc w:val="both"/>
      </w:pPr>
      <w:r>
        <w:rPr>
          <w:b/>
        </w:rPr>
        <w:t>“</w:t>
      </w:r>
      <w:r>
        <w:rPr/>
        <w:t>Shipping document</w:t>
      </w:r>
      <w:r>
        <w:rPr>
          <w:b/>
        </w:rPr>
        <w:t>” </w:t>
      </w:r>
      <w:r>
        <w:rPr/>
        <w:t>means a tariff document, bill of lading, shipping receipt, freight bill or contract for services.</w:t>
      </w:r>
    </w:p>
    <w:p>
      <w:pPr>
        <w:pStyle w:val="BodyText"/>
        <w:spacing w:before="8"/>
        <w:rPr>
          <w:sz w:val="17"/>
        </w:rPr>
      </w:pPr>
    </w:p>
    <w:p>
      <w:pPr>
        <w:pStyle w:val="BodyText"/>
        <w:spacing w:line="228" w:lineRule="auto"/>
        <w:ind w:left="1299" w:right="219"/>
        <w:jc w:val="both"/>
      </w:pPr>
      <w:r>
        <w:rPr/>
        <w:t>“Storage document” means a warehouse receipt, storage receipt, inventory</w:t>
      </w:r>
      <w:r>
        <w:rPr>
          <w:spacing w:val="-3"/>
        </w:rPr>
        <w:t> </w:t>
      </w:r>
      <w:r>
        <w:rPr/>
        <w:t>control document or master storage agreement.</w:t>
      </w:r>
    </w:p>
    <w:p>
      <w:pPr>
        <w:spacing w:after="0" w:line="228" w:lineRule="auto"/>
        <w:jc w:val="both"/>
        <w:sectPr>
          <w:footerReference w:type="default" r:id="rId23"/>
          <w:pgSz w:w="12240" w:h="15840"/>
          <w:pgMar w:footer="844" w:header="0" w:top="1360" w:bottom="1040" w:left="1220" w:right="1220"/>
        </w:sectPr>
      </w:pPr>
    </w:p>
    <w:p>
      <w:pPr>
        <w:pStyle w:val="BodyText"/>
        <w:spacing w:line="228" w:lineRule="auto" w:before="79"/>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24" w:lineRule="exact"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7" w:val="left" w:leader="none"/>
        </w:tabs>
        <w:spacing w:line="224" w:lineRule="exact" w:before="0" w:after="0"/>
        <w:ind w:left="2017"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spacing w:before="1"/>
        <w:ind w:left="16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2017" w:val="left" w:leader="none"/>
          <w:tab w:pos="2019" w:val="left" w:leader="none"/>
        </w:tabs>
        <w:spacing w:line="242"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88"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7"/>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6"/>
        <w:rPr>
          <w:sz w:val="17"/>
        </w:rPr>
      </w:pPr>
    </w:p>
    <w:p>
      <w:pPr>
        <w:pStyle w:val="BodyText"/>
        <w:ind w:left="1659" w:right="215"/>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59" w:right="243"/>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4"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BodyText"/>
        <w:spacing w:before="4"/>
        <w:rPr>
          <w:sz w:val="17"/>
        </w:rPr>
      </w:pPr>
    </w:p>
    <w:p>
      <w:pPr>
        <w:pStyle w:val="ListParagraph"/>
        <w:numPr>
          <w:ilvl w:val="2"/>
          <w:numId w:val="26"/>
        </w:numPr>
        <w:tabs>
          <w:tab w:pos="2736" w:val="left" w:leader="none"/>
          <w:tab w:pos="2739" w:val="left" w:leader="none"/>
        </w:tabs>
        <w:spacing w:line="228" w:lineRule="auto" w:before="0" w:after="0"/>
        <w:ind w:left="2739" w:right="220"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spacing w:after="0" w:line="228" w:lineRule="auto"/>
        <w:jc w:val="both"/>
        <w:rPr>
          <w:sz w:val="20"/>
        </w:rPr>
        <w:sectPr>
          <w:footerReference w:type="default" r:id="rId24"/>
          <w:pgSz w:w="12240" w:h="15840"/>
          <w:pgMar w:footer="844" w:header="0" w:top="1360" w:bottom="1040" w:left="1220" w:right="1220"/>
        </w:sectPr>
      </w:pPr>
    </w:p>
    <w:p>
      <w:pPr>
        <w:pStyle w:val="ListParagraph"/>
        <w:numPr>
          <w:ilvl w:val="2"/>
          <w:numId w:val="26"/>
        </w:numPr>
        <w:tabs>
          <w:tab w:pos="2736" w:val="left" w:leader="none"/>
          <w:tab w:pos="2739" w:val="left" w:leader="none"/>
        </w:tabs>
        <w:spacing w:line="228" w:lineRule="auto" w:before="79"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626" w:val="left" w:leader="none"/>
          <w:tab w:pos="1660" w:val="left" w:leader="none"/>
        </w:tabs>
        <w:spacing w:line="240" w:lineRule="auto" w:before="0"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6"/>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7"/>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rPr>
          <w:sz w:val="18"/>
        </w:rPr>
      </w:pPr>
    </w:p>
    <w:p>
      <w:pPr>
        <w:pStyle w:val="ListParagraph"/>
        <w:numPr>
          <w:ilvl w:val="2"/>
          <w:numId w:val="1"/>
        </w:numPr>
        <w:tabs>
          <w:tab w:pos="1298" w:val="left" w:leader="none"/>
          <w:tab w:pos="1300" w:val="left" w:leader="none"/>
        </w:tabs>
        <w:spacing w:line="249" w:lineRule="auto" w:before="0" w:after="0"/>
        <w:ind w:left="1300" w:right="219"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60"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1"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6"/>
        <w:ind w:left="2019" w:right="243"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5"/>
        <w:rPr>
          <w:b/>
          <w:sz w:val="18"/>
        </w:rPr>
      </w:pPr>
    </w:p>
    <w:p>
      <w:pPr>
        <w:pStyle w:val="ListParagraph"/>
        <w:numPr>
          <w:ilvl w:val="0"/>
          <w:numId w:val="29"/>
        </w:numPr>
        <w:tabs>
          <w:tab w:pos="2016" w:val="left" w:leader="none"/>
          <w:tab w:pos="2019" w:val="left" w:leader="none"/>
        </w:tabs>
        <w:spacing w:line="249" w:lineRule="auto" w:before="0" w:after="0"/>
        <w:ind w:left="2019"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before="7"/>
        <w:rPr>
          <w:sz w:val="17"/>
        </w:rPr>
      </w:pPr>
    </w:p>
    <w:p>
      <w:pPr>
        <w:pStyle w:val="BodyText"/>
        <w:spacing w:line="249" w:lineRule="auto"/>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5"/>
        <w:rPr>
          <w:sz w:val="18"/>
        </w:rPr>
      </w:pPr>
    </w:p>
    <w:p>
      <w:pPr>
        <w:pStyle w:val="ListParagraph"/>
        <w:numPr>
          <w:ilvl w:val="1"/>
          <w:numId w:val="29"/>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3"/>
        <w:rPr>
          <w:sz w:val="17"/>
        </w:rPr>
      </w:pPr>
    </w:p>
    <w:p>
      <w:pPr>
        <w:pStyle w:val="ListParagraph"/>
        <w:numPr>
          <w:ilvl w:val="1"/>
          <w:numId w:val="29"/>
        </w:numPr>
        <w:tabs>
          <w:tab w:pos="2391" w:val="left" w:leader="none"/>
        </w:tabs>
        <w:spacing w:line="240" w:lineRule="auto" w:before="1"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2"/>
        <w:rPr>
          <w:sz w:val="18"/>
        </w:rPr>
      </w:pPr>
    </w:p>
    <w:p>
      <w:pPr>
        <w:pStyle w:val="ListParagraph"/>
        <w:numPr>
          <w:ilvl w:val="0"/>
          <w:numId w:val="29"/>
        </w:numPr>
        <w:tabs>
          <w:tab w:pos="2015" w:val="left" w:leader="none"/>
          <w:tab w:pos="2018" w:val="left" w:leader="none"/>
        </w:tabs>
        <w:spacing w:line="249" w:lineRule="auto" w:before="0" w:after="0"/>
        <w:ind w:left="2018"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5"/>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5"/>
        <w:rPr>
          <w:sz w:val="18"/>
        </w:rPr>
      </w:pPr>
    </w:p>
    <w:p>
      <w:pPr>
        <w:pStyle w:val="ListParagraph"/>
        <w:numPr>
          <w:ilvl w:val="1"/>
          <w:numId w:val="29"/>
        </w:numPr>
        <w:tabs>
          <w:tab w:pos="2375" w:val="left" w:leader="none"/>
          <w:tab w:pos="2378" w:val="left" w:leader="none"/>
        </w:tabs>
        <w:spacing w:line="249" w:lineRule="auto" w:before="0" w:after="0"/>
        <w:ind w:left="2378" w:right="216"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29"/>
        </w:numPr>
        <w:tabs>
          <w:tab w:pos="2375" w:val="left" w:leader="none"/>
          <w:tab w:pos="2378" w:val="left" w:leader="none"/>
        </w:tabs>
        <w:spacing w:line="249" w:lineRule="auto" w:before="0"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5"/>
        <w:rPr>
          <w:sz w:val="17"/>
        </w:rPr>
      </w:pPr>
    </w:p>
    <w:p>
      <w:pPr>
        <w:pStyle w:val="BodyText"/>
        <w:spacing w:line="252" w:lineRule="auto" w:before="1"/>
        <w:ind w:left="2018" w:right="220"/>
        <w:jc w:val="both"/>
      </w:pPr>
      <w:r>
        <w:rPr/>
        <w:t>"Period of restoration" does not include any increased period required due to the enforcement of any ordinance or law that:</w:t>
      </w:r>
    </w:p>
    <w:p>
      <w:pPr>
        <w:pStyle w:val="BodyText"/>
        <w:spacing w:before="3"/>
        <w:rPr>
          <w:sz w:val="17"/>
        </w:rPr>
      </w:pPr>
    </w:p>
    <w:p>
      <w:pPr>
        <w:pStyle w:val="ListParagraph"/>
        <w:numPr>
          <w:ilvl w:val="0"/>
          <w:numId w:val="30"/>
        </w:numPr>
        <w:tabs>
          <w:tab w:pos="2375" w:val="left" w:leader="none"/>
          <w:tab w:pos="2378" w:val="left" w:leader="none"/>
        </w:tabs>
        <w:spacing w:line="249" w:lineRule="auto" w:before="0" w:after="0"/>
        <w:ind w:left="2378" w:right="218" w:hanging="360"/>
        <w:jc w:val="both"/>
        <w:rPr>
          <w:sz w:val="20"/>
        </w:rPr>
      </w:pPr>
      <w:r>
        <w:rPr>
          <w:sz w:val="20"/>
        </w:rPr>
        <w:t>Regulates the construction, use or repair, or requires the tearing down, of any property; or</w:t>
      </w:r>
    </w:p>
    <w:p>
      <w:pPr>
        <w:spacing w:after="0" w:line="249" w:lineRule="auto"/>
        <w:jc w:val="both"/>
        <w:rPr>
          <w:sz w:val="20"/>
        </w:rPr>
        <w:sectPr>
          <w:footerReference w:type="default" r:id="rId26"/>
          <w:pgSz w:w="12240" w:h="15840"/>
          <w:pgMar w:footer="844" w:header="0" w:top="1380" w:bottom="1040" w:left="1220" w:right="1220"/>
        </w:sectPr>
      </w:pPr>
    </w:p>
    <w:p>
      <w:pPr>
        <w:pStyle w:val="ListParagraph"/>
        <w:numPr>
          <w:ilvl w:val="0"/>
          <w:numId w:val="30"/>
        </w:numPr>
        <w:tabs>
          <w:tab w:pos="2376" w:val="left" w:leader="none"/>
          <w:tab w:pos="2379" w:val="left" w:leader="none"/>
        </w:tabs>
        <w:spacing w:line="249" w:lineRule="auto" w:before="64"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6"/>
        <w:rPr>
          <w:sz w:val="17"/>
        </w:rPr>
      </w:pPr>
    </w:p>
    <w:p>
      <w:pPr>
        <w:pStyle w:val="BodyText"/>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52" w:lineRule="auto" w:before="1"/>
        <w:ind w:left="1660"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Heading1"/>
        <w:spacing w:before="194"/>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ListParagraph"/>
        <w:numPr>
          <w:ilvl w:val="1"/>
          <w:numId w:val="31"/>
        </w:numPr>
        <w:tabs>
          <w:tab w:pos="2376" w:val="left" w:leader="none"/>
          <w:tab w:pos="2379" w:val="left" w:leader="none"/>
        </w:tabs>
        <w:spacing w:line="249" w:lineRule="auto" w:before="192"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1000"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21" w:hanging="360"/>
        <w:jc w:val="both"/>
        <w:rPr>
          <w:sz w:val="20"/>
        </w:rPr>
      </w:pPr>
      <w:r>
        <w:rPr>
          <w:sz w:val="20"/>
        </w:rPr>
        <w:t>Power Supply Property, meaning the following types of property supplying electricity, steam, or gas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spacing w:before="1"/>
        <w:ind w:left="1001" w:right="1181"/>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1"/>
        <w:rPr>
          <w:sz w:val="18"/>
        </w:rPr>
      </w:pPr>
    </w:p>
    <w:p>
      <w:pPr>
        <w:pStyle w:val="ListParagraph"/>
        <w:numPr>
          <w:ilvl w:val="0"/>
          <w:numId w:val="31"/>
        </w:numPr>
        <w:tabs>
          <w:tab w:pos="2019" w:val="left" w:leader="none"/>
          <w:tab w:pos="2021" w:val="left" w:leader="none"/>
        </w:tabs>
        <w:spacing w:line="252" w:lineRule="auto" w:before="1"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Heading1"/>
        <w:spacing w:before="195"/>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2"/>
        <w:rPr>
          <w:b/>
          <w:sz w:val="18"/>
        </w:rPr>
      </w:pPr>
    </w:p>
    <w:p>
      <w:pPr>
        <w:pStyle w:val="BodyText"/>
        <w:spacing w:line="252" w:lineRule="auto" w:before="1"/>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5"/>
        <w:ind w:left="1659" w:right="220"/>
        <w:jc w:val="both"/>
        <w:rPr>
          <w:b/>
        </w:rPr>
      </w:pPr>
      <w:r>
        <w:rPr/>
        <w:t>The most we will pay for loss or damage under this Coverage Extension is the Contract Penalty limit shown in </w:t>
      </w:r>
      <w:r>
        <w:rPr>
          <w:b/>
        </w:rPr>
        <w:t>Section I.C.</w:t>
      </w:r>
    </w:p>
    <w:p>
      <w:pPr>
        <w:pStyle w:val="BodyText"/>
        <w:spacing w:before="6"/>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pStyle w:val="BodyText"/>
        <w:spacing w:before="3"/>
        <w:rPr>
          <w:sz w:val="17"/>
        </w:rPr>
      </w:pPr>
    </w:p>
    <w:p>
      <w:pPr>
        <w:pStyle w:val="BodyText"/>
        <w:spacing w:line="249" w:lineRule="auto" w:before="1"/>
        <w:ind w:left="1660" w:right="243"/>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5"/>
        <w:rPr>
          <w:sz w:val="18"/>
        </w:rPr>
      </w:pPr>
    </w:p>
    <w:p>
      <w:pPr>
        <w:pStyle w:val="ListParagraph"/>
        <w:numPr>
          <w:ilvl w:val="0"/>
          <w:numId w:val="32"/>
        </w:numPr>
        <w:tabs>
          <w:tab w:pos="2107" w:val="left" w:leader="none"/>
          <w:tab w:pos="2110" w:val="left" w:leader="none"/>
        </w:tabs>
        <w:spacing w:line="249" w:lineRule="auto" w:before="0" w:after="0"/>
        <w:ind w:left="2110" w:right="215" w:hanging="452"/>
        <w:jc w:val="both"/>
        <w:rPr>
          <w:sz w:val="20"/>
        </w:rPr>
      </w:pPr>
      <w:r>
        <w:rPr>
          <w:sz w:val="20"/>
        </w:rPr>
        <w:t>The repair or reconstruction of Covered Property at the premises can be shown to</w:t>
      </w:r>
      <w:r>
        <w:rPr>
          <w:spacing w:val="40"/>
          <w:sz w:val="20"/>
        </w:rPr>
        <w:t> </w:t>
      </w:r>
      <w:r>
        <w:rPr>
          <w:sz w:val="20"/>
        </w:rPr>
        <w:t>be the cause of such real estate tax increase.</w:t>
      </w:r>
    </w:p>
    <w:p>
      <w:pPr>
        <w:spacing w:after="0" w:line="249" w:lineRule="auto"/>
        <w:jc w:val="both"/>
        <w:rPr>
          <w:sz w:val="20"/>
        </w:rPr>
        <w:sectPr>
          <w:footerReference w:type="default" r:id="rId28"/>
          <w:pgSz w:w="12240" w:h="15840"/>
          <w:pgMar w:footer="844" w:header="0" w:top="1380" w:bottom="1040" w:left="1220" w:right="1220"/>
        </w:sectPr>
      </w:pPr>
    </w:p>
    <w:p>
      <w:pPr>
        <w:pStyle w:val="BodyText"/>
        <w:spacing w:before="64"/>
        <w:ind w:left="751" w:right="1181"/>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2017" w:val="left" w:leader="none"/>
        </w:tabs>
        <w:spacing w:line="240" w:lineRule="auto" w:before="1" w:after="0"/>
        <w:ind w:left="2017"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1" w:val="left" w:leader="none"/>
        </w:tabs>
        <w:spacing w:line="240" w:lineRule="auto" w:before="194"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49" w:lineRule="auto" w:before="1"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line="249" w:lineRule="auto" w:before="197"/>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8" w:val="left" w:leader="none"/>
        </w:tabs>
        <w:spacing w:line="240" w:lineRule="auto" w:before="70" w:after="0"/>
        <w:ind w:left="938"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34"/>
        </w:numPr>
        <w:tabs>
          <w:tab w:pos="1656" w:val="left" w:leader="none"/>
          <w:tab w:pos="1659" w:val="left" w:leader="none"/>
        </w:tabs>
        <w:spacing w:line="252"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1"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4"/>
        </w:numPr>
        <w:tabs>
          <w:tab w:pos="1656" w:val="left" w:leader="none"/>
          <w:tab w:pos="1659" w:val="left" w:leader="none"/>
        </w:tabs>
        <w:spacing w:line="249"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4"/>
        <w:rPr>
          <w:sz w:val="17"/>
        </w:rPr>
      </w:pPr>
    </w:p>
    <w:p>
      <w:pPr>
        <w:pStyle w:val="BodyText"/>
        <w:spacing w:line="249" w:lineRule="auto"/>
        <w:ind w:left="1299"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28" w:lineRule="auto" w:before="196"/>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3"/>
        <w:rPr>
          <w:sz w:val="18"/>
        </w:rPr>
      </w:pPr>
    </w:p>
    <w:p>
      <w:pPr>
        <w:pStyle w:val="BodyText"/>
        <w:spacing w:before="1"/>
        <w:ind w:left="9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656" w:val="left" w:leader="none"/>
          <w:tab w:pos="1659" w:val="left" w:leader="none"/>
        </w:tabs>
        <w:spacing w:line="252"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4"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spacing w:before="1"/>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4" w:header="0" w:top="1360" w:bottom="1040" w:left="1220" w:right="1220"/>
        </w:sectPr>
      </w:pPr>
    </w:p>
    <w:p>
      <w:pPr>
        <w:pStyle w:val="ListParagraph"/>
        <w:numPr>
          <w:ilvl w:val="1"/>
          <w:numId w:val="35"/>
        </w:numPr>
        <w:tabs>
          <w:tab w:pos="2017" w:val="left" w:leader="none"/>
        </w:tabs>
        <w:spacing w:line="240" w:lineRule="auto" w:before="79"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1"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3"/>
        <w:rPr>
          <w:sz w:val="17"/>
        </w:rPr>
      </w:pPr>
    </w:p>
    <w:p>
      <w:pPr>
        <w:pStyle w:val="BodyText"/>
        <w:spacing w:line="228" w:lineRule="auto" w:before="1"/>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5"/>
        <w:rPr>
          <w:sz w:val="17"/>
        </w:rPr>
      </w:pPr>
    </w:p>
    <w:p>
      <w:pPr>
        <w:pStyle w:val="BodyText"/>
        <w:spacing w:line="228" w:lineRule="auto" w:before="1"/>
        <w:ind w:left="939"/>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4"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9"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657" w:val="left" w:leader="none"/>
          <w:tab w:pos="1660" w:val="left" w:leader="none"/>
        </w:tabs>
        <w:spacing w:line="240" w:lineRule="auto" w:before="0" w:after="0"/>
        <w:ind w:left="1660" w:right="216" w:hanging="361"/>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7"/>
        <w:rPr>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8" w:val="left" w:leader="none"/>
          <w:tab w:pos="1660" w:val="left" w:leader="none"/>
        </w:tabs>
        <w:spacing w:line="235"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8"/>
        <w:rPr>
          <w:b/>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5"/>
        <w:rPr>
          <w:sz w:val="17"/>
        </w:rPr>
      </w:pPr>
    </w:p>
    <w:p>
      <w:pPr>
        <w:pStyle w:val="ListParagraph"/>
        <w:numPr>
          <w:ilvl w:val="1"/>
          <w:numId w:val="1"/>
        </w:numPr>
        <w:tabs>
          <w:tab w:pos="917" w:val="left" w:leader="none"/>
        </w:tabs>
        <w:spacing w:line="240" w:lineRule="auto" w:before="0"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spacing w:after="0" w:line="228" w:lineRule="auto"/>
        <w:jc w:val="both"/>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49"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4"/>
        <w:rPr>
          <w:sz w:val="18"/>
        </w:rPr>
      </w:pPr>
    </w:p>
    <w:p>
      <w:pPr>
        <w:pStyle w:val="BodyText"/>
        <w:spacing w:line="249" w:lineRule="auto" w:before="1"/>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5"/>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5"/>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3"/>
        <w:rPr>
          <w:sz w:val="18"/>
        </w:rPr>
      </w:pPr>
    </w:p>
    <w:p>
      <w:pPr>
        <w:pStyle w:val="BodyText"/>
        <w:spacing w:line="252"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line="249" w:lineRule="auto" w:before="197"/>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49"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6"/>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5"/>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52"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3"/>
        <w:rPr>
          <w:sz w:val="17"/>
        </w:rPr>
      </w:pPr>
    </w:p>
    <w:p>
      <w:pPr>
        <w:pStyle w:val="ListParagraph"/>
        <w:numPr>
          <w:ilvl w:val="2"/>
          <w:numId w:val="37"/>
        </w:numPr>
        <w:tabs>
          <w:tab w:pos="2378" w:val="left" w:leader="none"/>
          <w:tab w:pos="2380" w:val="left" w:leader="none"/>
        </w:tabs>
        <w:spacing w:line="249" w:lineRule="auto" w:before="0" w:after="0"/>
        <w:ind w:left="2378" w:right="2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7"/>
        </w:numPr>
        <w:tabs>
          <w:tab w:pos="2015" w:val="left" w:leader="none"/>
          <w:tab w:pos="2018" w:val="left" w:leader="none"/>
        </w:tabs>
        <w:spacing w:line="249" w:lineRule="auto" w:before="0"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8" w:right="243"/>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spacing w:after="0" w:line="252" w:lineRule="auto"/>
        <w:sectPr>
          <w:footerReference w:type="default" r:id="rId33"/>
          <w:pgSz w:w="12240" w:h="15840"/>
          <w:pgMar w:footer="844" w:header="0" w:top="1380" w:bottom="1040" w:left="1220" w:right="1220"/>
        </w:sectPr>
      </w:pPr>
    </w:p>
    <w:p>
      <w:pPr>
        <w:pStyle w:val="ListParagraph"/>
        <w:numPr>
          <w:ilvl w:val="0"/>
          <w:numId w:val="37"/>
        </w:numPr>
        <w:tabs>
          <w:tab w:pos="1658" w:val="left" w:leader="none"/>
        </w:tabs>
        <w:spacing w:line="240" w:lineRule="auto" w:before="64" w:after="0"/>
        <w:ind w:left="1658"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49" w:lineRule="auto"/>
        <w:ind w:left="1660" w:right="219"/>
        <w:jc w:val="both"/>
      </w:pPr>
      <w:r>
        <w:rPr/>
        <w:t>We will pay for loss, damage or expense caused by or resulting from an “accident” to “computer equipment”.</w:t>
      </w:r>
    </w:p>
    <w:p>
      <w:pPr>
        <w:pStyle w:val="BodyText"/>
        <w:spacing w:before="6"/>
        <w:rPr>
          <w:sz w:val="17"/>
        </w:rPr>
      </w:pPr>
    </w:p>
    <w:p>
      <w:pPr>
        <w:pStyle w:val="BodyText"/>
        <w:spacing w:line="252" w:lineRule="auto"/>
        <w:ind w:left="1660" w:right="217"/>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ListParagraph"/>
        <w:numPr>
          <w:ilvl w:val="0"/>
          <w:numId w:val="37"/>
        </w:numPr>
        <w:tabs>
          <w:tab w:pos="1658" w:val="left" w:leader="none"/>
        </w:tabs>
        <w:spacing w:line="240" w:lineRule="auto" w:before="196"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49" w:lineRule="auto"/>
        <w:ind w:left="1660" w:right="218"/>
        <w:jc w:val="both"/>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52" w:lineRule="auto"/>
        <w:ind w:left="1660" w:right="217"/>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ListParagraph"/>
        <w:numPr>
          <w:ilvl w:val="0"/>
          <w:numId w:val="37"/>
        </w:numPr>
        <w:tabs>
          <w:tab w:pos="1659" w:val="left" w:leader="none"/>
        </w:tabs>
        <w:spacing w:line="240" w:lineRule="auto" w:before="198" w:after="0"/>
        <w:ind w:left="1659" w:right="0" w:hanging="359"/>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49" w:lineRule="auto" w:before="0" w:after="0"/>
        <w:ind w:left="2019" w:right="216"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BodyText"/>
        <w:rPr>
          <w:sz w:val="18"/>
        </w:rPr>
      </w:pPr>
    </w:p>
    <w:p>
      <w:pPr>
        <w:pStyle w:val="ListParagraph"/>
        <w:numPr>
          <w:ilvl w:val="1"/>
          <w:numId w:val="37"/>
        </w:numPr>
        <w:tabs>
          <w:tab w:pos="2019" w:val="left" w:leader="none"/>
          <w:tab w:pos="2021" w:val="left" w:leader="none"/>
        </w:tabs>
        <w:spacing w:line="252" w:lineRule="auto" w:before="0"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ListParagraph"/>
        <w:numPr>
          <w:ilvl w:val="1"/>
          <w:numId w:val="37"/>
        </w:numPr>
        <w:tabs>
          <w:tab w:pos="2019" w:val="left" w:leader="none"/>
          <w:tab w:pos="2021" w:val="left" w:leader="none"/>
        </w:tabs>
        <w:spacing w:line="249" w:lineRule="auto" w:before="197" w:after="0"/>
        <w:ind w:left="2019" w:right="215"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ind w:left="1659" w:right="243"/>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before="1"/>
        <w:ind w:left="1659" w:right="243"/>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49"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5"/>
        <w:rPr>
          <w:sz w:val="17"/>
        </w:rPr>
      </w:pPr>
    </w:p>
    <w:p>
      <w:pPr>
        <w:pStyle w:val="ListParagraph"/>
        <w:numPr>
          <w:ilvl w:val="0"/>
          <w:numId w:val="38"/>
        </w:numPr>
        <w:tabs>
          <w:tab w:pos="1657" w:val="left" w:leader="none"/>
          <w:tab w:pos="1659" w:val="left" w:leader="none"/>
        </w:tabs>
        <w:spacing w:line="252"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spacing w:after="0" w:line="252" w:lineRule="auto"/>
        <w:jc w:val="both"/>
        <w:rPr>
          <w:sz w:val="20"/>
        </w:rPr>
        <w:sectPr>
          <w:footerReference w:type="default" r:id="rId34"/>
          <w:pgSz w:w="12240" w:h="15840"/>
          <w:pgMar w:footer="844" w:header="0" w:top="1380" w:bottom="1040" w:left="1220" w:right="1220"/>
        </w:sectPr>
      </w:pPr>
    </w:p>
    <w:p>
      <w:pPr>
        <w:pStyle w:val="ListParagraph"/>
        <w:numPr>
          <w:ilvl w:val="0"/>
          <w:numId w:val="38"/>
        </w:numPr>
        <w:tabs>
          <w:tab w:pos="1658" w:val="left" w:leader="none"/>
        </w:tabs>
        <w:spacing w:line="240" w:lineRule="auto" w:before="64"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2017" w:val="left" w:leader="none"/>
        </w:tabs>
        <w:spacing w:line="240" w:lineRule="auto" w:before="1"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4"/>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8"/>
        <w:rPr>
          <w:sz w:val="17"/>
        </w:rPr>
      </w:pPr>
    </w:p>
    <w:p>
      <w:pPr>
        <w:pStyle w:val="ListParagraph"/>
        <w:numPr>
          <w:ilvl w:val="2"/>
          <w:numId w:val="1"/>
        </w:numPr>
        <w:tabs>
          <w:tab w:pos="1298" w:val="left" w:leader="none"/>
          <w:tab w:pos="1300" w:val="left" w:leader="none"/>
        </w:tabs>
        <w:spacing w:line="252" w:lineRule="auto" w:before="0"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2"/>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2"/>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4"/>
        <w:rPr>
          <w:sz w:val="18"/>
        </w:rPr>
      </w:pPr>
    </w:p>
    <w:p>
      <w:pPr>
        <w:pStyle w:val="BodyText"/>
        <w:spacing w:line="249" w:lineRule="auto"/>
        <w:ind w:left="1660" w:right="215"/>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2"/>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4"/>
        <w:rPr>
          <w:sz w:val="18"/>
        </w:rPr>
      </w:pPr>
    </w:p>
    <w:p>
      <w:pPr>
        <w:pStyle w:val="BodyText"/>
        <w:spacing w:line="249" w:lineRule="auto" w:before="1"/>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6"/>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2"/>
        <w:rPr>
          <w:sz w:val="18"/>
        </w:rPr>
      </w:pPr>
    </w:p>
    <w:p>
      <w:pPr>
        <w:pStyle w:val="BodyText"/>
        <w:spacing w:line="252"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ListParagraph"/>
        <w:numPr>
          <w:ilvl w:val="0"/>
          <w:numId w:val="39"/>
        </w:numPr>
        <w:tabs>
          <w:tab w:pos="1658" w:val="left" w:leader="none"/>
        </w:tabs>
        <w:spacing w:line="240" w:lineRule="auto" w:before="196"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7"/>
        <w:rPr>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4" w:header="0" w:top="1380" w:bottom="1040" w:left="1220" w:right="1220"/>
        </w:sectPr>
      </w:pPr>
    </w:p>
    <w:p>
      <w:pPr>
        <w:pStyle w:val="BodyText"/>
        <w:spacing w:before="79"/>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7" w:val="left" w:leader="none"/>
        </w:tabs>
        <w:spacing w:line="240" w:lineRule="auto" w:before="195" w:after="0"/>
        <w:ind w:left="2017" w:right="0" w:hanging="358"/>
        <w:jc w:val="left"/>
      </w:pPr>
      <w:r>
        <w:rPr/>
        <w:t>Property</w:t>
      </w:r>
      <w:r>
        <w:rPr>
          <w:spacing w:val="-11"/>
        </w:rPr>
        <w:t> </w:t>
      </w:r>
      <w:r>
        <w:rPr/>
        <w:t>In</w:t>
      </w:r>
      <w:r>
        <w:rPr>
          <w:spacing w:val="-4"/>
        </w:rPr>
        <w:t> </w:t>
      </w:r>
      <w:r>
        <w:rPr>
          <w:spacing w:val="-2"/>
        </w:rPr>
        <w:t>Transit</w:t>
      </w:r>
    </w:p>
    <w:p>
      <w:pPr>
        <w:pStyle w:val="BodyText"/>
        <w:spacing w:before="4"/>
        <w:rPr>
          <w:b/>
          <w:sz w:val="18"/>
        </w:rPr>
      </w:pPr>
    </w:p>
    <w:p>
      <w:pPr>
        <w:pStyle w:val="BodyText"/>
        <w:spacing w:line="249" w:lineRule="auto"/>
        <w:ind w:left="2075" w:right="243"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377" w:val="left" w:leader="none"/>
          <w:tab w:pos="2379" w:val="left" w:leader="none"/>
        </w:tabs>
        <w:spacing w:line="252" w:lineRule="auto" w:before="1" w:after="0"/>
        <w:ind w:left="2379" w:right="218"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81"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5"/>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557" w:val="left" w:leader="none"/>
          <w:tab w:pos="2560" w:val="left" w:leader="none"/>
        </w:tabs>
        <w:spacing w:line="228" w:lineRule="auto" w:before="0"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0"/>
        </w:numPr>
        <w:tabs>
          <w:tab w:pos="2378" w:val="left" w:leader="none"/>
          <w:tab w:pos="2380" w:val="left" w:leader="none"/>
        </w:tabs>
        <w:spacing w:line="228" w:lineRule="auto" w:before="0" w:after="0"/>
        <w:ind w:left="2380"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spacing w:before="1"/>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ListParagraph"/>
        <w:numPr>
          <w:ilvl w:val="2"/>
          <w:numId w:val="1"/>
        </w:numPr>
        <w:tabs>
          <w:tab w:pos="1936" w:val="left" w:leader="none"/>
        </w:tabs>
        <w:spacing w:line="240" w:lineRule="auto" w:before="197" w:after="0"/>
        <w:ind w:left="1936" w:right="616" w:hanging="276"/>
        <w:jc w:val="left"/>
        <w:rPr>
          <w:sz w:val="20"/>
        </w:rPr>
      </w:pPr>
      <w:r>
        <w:rPr>
          <w:b/>
          <w:sz w:val="20"/>
        </w:rPr>
        <w:t>Section</w:t>
      </w:r>
      <w:r>
        <w:rPr>
          <w:b/>
          <w:spacing w:val="-5"/>
          <w:sz w:val="20"/>
        </w:rPr>
        <w:t> </w:t>
      </w:r>
      <w:r>
        <w:rPr>
          <w:b/>
          <w:sz w:val="20"/>
        </w:rPr>
        <w:t>F.</w:t>
      </w:r>
      <w:r>
        <w:rPr>
          <w:b/>
          <w:spacing w:val="-1"/>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1"/>
        <w:rPr>
          <w:sz w:val="18"/>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3"/>
        <w:rPr>
          <w:sz w:val="17"/>
        </w:rPr>
      </w:pPr>
    </w:p>
    <w:p>
      <w:pPr>
        <w:pStyle w:val="BodyText"/>
        <w:spacing w:line="249" w:lineRule="auto"/>
        <w:ind w:left="2020" w:right="243"/>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ind w:left="2020" w:right="243"/>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spacing w:after="0" w:line="249" w:lineRule="auto"/>
        <w:sectPr>
          <w:footerReference w:type="default" r:id="rId36"/>
          <w:pgSz w:w="12240" w:h="15840"/>
          <w:pgMar w:footer="844" w:header="0" w:top="1360" w:bottom="1040" w:left="1220" w:right="1220"/>
        </w:sectPr>
      </w:pPr>
    </w:p>
    <w:p>
      <w:pPr>
        <w:pStyle w:val="Heading1"/>
        <w:spacing w:before="64"/>
        <w:ind w:left="2020"/>
        <w:jc w:val="both"/>
      </w:pPr>
      <w:r>
        <w:rPr/>
        <w:t>Water</w:t>
      </w:r>
      <w:r>
        <w:rPr>
          <w:spacing w:val="-9"/>
        </w:rPr>
        <w:t> </w:t>
      </w:r>
      <w:r>
        <w:rPr>
          <w:spacing w:val="-2"/>
        </w:rPr>
        <w:t>Seepage</w:t>
      </w:r>
    </w:p>
    <w:p>
      <w:pPr>
        <w:pStyle w:val="BodyText"/>
        <w:spacing w:before="2"/>
        <w:rPr>
          <w:b/>
          <w:sz w:val="18"/>
        </w:rPr>
      </w:pPr>
    </w:p>
    <w:p>
      <w:pPr>
        <w:pStyle w:val="BodyText"/>
        <w:spacing w:line="249" w:lineRule="auto"/>
        <w:ind w:left="2020" w:right="218" w:hanging="1"/>
        <w:jc w:val="both"/>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4"/>
        <w:rPr>
          <w:sz w:val="18"/>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3"/>
        <w:rPr>
          <w:sz w:val="18"/>
        </w:rPr>
      </w:pPr>
    </w:p>
    <w:p>
      <w:pPr>
        <w:pStyle w:val="BodyText"/>
        <w:spacing w:line="249" w:lineRule="auto"/>
        <w:ind w:left="2020" w:right="221"/>
        <w:jc w:val="both"/>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2020" w:right="217"/>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4"/>
        <w:rPr>
          <w:sz w:val="18"/>
        </w:rPr>
      </w:pPr>
    </w:p>
    <w:p>
      <w:pPr>
        <w:pStyle w:val="Heading1"/>
        <w:ind w:left="2020"/>
        <w:jc w:val="both"/>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3"/>
        <w:rPr>
          <w:sz w:val="17"/>
        </w:rPr>
      </w:pPr>
    </w:p>
    <w:p>
      <w:pPr>
        <w:pStyle w:val="ListParagraph"/>
        <w:numPr>
          <w:ilvl w:val="0"/>
          <w:numId w:val="42"/>
        </w:numPr>
        <w:tabs>
          <w:tab w:pos="2737" w:val="left" w:leader="none"/>
          <w:tab w:pos="2740" w:val="left" w:leader="none"/>
        </w:tabs>
        <w:spacing w:line="228" w:lineRule="auto" w:before="0" w:after="0"/>
        <w:ind w:left="2740" w:right="221"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7" w:val="left" w:leader="none"/>
        </w:tabs>
        <w:spacing w:line="240" w:lineRule="auto" w:before="194"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Water.</w:t>
      </w:r>
    </w:p>
    <w:p>
      <w:pPr>
        <w:pStyle w:val="BodyText"/>
        <w:spacing w:before="4"/>
        <w:rPr>
          <w:sz w:val="17"/>
        </w:rPr>
      </w:pPr>
    </w:p>
    <w:p>
      <w:pPr>
        <w:pStyle w:val="ListParagraph"/>
        <w:numPr>
          <w:ilvl w:val="0"/>
          <w:numId w:val="42"/>
        </w:numPr>
        <w:tabs>
          <w:tab w:pos="2737" w:val="left" w:leader="none"/>
          <w:tab w:pos="2740" w:val="left" w:leader="none"/>
        </w:tabs>
        <w:spacing w:line="228" w:lineRule="auto" w:before="0" w:after="0"/>
        <w:ind w:left="2740" w:right="921"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100" w:val="left" w:leader="none"/>
          <w:tab w:pos="3102" w:val="left" w:leader="none"/>
        </w:tabs>
        <w:spacing w:line="228" w:lineRule="auto" w:before="0" w:after="0"/>
        <w:ind w:left="3100" w:right="220"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6"/>
        <w:rPr>
          <w:sz w:val="17"/>
        </w:rPr>
      </w:pPr>
    </w:p>
    <w:p>
      <w:pPr>
        <w:pStyle w:val="ListParagraph"/>
        <w:numPr>
          <w:ilvl w:val="1"/>
          <w:numId w:val="42"/>
        </w:numPr>
        <w:tabs>
          <w:tab w:pos="3099" w:val="left" w:leader="none"/>
          <w:tab w:pos="3111" w:val="left" w:leader="none"/>
        </w:tabs>
        <w:spacing w:line="228" w:lineRule="auto" w:before="0" w:after="0"/>
        <w:ind w:left="3099" w:right="216"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2"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3098" w:val="left" w:leader="none"/>
          <w:tab w:pos="3110" w:val="left" w:leader="none"/>
        </w:tabs>
        <w:spacing w:line="228" w:lineRule="auto" w:before="0"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4" w:header="0" w:top="1380" w:bottom="1040" w:left="1220" w:right="1220"/>
        </w:sectPr>
      </w:pPr>
    </w:p>
    <w:p>
      <w:pPr>
        <w:pStyle w:val="ListParagraph"/>
        <w:numPr>
          <w:ilvl w:val="1"/>
          <w:numId w:val="42"/>
        </w:numPr>
        <w:tabs>
          <w:tab w:pos="3099" w:val="left" w:leader="none"/>
          <w:tab w:pos="3101" w:val="left" w:leader="none"/>
        </w:tabs>
        <w:spacing w:line="228" w:lineRule="auto" w:before="79" w:after="0"/>
        <w:ind w:left="3099" w:right="221" w:hanging="360"/>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11"/>
        <w:rPr>
          <w:sz w:val="17"/>
        </w:rPr>
      </w:pPr>
    </w:p>
    <w:p>
      <w:pPr>
        <w:pStyle w:val="BodyText"/>
        <w:spacing w:line="252" w:lineRule="auto"/>
        <w:ind w:left="2173" w:right="453"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3"/>
        <w:rPr>
          <w:b/>
          <w:sz w:val="17"/>
        </w:rPr>
      </w:pPr>
    </w:p>
    <w:p>
      <w:pPr>
        <w:pStyle w:val="Heading1"/>
        <w:ind w:left="2199"/>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4" w:val="left" w:leader="none"/>
          <w:tab w:pos="2546" w:val="left" w:leader="none"/>
        </w:tabs>
        <w:spacing w:line="249" w:lineRule="auto" w:before="1" w:after="0"/>
        <w:ind w:left="2544" w:right="384" w:hanging="346"/>
        <w:jc w:val="left"/>
        <w:rPr>
          <w:sz w:val="20"/>
        </w:rPr>
      </w:pPr>
      <w:r>
        <w:rPr>
          <w:rFonts w:ascii="Times New Roman" w:hAnsi="Times New Roman"/>
          <w:b/>
          <w:sz w:val="20"/>
        </w:rPr>
        <w:tab/>
      </w:r>
      <w:r>
        <w:rPr>
          <w:sz w:val="20"/>
        </w:rPr>
        <w:t>We cover direct physical loss to covered “computer equipment”, “electronic data”,</w:t>
      </w:r>
      <w:r>
        <w:rPr>
          <w:spacing w:val="-3"/>
          <w:sz w:val="20"/>
        </w:rPr>
        <w:t> </w:t>
      </w:r>
      <w:r>
        <w:rPr>
          <w:sz w:val="20"/>
        </w:rPr>
        <w:t>“media”</w:t>
      </w:r>
      <w:r>
        <w:rPr>
          <w:spacing w:val="-2"/>
          <w:sz w:val="20"/>
        </w:rPr>
        <w:t> </w:t>
      </w:r>
      <w:r>
        <w:rPr>
          <w:sz w:val="20"/>
        </w:rPr>
        <w:t>or</w:t>
      </w:r>
      <w:r>
        <w:rPr>
          <w:spacing w:val="-2"/>
          <w:sz w:val="20"/>
        </w:rPr>
        <w:t> </w:t>
      </w:r>
      <w:r>
        <w:rPr>
          <w:sz w:val="20"/>
        </w:rPr>
        <w:t>“programs”,</w:t>
      </w:r>
      <w:r>
        <w:rPr>
          <w:spacing w:val="-3"/>
          <w:sz w:val="20"/>
        </w:rPr>
        <w:t> </w:t>
      </w:r>
      <w:r>
        <w:rPr>
          <w:sz w:val="20"/>
        </w:rPr>
        <w:t>and</w:t>
      </w:r>
      <w:r>
        <w:rPr>
          <w:spacing w:val="-2"/>
          <w:sz w:val="20"/>
        </w:rPr>
        <w:t> </w:t>
      </w:r>
      <w:r>
        <w:rPr>
          <w:sz w:val="20"/>
        </w:rPr>
        <w:t>your</w:t>
      </w:r>
      <w:r>
        <w:rPr>
          <w:spacing w:val="-7"/>
          <w:sz w:val="20"/>
        </w:rPr>
        <w:t> </w:t>
      </w:r>
      <w:r>
        <w:rPr>
          <w:sz w:val="20"/>
        </w:rPr>
        <w:t>Web</w:t>
      </w:r>
      <w:r>
        <w:rPr>
          <w:spacing w:val="-3"/>
          <w:sz w:val="20"/>
        </w:rPr>
        <w:t> </w:t>
      </w:r>
      <w:r>
        <w:rPr>
          <w:sz w:val="20"/>
        </w:rPr>
        <w:t>site</w:t>
      </w:r>
      <w:r>
        <w:rPr>
          <w:spacing w:val="-3"/>
          <w:sz w:val="20"/>
        </w:rPr>
        <w:t> </w:t>
      </w:r>
      <w:r>
        <w:rPr>
          <w:sz w:val="20"/>
        </w:rPr>
        <w:t>caused</w:t>
      </w:r>
      <w:r>
        <w:rPr>
          <w:spacing w:val="-3"/>
          <w:sz w:val="20"/>
        </w:rPr>
        <w:t> </w:t>
      </w:r>
      <w:r>
        <w:rPr>
          <w:sz w:val="20"/>
        </w:rPr>
        <w:t>by</w:t>
      </w:r>
      <w:r>
        <w:rPr>
          <w:spacing w:val="-6"/>
          <w:sz w:val="20"/>
        </w:rPr>
        <w:t> </w:t>
      </w:r>
      <w:r>
        <w:rPr>
          <w:sz w:val="20"/>
        </w:rPr>
        <w:t>a</w:t>
      </w:r>
      <w:r>
        <w:rPr>
          <w:spacing w:val="-3"/>
          <w:sz w:val="20"/>
        </w:rPr>
        <w:t> </w:t>
      </w:r>
      <w:r>
        <w:rPr>
          <w:sz w:val="20"/>
        </w:rPr>
        <w:t>“computer</w:t>
      </w:r>
      <w:r>
        <w:rPr>
          <w:spacing w:val="-2"/>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0"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1" w:val="left" w:leader="none"/>
        </w:tabs>
        <w:spacing w:line="249" w:lineRule="auto" w:before="0" w:after="0"/>
        <w:ind w:left="2874" w:right="340"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8" w:val="left" w:leader="none"/>
          <w:tab w:pos="2928" w:val="left" w:leader="none"/>
        </w:tabs>
        <w:spacing w:line="240" w:lineRule="auto" w:before="0" w:after="0"/>
        <w:ind w:left="2878" w:right="408"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2"/>
      </w:pPr>
    </w:p>
    <w:p>
      <w:pPr>
        <w:pStyle w:val="BodyText"/>
        <w:spacing w:line="237" w:lineRule="auto"/>
        <w:ind w:left="2875" w:right="587"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4"/>
        <w:rPr>
          <w:b/>
          <w:sz w:val="18"/>
        </w:rPr>
      </w:pPr>
    </w:p>
    <w:p>
      <w:pPr>
        <w:pStyle w:val="BodyText"/>
        <w:spacing w:line="252" w:lineRule="auto"/>
        <w:ind w:left="2875" w:right="243"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ListParagraph"/>
        <w:numPr>
          <w:ilvl w:val="0"/>
          <w:numId w:val="44"/>
        </w:numPr>
        <w:tabs>
          <w:tab w:pos="934" w:val="left" w:leader="none"/>
        </w:tabs>
        <w:spacing w:line="240" w:lineRule="auto" w:before="197" w:after="0"/>
        <w:ind w:left="934"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2"/>
        <w:rPr>
          <w:sz w:val="18"/>
        </w:rPr>
      </w:pPr>
    </w:p>
    <w:p>
      <w:pPr>
        <w:pStyle w:val="BodyText"/>
        <w:spacing w:line="249" w:lineRule="auto"/>
        <w:ind w:left="935"/>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653" w:val="left" w:leader="none"/>
        </w:tabs>
        <w:spacing w:line="240" w:lineRule="auto" w:before="0" w:after="0"/>
        <w:ind w:left="1653"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2" w:val="left" w:leader="none"/>
          <w:tab w:pos="1655" w:val="left" w:leader="none"/>
        </w:tabs>
        <w:spacing w:line="249" w:lineRule="auto" w:before="0" w:after="0"/>
        <w:ind w:left="1655" w:right="224"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6"/>
        <w:rPr>
          <w:sz w:val="17"/>
        </w:rPr>
      </w:pPr>
    </w:p>
    <w:p>
      <w:pPr>
        <w:pStyle w:val="ListParagraph"/>
        <w:numPr>
          <w:ilvl w:val="1"/>
          <w:numId w:val="44"/>
        </w:numPr>
        <w:tabs>
          <w:tab w:pos="1653" w:val="left" w:leader="none"/>
          <w:tab w:pos="1655" w:val="left" w:leader="none"/>
        </w:tabs>
        <w:spacing w:line="249" w:lineRule="auto" w:before="0"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2" w:val="left" w:leader="none"/>
          <w:tab w:pos="1655" w:val="left" w:leader="none"/>
        </w:tabs>
        <w:spacing w:line="252" w:lineRule="auto" w:before="0" w:after="0"/>
        <w:ind w:left="1655" w:right="223"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3" w:val="left" w:leader="none"/>
          <w:tab w:pos="1655" w:val="left" w:leader="none"/>
        </w:tabs>
        <w:spacing w:line="249" w:lineRule="auto" w:before="1" w:after="0"/>
        <w:ind w:left="1655" w:right="226"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spacing w:after="0" w:line="249" w:lineRule="auto"/>
        <w:jc w:val="left"/>
        <w:rPr>
          <w:sz w:val="20"/>
        </w:rPr>
        <w:sectPr>
          <w:footerReference w:type="default" r:id="rId38"/>
          <w:pgSz w:w="12240" w:h="15840"/>
          <w:pgMar w:footer="844" w:header="0" w:top="1360" w:bottom="1040" w:left="1220" w:right="1220"/>
        </w:sectPr>
      </w:pPr>
    </w:p>
    <w:p>
      <w:pPr>
        <w:pStyle w:val="BodyText"/>
        <w:spacing w:line="249" w:lineRule="auto" w:before="64"/>
        <w:ind w:left="1300"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5"/>
        <w:rPr>
          <w:sz w:val="17"/>
        </w:rPr>
      </w:pPr>
    </w:p>
    <w:p>
      <w:pPr>
        <w:pStyle w:val="BodyText"/>
        <w:spacing w:before="1"/>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4"/>
        <w:rPr>
          <w:sz w:val="18"/>
        </w:rPr>
      </w:pPr>
    </w:p>
    <w:p>
      <w:pPr>
        <w:pStyle w:val="ListParagraph"/>
        <w:numPr>
          <w:ilvl w:val="0"/>
          <w:numId w:val="45"/>
        </w:numPr>
        <w:tabs>
          <w:tab w:pos="1657" w:val="left" w:leader="none"/>
          <w:tab w:pos="1660" w:val="left" w:leader="none"/>
        </w:tabs>
        <w:spacing w:line="249" w:lineRule="auto" w:before="0" w:after="0"/>
        <w:ind w:left="1660"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6"/>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30" w:lineRule="auto" w:before="194"/>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658" w:val="left" w:leader="none"/>
        </w:tabs>
        <w:spacing w:line="240" w:lineRule="auto" w:before="197"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2"/>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52"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3"/>
        <w:rPr>
          <w:sz w:val="17"/>
        </w:rPr>
      </w:pPr>
    </w:p>
    <w:p>
      <w:pPr>
        <w:pStyle w:val="ListParagraph"/>
        <w:numPr>
          <w:ilvl w:val="0"/>
          <w:numId w:val="46"/>
        </w:numPr>
        <w:tabs>
          <w:tab w:pos="1657" w:val="left" w:leader="none"/>
          <w:tab w:pos="1660" w:val="left" w:leader="none"/>
        </w:tabs>
        <w:spacing w:line="249" w:lineRule="auto" w:before="0"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1"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52"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ListParagraph"/>
        <w:numPr>
          <w:ilvl w:val="0"/>
          <w:numId w:val="47"/>
        </w:numPr>
        <w:tabs>
          <w:tab w:pos="1658" w:val="left" w:leader="none"/>
          <w:tab w:pos="1660" w:val="left" w:leader="none"/>
        </w:tabs>
        <w:spacing w:line="249" w:lineRule="auto" w:before="197"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6"/>
        <w:rPr>
          <w:sz w:val="17"/>
        </w:rPr>
      </w:pPr>
    </w:p>
    <w:p>
      <w:pPr>
        <w:pStyle w:val="ListParagraph"/>
        <w:numPr>
          <w:ilvl w:val="0"/>
          <w:numId w:val="47"/>
        </w:numPr>
        <w:tabs>
          <w:tab w:pos="1657" w:val="left" w:leader="none"/>
          <w:tab w:pos="1660" w:val="left" w:leader="none"/>
        </w:tabs>
        <w:spacing w:line="249" w:lineRule="auto" w:before="0" w:after="0"/>
        <w:ind w:left="1660" w:right="411" w:hanging="361"/>
        <w:jc w:val="left"/>
        <w:rPr>
          <w:sz w:val="20"/>
        </w:rPr>
      </w:pPr>
      <w:r>
        <w:rPr>
          <w:sz w:val="20"/>
        </w:rPr>
        <w:t>alteration,</w:t>
      </w:r>
      <w:r>
        <w:rPr>
          <w:spacing w:val="-5"/>
          <w:sz w:val="20"/>
        </w:rPr>
        <w:t> </w:t>
      </w:r>
      <w:r>
        <w:rPr>
          <w:sz w:val="20"/>
        </w:rPr>
        <w:t>contamination,</w:t>
      </w:r>
      <w:r>
        <w:rPr>
          <w:spacing w:val="-6"/>
          <w:sz w:val="20"/>
        </w:rPr>
        <w:t> </w:t>
      </w:r>
      <w:r>
        <w:rPr>
          <w:sz w:val="20"/>
        </w:rPr>
        <w:t>corruption,</w:t>
      </w:r>
      <w:r>
        <w:rPr>
          <w:spacing w:val="-4"/>
          <w:sz w:val="20"/>
        </w:rPr>
        <w:t> </w:t>
      </w:r>
      <w:r>
        <w:rPr>
          <w:sz w:val="20"/>
        </w:rPr>
        <w:t>degradation,</w:t>
      </w:r>
      <w:r>
        <w:rPr>
          <w:spacing w:val="-5"/>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52" w:lineRule="auto" w:before="0" w:after="0"/>
        <w:ind w:left="1660" w:right="214"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3"/>
        <w:rPr>
          <w:sz w:val="17"/>
        </w:rPr>
      </w:pPr>
    </w:p>
    <w:p>
      <w:pPr>
        <w:pStyle w:val="ListParagraph"/>
        <w:numPr>
          <w:ilvl w:val="0"/>
          <w:numId w:val="47"/>
        </w:numPr>
        <w:tabs>
          <w:tab w:pos="1658" w:val="left" w:leader="none"/>
          <w:tab w:pos="1661" w:val="left" w:leader="none"/>
        </w:tabs>
        <w:spacing w:line="249" w:lineRule="auto" w:before="0" w:after="0"/>
        <w:ind w:left="1661" w:right="216" w:hanging="361"/>
        <w:jc w:val="left"/>
        <w:rPr>
          <w:sz w:val="20"/>
        </w:rPr>
      </w:pPr>
      <w:r>
        <w:rPr>
          <w:sz w:val="20"/>
        </w:rPr>
        <w:t>denial of access to or denial of services from your “computer equipment”, your computer network, or Web site.</w:t>
      </w:r>
    </w:p>
    <w:p>
      <w:pPr>
        <w:spacing w:after="0" w:line="249" w:lineRule="auto"/>
        <w:jc w:val="left"/>
        <w:rPr>
          <w:sz w:val="20"/>
        </w:rPr>
        <w:sectPr>
          <w:footerReference w:type="default" r:id="rId39"/>
          <w:pgSz w:w="12240" w:h="15840"/>
          <w:pgMar w:footer="844" w:header="0" w:top="1380" w:bottom="1040" w:left="1220" w:right="1220"/>
        </w:sectPr>
      </w:pPr>
    </w:p>
    <w:p>
      <w:pPr>
        <w:pStyle w:val="BodyText"/>
        <w:spacing w:before="64"/>
        <w:ind w:left="9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7" w:val="left" w:leader="none"/>
        </w:tabs>
        <w:spacing w:line="240" w:lineRule="auto" w:before="197"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8"/>
        </w:numPr>
        <w:tabs>
          <w:tab w:pos="358" w:val="left" w:leader="none"/>
        </w:tabs>
        <w:spacing w:line="240" w:lineRule="auto" w:before="0" w:after="0"/>
        <w:ind w:left="358" w:right="4122"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5"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7" w:val="left" w:leader="none"/>
          <w:tab w:pos="2020" w:val="left" w:leader="none"/>
        </w:tabs>
        <w:spacing w:line="240" w:lineRule="auto" w:before="0" w:after="0"/>
        <w:ind w:left="2020"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8"/>
        </w:numPr>
        <w:tabs>
          <w:tab w:pos="2017" w:val="left" w:leader="none"/>
          <w:tab w:pos="2020" w:val="left" w:leader="none"/>
        </w:tabs>
        <w:spacing w:line="240" w:lineRule="auto" w:before="0" w:after="0"/>
        <w:ind w:left="2020"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8"/>
        </w:numPr>
        <w:tabs>
          <w:tab w:pos="2017" w:val="left" w:leader="none"/>
        </w:tabs>
        <w:spacing w:line="240" w:lineRule="auto" w:before="1"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357" w:val="left" w:leader="none"/>
        </w:tabs>
        <w:spacing w:line="240" w:lineRule="auto" w:before="0" w:after="0"/>
        <w:ind w:left="357" w:right="4157"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before="1"/>
        <w:ind w:left="939" w:right="217"/>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8"/>
        <w:jc w:val="both"/>
      </w:pPr>
      <w:r>
        <w:rPr/>
        <w:t>“Hazardous Substance” means any substance that is hazardous to health or has been declared</w:t>
      </w:r>
      <w:r>
        <w:rPr>
          <w:spacing w:val="40"/>
        </w:rPr>
        <w:t> </w:t>
      </w:r>
      <w:r>
        <w:rPr/>
        <w:t>to be hazardous to health by a governmental agency.</w:t>
      </w:r>
    </w:p>
    <w:p>
      <w:pPr>
        <w:pStyle w:val="BodyText"/>
        <w:spacing w:before="5"/>
        <w:rPr>
          <w:sz w:val="17"/>
        </w:rPr>
      </w:pPr>
    </w:p>
    <w:p>
      <w:pPr>
        <w:pStyle w:val="BodyText"/>
        <w:spacing w:line="249" w:lineRule="auto" w:before="1"/>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ind w:left="939" w:right="221" w:hanging="1"/>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4" w:header="0" w:top="1380" w:bottom="1040" w:left="1220" w:right="1220"/>
        </w:sectPr>
      </w:pPr>
    </w:p>
    <w:p>
      <w:pPr>
        <w:pStyle w:val="BodyText"/>
        <w:spacing w:line="228" w:lineRule="auto" w:before="79"/>
        <w:ind w:left="940"/>
      </w:pPr>
      <w:r>
        <w:rPr/>
        <w:t>“Programs” means software that are purchased or written specifically to be used with “computer </w:t>
      </w:r>
      <w:r>
        <w:rPr>
          <w:spacing w:val="-2"/>
        </w:rPr>
        <w:t>equipment”.</w:t>
      </w:r>
    </w:p>
    <w:p>
      <w:pPr>
        <w:pStyle w:val="BodyText"/>
        <w:spacing w:before="4"/>
        <w:rPr>
          <w:sz w:val="18"/>
        </w:rPr>
      </w:pPr>
    </w:p>
    <w:p>
      <w:pPr>
        <w:pStyle w:val="BodyText"/>
        <w:ind w:left="939"/>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5"/>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658" w:val="left" w:leader="none"/>
          <w:tab w:pos="1660" w:val="left" w:leader="none"/>
        </w:tabs>
        <w:spacing w:line="252"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ListParagraph"/>
        <w:numPr>
          <w:ilvl w:val="0"/>
          <w:numId w:val="49"/>
        </w:numPr>
        <w:tabs>
          <w:tab w:pos="1657" w:val="left" w:leader="none"/>
          <w:tab w:pos="1660" w:val="left" w:leader="none"/>
        </w:tabs>
        <w:spacing w:line="249" w:lineRule="auto" w:before="197"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227800</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7.937008pt;width:144.450pt;height:.1pt;mso-position-horizontal-relative:page;mso-position-vertical-relative:paragraph;z-index:-15710208;mso-wrap-distance-left:0;mso-wrap-distance-right:0" id="docshape37" coordorigin="6480,359" coordsize="2889,0" path="m6480,359l9369,359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1"/>
                                <w:bookmarkEnd w:id="1"/>
                                <w:r>
                                  <w:rPr/>
                                </w: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2"/>
                          <w:bookmarkEnd w:id="2"/>
                          <w:r>
                            <w:rPr/>
                          </w: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121955</w:t>
                          </w:r>
                          <w:r>
                            <w:rPr>
                              <w:spacing w:val="-9"/>
                              <w:sz w:val="18"/>
                            </w:rPr>
                            <w:t> </w:t>
                          </w:r>
                          <w:r>
                            <w:rPr>
                              <w:spacing w:val="-2"/>
                              <w:sz w:val="18"/>
                            </w:rPr>
                            <w:t>(1/18)</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5"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4"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2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78" w:right="97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2024-01-23T22:55:34Z</dcterms:created>
  <dcterms:modified xsi:type="dcterms:W3CDTF">2024-01-23T22:55:34Z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2018-01-04T00:00:00Z</vt:filetime>
  </property>
  <property fmtid="{D5CDD505-2E9C-101B-9397-08002B2CF9AE}" pid="3" name="Creator">
    <vt:lpwstr>Acrobat PDFMaker 17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D:20180104194641</vt:lpwstr>
  </property>
</Properties>
</file>