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spacing w:before="76"/>
      </w:pPr>
      <w:r>
        <w:rPr/>
        <w:t>CYBER</w:t>
      </w:r>
      <w:r>
        <w:rPr>
          <w:spacing w:val="-5"/>
        </w:rPr>
        <w:t> </w:t>
      </w:r>
      <w:r>
        <w:rPr/>
        <w:t>INCIDENT</w:t>
      </w:r>
      <w:r>
        <w:rPr>
          <w:spacing w:val="-5"/>
        </w:rPr>
        <w:t> </w:t>
      </w:r>
      <w:r>
        <w:rPr/>
        <w:t>EXCLUSION</w:t>
      </w:r>
      <w:r>
        <w:rPr>
          <w:spacing w:val="-5"/>
        </w:rPr>
        <w:t> </w:t>
      </w:r>
      <w:r>
        <w:rPr/>
        <w:t>WITH</w:t>
      </w:r>
      <w:r>
        <w:rPr>
          <w:spacing w:val="-5"/>
        </w:rPr>
        <w:t> </w:t>
      </w:r>
      <w:r>
        <w:rPr/>
        <w:t>ENSUING</w:t>
      </w:r>
      <w:r>
        <w:rPr>
          <w:spacing w:val="-4"/>
        </w:rPr>
        <w:t> </w:t>
      </w:r>
      <w:r>
        <w:rPr/>
        <w:t>CAUSES(S)</w:t>
      </w:r>
      <w:r>
        <w:rPr>
          <w:spacing w:val="-6"/>
        </w:rPr>
        <w:t> </w:t>
      </w:r>
      <w:r>
        <w:rPr/>
        <w:t>OF</w:t>
      </w:r>
      <w:r>
        <w:rPr>
          <w:spacing w:val="-5"/>
        </w:rPr>
        <w:t> </w:t>
      </w:r>
      <w:r>
        <w:rPr/>
        <w:t>LOSS EXCEPTIONS ENDORSEMENT AND</w:t>
      </w:r>
    </w:p>
    <w:p>
      <w:pPr>
        <w:pStyle w:val="Title"/>
        <w:ind w:left="1624" w:right="1622"/>
      </w:pPr>
      <w:r>
        <w:rPr/>
        <w:t>CYBER</w:t>
      </w:r>
      <w:r>
        <w:rPr>
          <w:spacing w:val="-11"/>
        </w:rPr>
        <w:t> </w:t>
      </w:r>
      <w:r>
        <w:rPr/>
        <w:t>INCIDENT</w:t>
      </w:r>
      <w:r>
        <w:rPr>
          <w:spacing w:val="-11"/>
        </w:rPr>
        <w:t> </w:t>
      </w:r>
      <w:r>
        <w:rPr/>
        <w:t>EXCLUSION</w:t>
      </w:r>
      <w:r>
        <w:rPr>
          <w:spacing w:val="-13"/>
        </w:rPr>
        <w:t> </w:t>
      </w:r>
      <w:r>
        <w:rPr/>
        <w:t>ENDORSEMENT ADVISORY NOTICE TO POLICYHOLDERS</w:t>
      </w:r>
    </w:p>
    <w:p>
      <w:pPr>
        <w:pStyle w:val="BodyText"/>
        <w:rPr>
          <w:b/>
          <w:sz w:val="30"/>
        </w:rPr>
      </w:pPr>
    </w:p>
    <w:p>
      <w:pPr>
        <w:pStyle w:val="BodyText"/>
        <w:spacing w:before="209"/>
        <w:ind w:left="120" w:right="115" w:hanging="1"/>
        <w:jc w:val="both"/>
        <w:rPr>
          <w:b/>
        </w:rPr>
      </w:pPr>
      <w:r>
        <w:rPr/>
        <w:t>This Notice does not form a part of your policy.</w:t>
      </w:r>
      <w:r>
        <w:rPr>
          <w:spacing w:val="65"/>
        </w:rPr>
        <w:t> </w:t>
      </w:r>
      <w:r>
        <w:rPr/>
        <w:t>No coverage is provided by this Notice, nor can it be construed to replace any provisions of your policy. You should read your policy and review your Declarations page for complete information on the coverages you are provided. If there is any conflict between the Policy and this Notice, </w:t>
      </w:r>
      <w:r>
        <w:rPr>
          <w:b/>
        </w:rPr>
        <w:t>THE PROVISIONS OF THE POLICY SHALL </w:t>
      </w:r>
      <w:r>
        <w:rPr>
          <w:b/>
          <w:spacing w:val="-2"/>
        </w:rPr>
        <w:t>PREVAIL.</w:t>
      </w:r>
    </w:p>
    <w:p>
      <w:pPr>
        <w:pStyle w:val="BodyText"/>
        <w:spacing w:before="10"/>
        <w:rPr>
          <w:b/>
          <w:sz w:val="21"/>
        </w:rPr>
      </w:pPr>
    </w:p>
    <w:p>
      <w:pPr>
        <w:pStyle w:val="BodyText"/>
        <w:ind w:left="120"/>
        <w:jc w:val="both"/>
      </w:pPr>
      <w:r>
        <w:rPr/>
        <w:t>Carefully</w:t>
      </w:r>
      <w:r>
        <w:rPr>
          <w:spacing w:val="-10"/>
        </w:rPr>
        <w:t> </w:t>
      </w:r>
      <w:r>
        <w:rPr/>
        <w:t>read</w:t>
      </w:r>
      <w:r>
        <w:rPr>
          <w:spacing w:val="-6"/>
        </w:rPr>
        <w:t> </w:t>
      </w:r>
      <w:r>
        <w:rPr/>
        <w:t>your</w:t>
      </w:r>
      <w:r>
        <w:rPr>
          <w:spacing w:val="-3"/>
        </w:rPr>
        <w:t> </w:t>
      </w:r>
      <w:r>
        <w:rPr/>
        <w:t>policy,</w:t>
      </w:r>
      <w:r>
        <w:rPr>
          <w:spacing w:val="-4"/>
        </w:rPr>
        <w:t> </w:t>
      </w:r>
      <w:r>
        <w:rPr/>
        <w:t>including</w:t>
      </w:r>
      <w:r>
        <w:rPr>
          <w:spacing w:val="-3"/>
        </w:rPr>
        <w:t> </w:t>
      </w:r>
      <w:r>
        <w:rPr/>
        <w:t>the</w:t>
      </w:r>
      <w:r>
        <w:rPr>
          <w:spacing w:val="-7"/>
        </w:rPr>
        <w:t> </w:t>
      </w:r>
      <w:r>
        <w:rPr/>
        <w:t>endorsements</w:t>
      </w:r>
      <w:r>
        <w:rPr>
          <w:spacing w:val="-8"/>
        </w:rPr>
        <w:t> </w:t>
      </w:r>
      <w:r>
        <w:rPr/>
        <w:t>attached</w:t>
      </w:r>
      <w:r>
        <w:rPr>
          <w:spacing w:val="-7"/>
        </w:rPr>
        <w:t> </w:t>
      </w:r>
      <w:r>
        <w:rPr/>
        <w:t>to</w:t>
      </w:r>
      <w:r>
        <w:rPr>
          <w:spacing w:val="-8"/>
        </w:rPr>
        <w:t> </w:t>
      </w:r>
      <w:r>
        <w:rPr/>
        <w:t>your</w:t>
      </w:r>
      <w:r>
        <w:rPr>
          <w:spacing w:val="-3"/>
        </w:rPr>
        <w:t> </w:t>
      </w:r>
      <w:r>
        <w:rPr>
          <w:spacing w:val="-2"/>
        </w:rPr>
        <w:t>policy.</w:t>
      </w:r>
    </w:p>
    <w:p>
      <w:pPr>
        <w:pStyle w:val="BodyText"/>
        <w:spacing w:before="1"/>
      </w:pPr>
    </w:p>
    <w:p>
      <w:pPr>
        <w:pStyle w:val="BodyText"/>
        <w:ind w:left="120" w:right="116"/>
        <w:jc w:val="both"/>
      </w:pPr>
      <w:r>
        <w:rPr/>
        <w:t>This</w:t>
      </w:r>
      <w:r>
        <w:rPr>
          <w:spacing w:val="-16"/>
        </w:rPr>
        <w:t> </w:t>
      </w:r>
      <w:r>
        <w:rPr/>
        <w:t>Notice</w:t>
      </w:r>
      <w:r>
        <w:rPr>
          <w:spacing w:val="-15"/>
        </w:rPr>
        <w:t> </w:t>
      </w:r>
      <w:r>
        <w:rPr/>
        <w:t>provides</w:t>
      </w:r>
      <w:r>
        <w:rPr>
          <w:spacing w:val="-12"/>
        </w:rPr>
        <w:t> </w:t>
      </w:r>
      <w:r>
        <w:rPr/>
        <w:t>information</w:t>
      </w:r>
      <w:r>
        <w:rPr>
          <w:spacing w:val="-15"/>
        </w:rPr>
        <w:t> </w:t>
      </w:r>
      <w:r>
        <w:rPr/>
        <w:t>concerning</w:t>
      </w:r>
      <w:r>
        <w:rPr>
          <w:spacing w:val="-15"/>
        </w:rPr>
        <w:t> </w:t>
      </w:r>
      <w:r>
        <w:rPr/>
        <w:t>the</w:t>
      </w:r>
      <w:r>
        <w:rPr>
          <w:spacing w:val="-16"/>
        </w:rPr>
        <w:t> </w:t>
      </w:r>
      <w:r>
        <w:rPr/>
        <w:t>following</w:t>
      </w:r>
      <w:r>
        <w:rPr>
          <w:spacing w:val="-10"/>
        </w:rPr>
        <w:t> </w:t>
      </w:r>
      <w:r>
        <w:rPr/>
        <w:t>new</w:t>
      </w:r>
      <w:r>
        <w:rPr>
          <w:spacing w:val="-15"/>
        </w:rPr>
        <w:t> </w:t>
      </w:r>
      <w:r>
        <w:rPr/>
        <w:t>endorsements,</w:t>
      </w:r>
      <w:r>
        <w:rPr>
          <w:spacing w:val="-13"/>
        </w:rPr>
        <w:t> </w:t>
      </w:r>
      <w:r>
        <w:rPr/>
        <w:t>which</w:t>
      </w:r>
      <w:r>
        <w:rPr>
          <w:spacing w:val="-12"/>
        </w:rPr>
        <w:t> </w:t>
      </w:r>
      <w:r>
        <w:rPr/>
        <w:t>apply</w:t>
      </w:r>
      <w:r>
        <w:rPr>
          <w:spacing w:val="-14"/>
        </w:rPr>
        <w:t> </w:t>
      </w:r>
      <w:r>
        <w:rPr/>
        <w:t>to</w:t>
      </w:r>
      <w:r>
        <w:rPr>
          <w:spacing w:val="-15"/>
        </w:rPr>
        <w:t> </w:t>
      </w:r>
      <w:r>
        <w:rPr/>
        <w:t>your renewal policy being issued by us:</w:t>
      </w:r>
    </w:p>
    <w:p>
      <w:pPr>
        <w:pStyle w:val="BodyText"/>
        <w:spacing w:before="8"/>
        <w:rPr>
          <w:sz w:val="21"/>
        </w:rPr>
      </w:pPr>
    </w:p>
    <w:p>
      <w:pPr>
        <w:pStyle w:val="Heading1"/>
        <w:ind w:left="120"/>
      </w:pPr>
      <w:r>
        <w:rPr/>
        <w:t>Cyber</w:t>
      </w:r>
      <w:r>
        <w:rPr>
          <w:spacing w:val="-6"/>
        </w:rPr>
        <w:t> </w:t>
      </w:r>
      <w:r>
        <w:rPr/>
        <w:t>Incident</w:t>
      </w:r>
      <w:r>
        <w:rPr>
          <w:spacing w:val="-6"/>
        </w:rPr>
        <w:t> </w:t>
      </w:r>
      <w:r>
        <w:rPr/>
        <w:t>Exclusion</w:t>
      </w:r>
      <w:r>
        <w:rPr>
          <w:spacing w:val="-7"/>
        </w:rPr>
        <w:t> </w:t>
      </w:r>
      <w:r>
        <w:rPr/>
        <w:t>with</w:t>
      </w:r>
      <w:r>
        <w:rPr>
          <w:spacing w:val="-7"/>
        </w:rPr>
        <w:t> </w:t>
      </w:r>
      <w:r>
        <w:rPr/>
        <w:t>Ensuing</w:t>
      </w:r>
      <w:r>
        <w:rPr>
          <w:spacing w:val="-6"/>
        </w:rPr>
        <w:t> </w:t>
      </w:r>
      <w:r>
        <w:rPr/>
        <w:t>Cause(s)</w:t>
      </w:r>
      <w:r>
        <w:rPr>
          <w:spacing w:val="-4"/>
        </w:rPr>
        <w:t> </w:t>
      </w:r>
      <w:r>
        <w:rPr/>
        <w:t>of</w:t>
      </w:r>
      <w:r>
        <w:rPr>
          <w:spacing w:val="-3"/>
        </w:rPr>
        <w:t> </w:t>
      </w:r>
      <w:r>
        <w:rPr/>
        <w:t>Loss</w:t>
      </w:r>
      <w:r>
        <w:rPr>
          <w:spacing w:val="-4"/>
        </w:rPr>
        <w:t> </w:t>
      </w:r>
      <w:r>
        <w:rPr>
          <w:spacing w:val="-2"/>
        </w:rPr>
        <w:t>Exceptions</w:t>
      </w:r>
    </w:p>
    <w:p>
      <w:pPr>
        <w:pStyle w:val="BodyText"/>
        <w:spacing w:before="2"/>
        <w:rPr>
          <w:b/>
          <w:sz w:val="20"/>
        </w:rPr>
      </w:pPr>
    </w:p>
    <w:p>
      <w:pPr>
        <w:pStyle w:val="BodyText"/>
        <w:spacing w:before="1"/>
        <w:ind w:left="119" w:right="113"/>
        <w:jc w:val="both"/>
      </w:pPr>
      <w:r>
        <w:rPr/>
        <w:t>When</w:t>
      </w:r>
      <w:r>
        <w:rPr>
          <w:spacing w:val="-3"/>
        </w:rPr>
        <w:t> </w:t>
      </w:r>
      <w:r>
        <w:rPr/>
        <w:t>this endorsement</w:t>
      </w:r>
      <w:r>
        <w:rPr>
          <w:spacing w:val="-1"/>
        </w:rPr>
        <w:t> </w:t>
      </w:r>
      <w:r>
        <w:rPr/>
        <w:t>is attached</w:t>
      </w:r>
      <w:r>
        <w:rPr>
          <w:spacing w:val="-3"/>
        </w:rPr>
        <w:t> </w:t>
      </w:r>
      <w:r>
        <w:rPr/>
        <w:t>to</w:t>
      </w:r>
      <w:r>
        <w:rPr>
          <w:spacing w:val="-3"/>
        </w:rPr>
        <w:t> </w:t>
      </w:r>
      <w:r>
        <w:rPr/>
        <w:t>your policy, it</w:t>
      </w:r>
      <w:r>
        <w:rPr>
          <w:spacing w:val="-4"/>
        </w:rPr>
        <w:t> </w:t>
      </w:r>
      <w:r>
        <w:rPr/>
        <w:t>generally</w:t>
      </w:r>
      <w:r>
        <w:rPr>
          <w:spacing w:val="-2"/>
        </w:rPr>
        <w:t> </w:t>
      </w:r>
      <w:r>
        <w:rPr/>
        <w:t>excludes direct physical</w:t>
      </w:r>
      <w:r>
        <w:rPr>
          <w:spacing w:val="-1"/>
        </w:rPr>
        <w:t> </w:t>
      </w:r>
      <w:r>
        <w:rPr/>
        <w:t>loss</w:t>
      </w:r>
      <w:r>
        <w:rPr>
          <w:spacing w:val="-2"/>
        </w:rPr>
        <w:t> </w:t>
      </w:r>
      <w:r>
        <w:rPr/>
        <w:t>of or damage to Covered Property resulting from a cyber incident; however, if a cyber incident as described in this exclusion results in fire or explosion, we will pay for the loss or damage to Covered Property caused by that fire or explosion subject to the applicable limits of insurance.</w:t>
      </w:r>
    </w:p>
    <w:p>
      <w:pPr>
        <w:pStyle w:val="BodyText"/>
        <w:spacing w:before="6"/>
        <w:rPr>
          <w:sz w:val="26"/>
        </w:rPr>
      </w:pPr>
    </w:p>
    <w:p>
      <w:pPr>
        <w:pStyle w:val="BodyText"/>
        <w:ind w:left="119"/>
        <w:jc w:val="both"/>
      </w:pPr>
      <w:r>
        <w:rPr/>
        <w:t>However,</w:t>
      </w:r>
      <w:r>
        <w:rPr>
          <w:spacing w:val="-4"/>
        </w:rPr>
        <w:t> </w:t>
      </w:r>
      <w:r>
        <w:rPr/>
        <w:t>this</w:t>
      </w:r>
      <w:r>
        <w:rPr>
          <w:spacing w:val="-5"/>
        </w:rPr>
        <w:t> </w:t>
      </w:r>
      <w:r>
        <w:rPr/>
        <w:t>endorsement</w:t>
      </w:r>
      <w:r>
        <w:rPr>
          <w:spacing w:val="-4"/>
        </w:rPr>
        <w:t> </w:t>
      </w:r>
      <w:r>
        <w:rPr/>
        <w:t>also</w:t>
      </w:r>
      <w:r>
        <w:rPr>
          <w:spacing w:val="-5"/>
        </w:rPr>
        <w:t> </w:t>
      </w:r>
      <w:r>
        <w:rPr/>
        <w:t>allows</w:t>
      </w:r>
      <w:r>
        <w:rPr>
          <w:spacing w:val="-5"/>
        </w:rPr>
        <w:t> </w:t>
      </w:r>
      <w:r>
        <w:rPr/>
        <w:t>the</w:t>
      </w:r>
      <w:r>
        <w:rPr>
          <w:spacing w:val="-5"/>
        </w:rPr>
        <w:t> </w:t>
      </w:r>
      <w:r>
        <w:rPr/>
        <w:t>option</w:t>
      </w:r>
      <w:r>
        <w:rPr>
          <w:spacing w:val="-6"/>
        </w:rPr>
        <w:t> </w:t>
      </w:r>
      <w:r>
        <w:rPr/>
        <w:t>to</w:t>
      </w:r>
      <w:r>
        <w:rPr>
          <w:spacing w:val="-7"/>
        </w:rPr>
        <w:t> </w:t>
      </w:r>
      <w:r>
        <w:rPr/>
        <w:t>provide</w:t>
      </w:r>
      <w:r>
        <w:rPr>
          <w:spacing w:val="-6"/>
        </w:rPr>
        <w:t> </w:t>
      </w:r>
      <w:r>
        <w:rPr/>
        <w:t>coverage</w:t>
      </w:r>
      <w:r>
        <w:rPr>
          <w:spacing w:val="-7"/>
        </w:rPr>
        <w:t> </w:t>
      </w:r>
      <w:r>
        <w:rPr/>
        <w:t>with</w:t>
      </w:r>
      <w:r>
        <w:rPr>
          <w:spacing w:val="-6"/>
        </w:rPr>
        <w:t> </w:t>
      </w:r>
      <w:r>
        <w:rPr/>
        <w:t>respect</w:t>
      </w:r>
      <w:r>
        <w:rPr>
          <w:spacing w:val="-6"/>
        </w:rPr>
        <w:t> </w:t>
      </w:r>
      <w:r>
        <w:rPr>
          <w:spacing w:val="-5"/>
        </w:rPr>
        <w:t>to:</w:t>
      </w:r>
    </w:p>
    <w:p>
      <w:pPr>
        <w:pStyle w:val="ListParagraph"/>
        <w:numPr>
          <w:ilvl w:val="0"/>
          <w:numId w:val="1"/>
        </w:numPr>
        <w:tabs>
          <w:tab w:pos="480" w:val="left" w:leader="none"/>
        </w:tabs>
        <w:spacing w:line="208" w:lineRule="auto" w:before="74" w:after="0"/>
        <w:ind w:left="480" w:right="114" w:hanging="360"/>
        <w:jc w:val="both"/>
        <w:rPr>
          <w:sz w:val="22"/>
        </w:rPr>
      </w:pPr>
      <w:r>
        <w:rPr>
          <w:sz w:val="22"/>
        </w:rPr>
        <w:t>A cyber incident resulting in certain Other Causes Of Loss that are subject to separate per occurrence sublimits for property damage, business income and extra expense.</w:t>
      </w:r>
    </w:p>
    <w:p>
      <w:pPr>
        <w:pStyle w:val="ListParagraph"/>
        <w:numPr>
          <w:ilvl w:val="0"/>
          <w:numId w:val="1"/>
        </w:numPr>
        <w:tabs>
          <w:tab w:pos="480" w:val="left" w:leader="none"/>
        </w:tabs>
        <w:spacing w:line="208" w:lineRule="auto" w:before="81" w:after="0"/>
        <w:ind w:left="480" w:right="117" w:hanging="360"/>
        <w:jc w:val="both"/>
        <w:rPr>
          <w:sz w:val="22"/>
        </w:rPr>
      </w:pPr>
      <w:r>
        <w:rPr>
          <w:sz w:val="22"/>
        </w:rPr>
        <w:t>An</w:t>
      </w:r>
      <w:r>
        <w:rPr>
          <w:spacing w:val="-6"/>
          <w:sz w:val="22"/>
        </w:rPr>
        <w:t> </w:t>
      </w:r>
      <w:r>
        <w:rPr>
          <w:sz w:val="22"/>
        </w:rPr>
        <w:t>option</w:t>
      </w:r>
      <w:r>
        <w:rPr>
          <w:spacing w:val="-9"/>
          <w:sz w:val="22"/>
        </w:rPr>
        <w:t> </w:t>
      </w:r>
      <w:r>
        <w:rPr>
          <w:sz w:val="22"/>
        </w:rPr>
        <w:t>for</w:t>
      </w:r>
      <w:r>
        <w:rPr>
          <w:spacing w:val="-8"/>
          <w:sz w:val="22"/>
        </w:rPr>
        <w:t> </w:t>
      </w:r>
      <w:r>
        <w:rPr>
          <w:sz w:val="22"/>
        </w:rPr>
        <w:t>the</w:t>
      </w:r>
      <w:r>
        <w:rPr>
          <w:spacing w:val="-6"/>
          <w:sz w:val="22"/>
        </w:rPr>
        <w:t> </w:t>
      </w:r>
      <w:r>
        <w:rPr>
          <w:sz w:val="22"/>
        </w:rPr>
        <w:t>aforementioned</w:t>
      </w:r>
      <w:r>
        <w:rPr>
          <w:spacing w:val="-6"/>
          <w:sz w:val="22"/>
        </w:rPr>
        <w:t> </w:t>
      </w:r>
      <w:r>
        <w:rPr>
          <w:sz w:val="22"/>
        </w:rPr>
        <w:t>sublimits</w:t>
      </w:r>
      <w:r>
        <w:rPr>
          <w:spacing w:val="-8"/>
          <w:sz w:val="22"/>
        </w:rPr>
        <w:t> </w:t>
      </w:r>
      <w:r>
        <w:rPr>
          <w:sz w:val="22"/>
        </w:rPr>
        <w:t>to</w:t>
      </w:r>
      <w:r>
        <w:rPr>
          <w:spacing w:val="-6"/>
          <w:sz w:val="22"/>
        </w:rPr>
        <w:t> </w:t>
      </w:r>
      <w:r>
        <w:rPr>
          <w:sz w:val="22"/>
        </w:rPr>
        <w:t>be</w:t>
      </w:r>
      <w:r>
        <w:rPr>
          <w:spacing w:val="-11"/>
          <w:sz w:val="22"/>
        </w:rPr>
        <w:t> </w:t>
      </w:r>
      <w:r>
        <w:rPr>
          <w:sz w:val="22"/>
        </w:rPr>
        <w:t>subject</w:t>
      </w:r>
      <w:r>
        <w:rPr>
          <w:spacing w:val="-5"/>
          <w:sz w:val="22"/>
        </w:rPr>
        <w:t> </w:t>
      </w:r>
      <w:r>
        <w:rPr>
          <w:sz w:val="22"/>
        </w:rPr>
        <w:t>to</w:t>
      </w:r>
      <w:r>
        <w:rPr>
          <w:spacing w:val="-9"/>
          <w:sz w:val="22"/>
        </w:rPr>
        <w:t> </w:t>
      </w:r>
      <w:r>
        <w:rPr>
          <w:sz w:val="22"/>
        </w:rPr>
        <w:t>a</w:t>
      </w:r>
      <w:r>
        <w:rPr>
          <w:spacing w:val="-6"/>
          <w:sz w:val="22"/>
        </w:rPr>
        <w:t> </w:t>
      </w:r>
      <w:r>
        <w:rPr>
          <w:sz w:val="22"/>
        </w:rPr>
        <w:t>scheduled</w:t>
      </w:r>
      <w:r>
        <w:rPr>
          <w:spacing w:val="-6"/>
          <w:sz w:val="22"/>
        </w:rPr>
        <w:t> </w:t>
      </w:r>
      <w:r>
        <w:rPr>
          <w:sz w:val="22"/>
        </w:rPr>
        <w:t>single</w:t>
      </w:r>
      <w:r>
        <w:rPr>
          <w:spacing w:val="-6"/>
          <w:sz w:val="22"/>
        </w:rPr>
        <w:t> </w:t>
      </w:r>
      <w:r>
        <w:rPr>
          <w:sz w:val="22"/>
        </w:rPr>
        <w:t>aggregate</w:t>
      </w:r>
      <w:r>
        <w:rPr>
          <w:spacing w:val="-9"/>
          <w:sz w:val="22"/>
        </w:rPr>
        <w:t> </w:t>
      </w:r>
      <w:r>
        <w:rPr>
          <w:sz w:val="22"/>
        </w:rPr>
        <w:t>limit </w:t>
      </w:r>
      <w:r>
        <w:rPr>
          <w:spacing w:val="-2"/>
          <w:sz w:val="22"/>
        </w:rPr>
        <w:t>of insurance</w:t>
      </w:r>
      <w:r>
        <w:rPr>
          <w:spacing w:val="-13"/>
          <w:sz w:val="22"/>
        </w:rPr>
        <w:t> </w:t>
      </w:r>
      <w:r>
        <w:rPr>
          <w:spacing w:val="-2"/>
          <w:sz w:val="22"/>
        </w:rPr>
        <w:t>for</w:t>
      </w:r>
      <w:r>
        <w:rPr>
          <w:spacing w:val="-8"/>
          <w:sz w:val="22"/>
        </w:rPr>
        <w:t> </w:t>
      </w:r>
      <w:r>
        <w:rPr>
          <w:spacing w:val="-2"/>
          <w:sz w:val="22"/>
        </w:rPr>
        <w:t>the</w:t>
      </w:r>
      <w:r>
        <w:rPr>
          <w:spacing w:val="-13"/>
          <w:sz w:val="22"/>
        </w:rPr>
        <w:t> </w:t>
      </w:r>
      <w:r>
        <w:rPr>
          <w:spacing w:val="-2"/>
          <w:sz w:val="22"/>
        </w:rPr>
        <w:t>total</w:t>
      </w:r>
      <w:r>
        <w:rPr>
          <w:spacing w:val="-13"/>
          <w:sz w:val="22"/>
        </w:rPr>
        <w:t> </w:t>
      </w:r>
      <w:r>
        <w:rPr>
          <w:spacing w:val="-2"/>
          <w:sz w:val="22"/>
        </w:rPr>
        <w:t>of all</w:t>
      </w:r>
      <w:r>
        <w:rPr>
          <w:spacing w:val="-10"/>
          <w:sz w:val="22"/>
        </w:rPr>
        <w:t> </w:t>
      </w:r>
      <w:r>
        <w:rPr>
          <w:spacing w:val="-2"/>
          <w:sz w:val="22"/>
        </w:rPr>
        <w:t>loss</w:t>
      </w:r>
      <w:r>
        <w:rPr>
          <w:spacing w:val="-7"/>
          <w:sz w:val="22"/>
        </w:rPr>
        <w:t> </w:t>
      </w:r>
      <w:r>
        <w:rPr>
          <w:spacing w:val="-2"/>
          <w:sz w:val="22"/>
        </w:rPr>
        <w:t>or</w:t>
      </w:r>
      <w:r>
        <w:rPr>
          <w:spacing w:val="-8"/>
          <w:sz w:val="22"/>
        </w:rPr>
        <w:t> </w:t>
      </w:r>
      <w:r>
        <w:rPr>
          <w:spacing w:val="-2"/>
          <w:sz w:val="22"/>
        </w:rPr>
        <w:t>damage</w:t>
      </w:r>
      <w:r>
        <w:rPr>
          <w:spacing w:val="-13"/>
          <w:sz w:val="22"/>
        </w:rPr>
        <w:t> </w:t>
      </w:r>
      <w:r>
        <w:rPr>
          <w:spacing w:val="-2"/>
          <w:sz w:val="22"/>
        </w:rPr>
        <w:t>for</w:t>
      </w:r>
      <w:r>
        <w:rPr>
          <w:spacing w:val="-11"/>
          <w:sz w:val="22"/>
        </w:rPr>
        <w:t> </w:t>
      </w:r>
      <w:r>
        <w:rPr>
          <w:spacing w:val="-2"/>
          <w:sz w:val="22"/>
        </w:rPr>
        <w:t>the</w:t>
      </w:r>
      <w:r>
        <w:rPr>
          <w:spacing w:val="-7"/>
          <w:sz w:val="22"/>
        </w:rPr>
        <w:t> </w:t>
      </w:r>
      <w:r>
        <w:rPr>
          <w:spacing w:val="-2"/>
          <w:sz w:val="22"/>
        </w:rPr>
        <w:t>coverages</w:t>
      </w:r>
      <w:r>
        <w:rPr>
          <w:spacing w:val="-9"/>
          <w:sz w:val="22"/>
        </w:rPr>
        <w:t> </w:t>
      </w:r>
      <w:r>
        <w:rPr>
          <w:spacing w:val="-2"/>
          <w:sz w:val="22"/>
        </w:rPr>
        <w:t>shown</w:t>
      </w:r>
      <w:r>
        <w:rPr>
          <w:spacing w:val="-7"/>
          <w:sz w:val="22"/>
        </w:rPr>
        <w:t> </w:t>
      </w:r>
      <w:r>
        <w:rPr>
          <w:spacing w:val="-2"/>
          <w:sz w:val="22"/>
        </w:rPr>
        <w:t>in</w:t>
      </w:r>
      <w:r>
        <w:rPr>
          <w:spacing w:val="-9"/>
          <w:sz w:val="22"/>
        </w:rPr>
        <w:t> </w:t>
      </w:r>
      <w:r>
        <w:rPr>
          <w:spacing w:val="-2"/>
          <w:sz w:val="22"/>
        </w:rPr>
        <w:t>the</w:t>
      </w:r>
      <w:r>
        <w:rPr>
          <w:spacing w:val="-7"/>
          <w:sz w:val="22"/>
        </w:rPr>
        <w:t> </w:t>
      </w:r>
      <w:r>
        <w:rPr>
          <w:spacing w:val="-2"/>
          <w:sz w:val="22"/>
        </w:rPr>
        <w:t>Schedule</w:t>
      </w:r>
      <w:r>
        <w:rPr>
          <w:spacing w:val="-9"/>
          <w:sz w:val="22"/>
        </w:rPr>
        <w:t> </w:t>
      </w:r>
      <w:r>
        <w:rPr>
          <w:spacing w:val="-2"/>
          <w:sz w:val="22"/>
        </w:rPr>
        <w:t>caused </w:t>
      </w:r>
      <w:r>
        <w:rPr>
          <w:sz w:val="22"/>
        </w:rPr>
        <w:t>by all occurrences in a 12-month period.</w:t>
      </w:r>
    </w:p>
    <w:p>
      <w:pPr>
        <w:pStyle w:val="ListParagraph"/>
        <w:numPr>
          <w:ilvl w:val="0"/>
          <w:numId w:val="1"/>
        </w:numPr>
        <w:tabs>
          <w:tab w:pos="480" w:val="left" w:leader="none"/>
        </w:tabs>
        <w:spacing w:line="208" w:lineRule="auto" w:before="79" w:after="0"/>
        <w:ind w:left="480" w:right="115" w:hanging="360"/>
        <w:jc w:val="both"/>
        <w:rPr>
          <w:sz w:val="22"/>
        </w:rPr>
      </w:pPr>
      <w:r>
        <w:rPr>
          <w:sz w:val="22"/>
        </w:rPr>
        <w:t>The per occurrence limits of insurance and the aggregate limit of insurance if shown in the Schedule are part of, not in addition to, the applicable Limits Of Insurance shown in the </w:t>
      </w:r>
      <w:r>
        <w:rPr>
          <w:spacing w:val="-2"/>
          <w:sz w:val="22"/>
        </w:rPr>
        <w:t>Declarations.</w:t>
      </w:r>
    </w:p>
    <w:p>
      <w:pPr>
        <w:pStyle w:val="BodyText"/>
        <w:rPr>
          <w:sz w:val="24"/>
        </w:rPr>
      </w:pPr>
    </w:p>
    <w:p>
      <w:pPr>
        <w:pStyle w:val="BodyText"/>
        <w:spacing w:before="11"/>
        <w:rPr>
          <w:sz w:val="19"/>
        </w:rPr>
      </w:pPr>
    </w:p>
    <w:p>
      <w:pPr>
        <w:pStyle w:val="Heading1"/>
      </w:pPr>
      <w:r>
        <w:rPr/>
        <w:t>Cyber</w:t>
      </w:r>
      <w:r>
        <w:rPr>
          <w:spacing w:val="-5"/>
        </w:rPr>
        <w:t> </w:t>
      </w:r>
      <w:r>
        <w:rPr/>
        <w:t>Incident</w:t>
      </w:r>
      <w:r>
        <w:rPr>
          <w:spacing w:val="-5"/>
        </w:rPr>
        <w:t> </w:t>
      </w:r>
      <w:r>
        <w:rPr>
          <w:spacing w:val="-2"/>
        </w:rPr>
        <w:t>Exclusion</w:t>
      </w:r>
    </w:p>
    <w:p>
      <w:pPr>
        <w:pStyle w:val="BodyText"/>
        <w:rPr>
          <w:b/>
        </w:rPr>
      </w:pPr>
    </w:p>
    <w:p>
      <w:pPr>
        <w:pStyle w:val="BodyText"/>
        <w:ind w:left="119" w:right="113"/>
        <w:jc w:val="both"/>
      </w:pPr>
      <w:r>
        <w:rPr/>
        <w:t>When</w:t>
      </w:r>
      <w:r>
        <w:rPr>
          <w:spacing w:val="-3"/>
        </w:rPr>
        <w:t> </w:t>
      </w:r>
      <w:r>
        <w:rPr/>
        <w:t>this endorsement</w:t>
      </w:r>
      <w:r>
        <w:rPr>
          <w:spacing w:val="-1"/>
        </w:rPr>
        <w:t> </w:t>
      </w:r>
      <w:r>
        <w:rPr/>
        <w:t>is attached</w:t>
      </w:r>
      <w:r>
        <w:rPr>
          <w:spacing w:val="-3"/>
        </w:rPr>
        <w:t> </w:t>
      </w:r>
      <w:r>
        <w:rPr/>
        <w:t>to</w:t>
      </w:r>
      <w:r>
        <w:rPr>
          <w:spacing w:val="-3"/>
        </w:rPr>
        <w:t> </w:t>
      </w:r>
      <w:r>
        <w:rPr/>
        <w:t>your policy, it</w:t>
      </w:r>
      <w:r>
        <w:rPr>
          <w:spacing w:val="-4"/>
        </w:rPr>
        <w:t> </w:t>
      </w:r>
      <w:r>
        <w:rPr/>
        <w:t>generally</w:t>
      </w:r>
      <w:r>
        <w:rPr>
          <w:spacing w:val="-2"/>
        </w:rPr>
        <w:t> </w:t>
      </w:r>
      <w:r>
        <w:rPr/>
        <w:t>excludes direct physical</w:t>
      </w:r>
      <w:r>
        <w:rPr>
          <w:spacing w:val="-1"/>
        </w:rPr>
        <w:t> </w:t>
      </w:r>
      <w:r>
        <w:rPr/>
        <w:t>loss</w:t>
      </w:r>
      <w:r>
        <w:rPr>
          <w:spacing w:val="-2"/>
        </w:rPr>
        <w:t> </w:t>
      </w:r>
      <w:r>
        <w:rPr/>
        <w:t>of or damage to Covered Property resulting from a cyber incident; however, if a cyber incident as described in this exclusion results in fire or explosion, we will pay for the loss or damage to Covered Property caused by that fire or explosion subject to the applicable limits of insurance.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647" w:hRule="atLeast"/>
        </w:trPr>
        <w:tc>
          <w:tcPr>
            <w:tcW w:w="1711" w:type="dxa"/>
          </w:tcPr>
          <w:p>
            <w:pPr>
              <w:pStyle w:val="TableParagraph"/>
              <w:rPr>
                <w:sz w:val="18"/>
              </w:rPr>
            </w:pPr>
            <w:r>
              <w:rPr>
                <w:sz w:val="18"/>
              </w:rPr>
              <w:t>128402</w:t>
            </w:r>
            <w:r>
              <w:rPr>
                <w:spacing w:val="-9"/>
                <w:sz w:val="18"/>
              </w:rPr>
              <w:t> </w:t>
            </w:r>
            <w:r>
              <w:rPr>
                <w:sz w:val="18"/>
              </w:rPr>
              <w:t>(1-</w:t>
            </w:r>
            <w:r>
              <w:rPr>
                <w:spacing w:val="-5"/>
                <w:sz w:val="18"/>
              </w:rPr>
              <w:t>21</w:t>
            </w:r>
          </w:p>
        </w:tc>
        <w:tc>
          <w:tcPr>
            <w:tcW w:w="5683" w:type="dxa"/>
          </w:tcPr>
          <w:p>
            <w:pPr>
              <w:pStyle w:val="TableParagraph"/>
              <w:spacing w:line="256" w:lineRule="auto" w:before="6"/>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w:t>
            </w:r>
            <w:r>
              <w:rPr>
                <w:spacing w:val="-2"/>
                <w:sz w:val="18"/>
              </w:rPr>
              <w:t> </w:t>
            </w:r>
            <w:r>
              <w:rPr>
                <w:sz w:val="18"/>
              </w:rPr>
              <w:t>1</w:t>
            </w:r>
            <w:r>
              <w:rPr>
                <w:spacing w:val="-3"/>
                <w:sz w:val="18"/>
              </w:rPr>
              <w:t> </w:t>
            </w:r>
            <w:r>
              <w:rPr>
                <w:sz w:val="18"/>
              </w:rPr>
              <w:t>of </w:t>
            </w:r>
            <w:r>
              <w:rPr>
                <w:spacing w:val="-10"/>
                <w:sz w:val="18"/>
              </w:rPr>
              <w:t>1</w:t>
            </w:r>
          </w:p>
        </w:tc>
      </w:tr>
    </w:tbl>
    <w:sectPr>
      <w:type w:val="continuous"/>
      <w:pgSz w:w="12240" w:h="15840"/>
      <w:pgMar w:top="136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80" w:hanging="360"/>
      </w:pPr>
      <w:rPr>
        <w:rFonts w:hint="default" w:ascii="Wingdings" w:hAnsi="Wingdings" w:eastAsia="Wingdings" w:cs="Wingdings"/>
        <w:b w:val="0"/>
        <w:bCs w:val="0"/>
        <w:i w:val="0"/>
        <w:iCs w:val="0"/>
        <w:spacing w:val="0"/>
        <w:w w:val="99"/>
        <w:sz w:val="20"/>
        <w:szCs w:val="20"/>
        <w:lang w:val="en-US" w:eastAsia="en-US" w:bidi="ar-SA"/>
      </w:rPr>
    </w:lvl>
    <w:lvl w:ilvl="1">
      <w:start w:val="0"/>
      <w:numFmt w:val="bullet"/>
      <w:lvlText w:val="•"/>
      <w:lvlJc w:val="left"/>
      <w:pPr>
        <w:ind w:left="1392" w:hanging="360"/>
      </w:pPr>
      <w:rPr>
        <w:rFonts w:hint="default"/>
        <w:lang w:val="en-US" w:eastAsia="en-US" w:bidi="ar-SA"/>
      </w:rPr>
    </w:lvl>
    <w:lvl w:ilvl="2">
      <w:start w:val="0"/>
      <w:numFmt w:val="bullet"/>
      <w:lvlText w:val="•"/>
      <w:lvlJc w:val="left"/>
      <w:pPr>
        <w:ind w:left="2304" w:hanging="360"/>
      </w:pPr>
      <w:rPr>
        <w:rFonts w:hint="default"/>
        <w:lang w:val="en-US" w:eastAsia="en-US" w:bidi="ar-SA"/>
      </w:rPr>
    </w:lvl>
    <w:lvl w:ilvl="3">
      <w:start w:val="0"/>
      <w:numFmt w:val="bullet"/>
      <w:lvlText w:val="•"/>
      <w:lvlJc w:val="left"/>
      <w:pPr>
        <w:ind w:left="3216" w:hanging="360"/>
      </w:pPr>
      <w:rPr>
        <w:rFonts w:hint="default"/>
        <w:lang w:val="en-US" w:eastAsia="en-US" w:bidi="ar-SA"/>
      </w:rPr>
    </w:lvl>
    <w:lvl w:ilvl="4">
      <w:start w:val="0"/>
      <w:numFmt w:val="bullet"/>
      <w:lvlText w:val="•"/>
      <w:lvlJc w:val="left"/>
      <w:pPr>
        <w:ind w:left="4128" w:hanging="360"/>
      </w:pPr>
      <w:rPr>
        <w:rFonts w:hint="default"/>
        <w:lang w:val="en-US" w:eastAsia="en-US" w:bidi="ar-SA"/>
      </w:rPr>
    </w:lvl>
    <w:lvl w:ilvl="5">
      <w:start w:val="0"/>
      <w:numFmt w:val="bullet"/>
      <w:lvlText w:val="•"/>
      <w:lvlJc w:val="left"/>
      <w:pPr>
        <w:ind w:left="5040" w:hanging="360"/>
      </w:pPr>
      <w:rPr>
        <w:rFonts w:hint="default"/>
        <w:lang w:val="en-US" w:eastAsia="en-US" w:bidi="ar-SA"/>
      </w:rPr>
    </w:lvl>
    <w:lvl w:ilvl="6">
      <w:start w:val="0"/>
      <w:numFmt w:val="bullet"/>
      <w:lvlText w:val="•"/>
      <w:lvlJc w:val="left"/>
      <w:pPr>
        <w:ind w:left="5952" w:hanging="360"/>
      </w:pPr>
      <w:rPr>
        <w:rFonts w:hint="default"/>
        <w:lang w:val="en-US" w:eastAsia="en-US" w:bidi="ar-SA"/>
      </w:rPr>
    </w:lvl>
    <w:lvl w:ilvl="7">
      <w:start w:val="0"/>
      <w:numFmt w:val="bullet"/>
      <w:lvlText w:val="•"/>
      <w:lvlJc w:val="left"/>
      <w:pPr>
        <w:ind w:left="6864" w:hanging="360"/>
      </w:pPr>
      <w:rPr>
        <w:rFonts w:hint="default"/>
        <w:lang w:val="en-US" w:eastAsia="en-US" w:bidi="ar-SA"/>
      </w:rPr>
    </w:lvl>
    <w:lvl w:ilvl="8">
      <w:start w:val="0"/>
      <w:numFmt w:val="bullet"/>
      <w:lvlText w:val="•"/>
      <w:lvlJc w:val="left"/>
      <w:pPr>
        <w:ind w:left="7776"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ind w:left="119"/>
      <w:jc w:val="both"/>
      <w:outlineLvl w:val="1"/>
    </w:pPr>
    <w:rPr>
      <w:rFonts w:ascii="Arial" w:hAnsi="Arial" w:eastAsia="Arial" w:cs="Arial"/>
      <w:b/>
      <w:bCs/>
      <w:sz w:val="22"/>
      <w:szCs w:val="22"/>
      <w:lang w:val="en-US" w:eastAsia="en-US" w:bidi="ar-SA"/>
    </w:rPr>
  </w:style>
  <w:style w:styleId="Title" w:type="paragraph">
    <w:name w:val="Title"/>
    <w:basedOn w:val="Normal"/>
    <w:uiPriority w:val="1"/>
    <w:qFormat/>
    <w:pPr>
      <w:ind w:left="218" w:right="213"/>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spacing w:before="74"/>
      <w:ind w:left="480" w:right="114" w:hanging="360"/>
      <w:jc w:val="both"/>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Chartis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Scott Midgley</dc:creator>
  <dcterms:created xsi:type="dcterms:W3CDTF">2024-01-23T21:36:02Z</dcterms:created>
  <dcterms:modified xsi:type="dcterms:W3CDTF">2024-01-23T21:36:02Z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0x01010035119C26E1E4454A9A8CA3E28414D34D00F575A4CC4C9206419FB088D1404FD8E0</vt:lpwstr>
  </property>
  <property fmtid="{D5CDD505-2E9C-101B-9397-08002B2CF9AE}" pid="3" name="Created">
    <vt:filetime>2021-01-12T00:00:00Z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D:20210112141825</vt:lpwstr>
  </property>
</Properties>
</file>