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1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1105"/>
        <w:gridCol w:w="9477"/>
      </w:tblGrid>
      <w:tr>
        <w:trPr>
          <w:trHeight w:val="313" w:hRule="exact"/>
        </w:trPr>
        <w:tc>
          <w:tcPr>
            <w:tcW w:w="1105" w:type="dxa"/>
          </w:tcPr>
          <w:p>
            <w:pPr/>
          </w:p>
        </w:tc>
        <w:tc>
          <w:tcPr>
            <w:tcW w:w="9477" w:type="dxa"/>
          </w:tcPr>
          <w:p>
            <w:pPr>
              <w:pStyle w:val="TableParagraph"/>
              <w:spacing w:line="285" w:lineRule="exact" w:before="0"/>
              <w:ind w:left="1987"/>
              <w:rPr>
                <w:b/>
                <w:sz w:val="26"/>
              </w:rPr>
            </w:pPr>
            <w:r>
              <w:rPr>
                <w:b/>
                <w:sz w:val="26"/>
              </w:rPr>
              <w:t>American Home/National Union  Group</w:t>
            </w:r>
          </w:p>
        </w:tc>
      </w:tr>
      <w:tr>
        <w:trPr>
          <w:trHeight w:val="405" w:hRule="exact"/>
        </w:trPr>
        <w:tc>
          <w:tcPr>
            <w:tcW w:w="1105" w:type="dxa"/>
          </w:tcPr>
          <w:p>
            <w:pPr/>
          </w:p>
        </w:tc>
        <w:tc>
          <w:tcPr>
            <w:tcW w:w="9477" w:type="dxa"/>
          </w:tcPr>
          <w:p>
            <w:pPr>
              <w:pStyle w:val="TableParagraph"/>
              <w:spacing w:before="10"/>
              <w:ind w:left="2431"/>
              <w:rPr>
                <w:b/>
                <w:sz w:val="22"/>
              </w:rPr>
            </w:pPr>
            <w:r>
              <w:rPr>
                <w:b/>
                <w:sz w:val="22"/>
              </w:rPr>
              <w:t>Psychoanalysts  Professional Liability</w:t>
            </w:r>
          </w:p>
        </w:tc>
      </w:tr>
      <w:tr>
        <w:trPr>
          <w:trHeight w:val="389" w:hRule="exact"/>
        </w:trPr>
        <w:tc>
          <w:tcPr>
            <w:tcW w:w="1105" w:type="dxa"/>
          </w:tcPr>
          <w:p>
            <w:pPr/>
          </w:p>
        </w:tc>
        <w:tc>
          <w:tcPr>
            <w:tcW w:w="9477" w:type="dxa"/>
          </w:tcPr>
          <w:p>
            <w:pPr>
              <w:pStyle w:val="TableParagraph"/>
              <w:spacing w:before="123"/>
              <w:ind w:left="2573"/>
              <w:rPr>
                <w:b/>
                <w:sz w:val="22"/>
              </w:rPr>
            </w:pPr>
            <w:r>
              <w:rPr>
                <w:b/>
                <w:sz w:val="22"/>
              </w:rPr>
              <w:t>Explanatory  Memorandum</w:t>
            </w:r>
          </w:p>
        </w:tc>
      </w:tr>
      <w:tr>
        <w:trPr>
          <w:trHeight w:val="408" w:hRule="exact"/>
        </w:trPr>
        <w:tc>
          <w:tcPr>
            <w:tcW w:w="1105" w:type="dxa"/>
          </w:tcPr>
          <w:p>
            <w:pPr/>
          </w:p>
        </w:tc>
        <w:tc>
          <w:tcPr>
            <w:tcW w:w="9477" w:type="dxa"/>
          </w:tcPr>
          <w:p>
            <w:pPr>
              <w:pStyle w:val="TableParagraph"/>
              <w:spacing w:line="247" w:lineRule="exact" w:before="0"/>
              <w:ind w:left="3279" w:right="4963"/>
              <w:jc w:val="center"/>
              <w:rPr>
                <w:b/>
                <w:sz w:val="22"/>
              </w:rPr>
            </w:pPr>
            <w:r>
              <w:rPr>
                <w:b/>
                <w:w w:val="105"/>
                <w:sz w:val="22"/>
              </w:rPr>
              <w:t>ALABAMA</w:t>
            </w:r>
          </w:p>
        </w:tc>
      </w:tr>
      <w:tr>
        <w:trPr>
          <w:trHeight w:val="859" w:hRule="exact"/>
        </w:trPr>
        <w:tc>
          <w:tcPr>
            <w:tcW w:w="1105" w:type="dxa"/>
          </w:tcPr>
          <w:p>
            <w:pPr/>
          </w:p>
        </w:tc>
        <w:tc>
          <w:tcPr>
            <w:tcW w:w="9477" w:type="dxa"/>
          </w:tcPr>
          <w:p>
            <w:pPr>
              <w:pStyle w:val="TableParagraph"/>
              <w:spacing w:line="276" w:lineRule="auto" w:before="146"/>
              <w:ind w:right="105"/>
              <w:rPr>
                <w:sz w:val="18"/>
              </w:rPr>
            </w:pPr>
            <w:r>
              <w:rPr>
                <w:w w:val="105"/>
                <w:sz w:val="18"/>
              </w:rPr>
              <w:t>American Home/National Union Group is proposing to increase the base rate for Psychoanalysts Professional Liability by 3.0 %.</w:t>
            </w:r>
          </w:p>
        </w:tc>
      </w:tr>
      <w:tr>
        <w:trPr>
          <w:trHeight w:val="488" w:hRule="exact"/>
        </w:trPr>
        <w:tc>
          <w:tcPr>
            <w:tcW w:w="1105" w:type="dxa"/>
          </w:tcPr>
          <w:p>
            <w:pPr>
              <w:pStyle w:val="TableParagraph"/>
              <w:spacing w:before="10"/>
              <w:ind w:left="0"/>
              <w:rPr>
                <w:sz w:val="21"/>
              </w:rPr>
            </w:pPr>
          </w:p>
          <w:p>
            <w:pPr>
              <w:pStyle w:val="TableParagraph"/>
              <w:spacing w:before="1"/>
              <w:ind w:left="176" w:right="106"/>
              <w:jc w:val="center"/>
              <w:rPr>
                <w:b/>
                <w:i/>
                <w:sz w:val="18"/>
              </w:rPr>
            </w:pPr>
            <w:r>
              <w:rPr>
                <w:b/>
                <w:i/>
                <w:w w:val="105"/>
                <w:sz w:val="18"/>
              </w:rPr>
              <w:t>Exhibit 1:</w:t>
            </w:r>
          </w:p>
        </w:tc>
        <w:tc>
          <w:tcPr>
            <w:tcW w:w="9477" w:type="dxa"/>
          </w:tcPr>
          <w:p>
            <w:pPr>
              <w:pStyle w:val="TableParagraph"/>
              <w:spacing w:before="10"/>
              <w:ind w:left="0"/>
              <w:rPr>
                <w:sz w:val="21"/>
              </w:rPr>
            </w:pPr>
          </w:p>
          <w:p>
            <w:pPr>
              <w:pStyle w:val="TableParagraph"/>
              <w:spacing w:before="1"/>
              <w:rPr>
                <w:b/>
                <w:i/>
                <w:sz w:val="18"/>
              </w:rPr>
            </w:pPr>
            <w:r>
              <w:rPr>
                <w:b/>
                <w:i/>
                <w:w w:val="105"/>
                <w:sz w:val="18"/>
              </w:rPr>
              <w:t>CALCULATION OF INDICATED RATE LEVEL CHANGE</w:t>
            </w:r>
          </w:p>
        </w:tc>
      </w:tr>
      <w:tr>
        <w:trPr>
          <w:trHeight w:val="1833" w:hRule="exact"/>
        </w:trPr>
        <w:tc>
          <w:tcPr>
            <w:tcW w:w="1105" w:type="dxa"/>
          </w:tcPr>
          <w:p>
            <w:pPr/>
          </w:p>
        </w:tc>
        <w:tc>
          <w:tcPr>
            <w:tcW w:w="9477" w:type="dxa"/>
          </w:tcPr>
          <w:p>
            <w:pPr>
              <w:pStyle w:val="TableParagraph"/>
              <w:spacing w:line="276" w:lineRule="auto"/>
              <w:ind w:right="200"/>
              <w:jc w:val="both"/>
              <w:rPr>
                <w:sz w:val="18"/>
              </w:rPr>
            </w:pPr>
            <w:r>
              <w:rPr>
                <w:w w:val="105"/>
                <w:sz w:val="18"/>
              </w:rPr>
              <w:t>Ultimate developed, trended and on-level results are shown for countrywide and state loss experience for this program. Countrywide and state earned premiums have been adjusted to each state's present rate level by using the standard parallelogram method. Incurred Losses and Lae are trended to one year past the proposed effective date, in order to reflect changes in frequency and severity subsequent to the experience period. The indicated rate level change is based on a comparison of the credibility weighted loss ratio to the expected loss ratio. An offset for investment income is applied to the calculation of the target profit &amp; contingency. The calculation of profit is based on the company's target rate of return of 15%.</w:t>
            </w:r>
          </w:p>
        </w:tc>
      </w:tr>
      <w:tr>
        <w:trPr>
          <w:trHeight w:val="408" w:hRule="exact"/>
        </w:trPr>
        <w:tc>
          <w:tcPr>
            <w:tcW w:w="1105" w:type="dxa"/>
          </w:tcPr>
          <w:p>
            <w:pPr>
              <w:pStyle w:val="TableParagraph"/>
              <w:spacing w:before="172"/>
              <w:ind w:left="176" w:right="106"/>
              <w:jc w:val="center"/>
              <w:rPr>
                <w:b/>
                <w:i/>
                <w:sz w:val="18"/>
              </w:rPr>
            </w:pPr>
            <w:r>
              <w:rPr>
                <w:b/>
                <w:i/>
                <w:w w:val="105"/>
                <w:sz w:val="18"/>
              </w:rPr>
              <w:t>Exhibit 2:</w:t>
            </w:r>
          </w:p>
        </w:tc>
        <w:tc>
          <w:tcPr>
            <w:tcW w:w="9477" w:type="dxa"/>
          </w:tcPr>
          <w:p>
            <w:pPr>
              <w:pStyle w:val="TableParagraph"/>
              <w:spacing w:before="172"/>
              <w:rPr>
                <w:b/>
                <w:i/>
                <w:sz w:val="18"/>
              </w:rPr>
            </w:pPr>
            <w:r>
              <w:rPr>
                <w:b/>
                <w:i/>
                <w:w w:val="105"/>
                <w:sz w:val="18"/>
              </w:rPr>
              <w:t>DEVELOPMENT OF REPORTED INCURRED LOSS AND LAE TO ULTIMATE</w:t>
            </w:r>
          </w:p>
        </w:tc>
      </w:tr>
      <w:tr>
        <w:trPr>
          <w:trHeight w:val="873" w:hRule="exact"/>
        </w:trPr>
        <w:tc>
          <w:tcPr>
            <w:tcW w:w="1105" w:type="dxa"/>
          </w:tcPr>
          <w:p>
            <w:pPr/>
          </w:p>
        </w:tc>
        <w:tc>
          <w:tcPr>
            <w:tcW w:w="9477" w:type="dxa"/>
          </w:tcPr>
          <w:p>
            <w:pPr>
              <w:pStyle w:val="TableParagraph"/>
              <w:spacing w:line="276" w:lineRule="auto"/>
              <w:ind w:right="208"/>
              <w:jc w:val="both"/>
              <w:rPr>
                <w:sz w:val="18"/>
              </w:rPr>
            </w:pPr>
            <w:r>
              <w:rPr>
                <w:w w:val="105"/>
                <w:sz w:val="18"/>
              </w:rPr>
              <w:t>Countrywide and state calculation of ultimate loss and LAE ratios are shown for the most recent five years. Ratios are based on calendar year earned premiums and accident year ultimate loss and LAE, including unallocated LAE (Exhibit 6).</w:t>
            </w:r>
          </w:p>
        </w:tc>
      </w:tr>
      <w:tr>
        <w:trPr>
          <w:trHeight w:val="397" w:hRule="exact"/>
        </w:trPr>
        <w:tc>
          <w:tcPr>
            <w:tcW w:w="1105" w:type="dxa"/>
          </w:tcPr>
          <w:p>
            <w:pPr>
              <w:pStyle w:val="TableParagraph"/>
              <w:spacing w:before="161"/>
              <w:ind w:left="176" w:right="44"/>
              <w:jc w:val="center"/>
              <w:rPr>
                <w:b/>
                <w:i/>
                <w:sz w:val="18"/>
              </w:rPr>
            </w:pPr>
            <w:r>
              <w:rPr>
                <w:b/>
                <w:i/>
                <w:w w:val="105"/>
                <w:sz w:val="18"/>
              </w:rPr>
              <w:t>Exhibit 3</w:t>
            </w:r>
          </w:p>
        </w:tc>
        <w:tc>
          <w:tcPr>
            <w:tcW w:w="9477" w:type="dxa"/>
          </w:tcPr>
          <w:p>
            <w:pPr>
              <w:pStyle w:val="TableParagraph"/>
              <w:spacing w:before="161"/>
              <w:rPr>
                <w:b/>
                <w:i/>
                <w:sz w:val="18"/>
              </w:rPr>
            </w:pPr>
            <w:r>
              <w:rPr>
                <w:b/>
                <w:i/>
                <w:w w:val="105"/>
                <w:sz w:val="18"/>
              </w:rPr>
              <w:t>INCURRED LOSS AND LOSS ADJUSTMENT EXPENSE DEVELOPMENT</w:t>
            </w:r>
          </w:p>
        </w:tc>
      </w:tr>
      <w:tr>
        <w:trPr>
          <w:trHeight w:val="1128" w:hRule="exact"/>
        </w:trPr>
        <w:tc>
          <w:tcPr>
            <w:tcW w:w="1105" w:type="dxa"/>
          </w:tcPr>
          <w:p>
            <w:pPr/>
          </w:p>
        </w:tc>
        <w:tc>
          <w:tcPr>
            <w:tcW w:w="9477" w:type="dxa"/>
          </w:tcPr>
          <w:p>
            <w:pPr>
              <w:pStyle w:val="TableParagraph"/>
              <w:spacing w:line="276" w:lineRule="auto"/>
              <w:ind w:right="202"/>
              <w:jc w:val="both"/>
              <w:rPr>
                <w:sz w:val="18"/>
              </w:rPr>
            </w:pPr>
            <w:r>
              <w:rPr>
                <w:w w:val="105"/>
                <w:sz w:val="18"/>
              </w:rPr>
              <w:t>Accident Year Loss and Allocated Loss Adjustment Expense experience for Psychoanalysts Professional Liability is shown as of 6/2009, along with age to age factors and the corresponding age to ultimate development factors (Exhibit 3A). These factors are then applied to the countrywide Exhibit 3A and state Exhibit 3B loss experience for Psychoanalysts Professional Liability.</w:t>
            </w:r>
          </w:p>
        </w:tc>
      </w:tr>
      <w:tr>
        <w:trPr>
          <w:trHeight w:val="415" w:hRule="exact"/>
        </w:trPr>
        <w:tc>
          <w:tcPr>
            <w:tcW w:w="1105" w:type="dxa"/>
          </w:tcPr>
          <w:p>
            <w:pPr>
              <w:pStyle w:val="TableParagraph"/>
              <w:spacing w:before="179"/>
              <w:ind w:left="176" w:right="106"/>
              <w:jc w:val="center"/>
              <w:rPr>
                <w:b/>
                <w:i/>
                <w:sz w:val="18"/>
              </w:rPr>
            </w:pPr>
            <w:r>
              <w:rPr>
                <w:b/>
                <w:i/>
                <w:w w:val="105"/>
                <w:sz w:val="18"/>
              </w:rPr>
              <w:t>Exhibit 4:</w:t>
            </w:r>
          </w:p>
        </w:tc>
        <w:tc>
          <w:tcPr>
            <w:tcW w:w="9477" w:type="dxa"/>
          </w:tcPr>
          <w:p>
            <w:pPr>
              <w:pStyle w:val="TableParagraph"/>
              <w:spacing w:before="179"/>
              <w:rPr>
                <w:b/>
                <w:i/>
                <w:sz w:val="18"/>
              </w:rPr>
            </w:pPr>
            <w:r>
              <w:rPr>
                <w:b/>
                <w:i/>
                <w:w w:val="105"/>
                <w:sz w:val="18"/>
              </w:rPr>
              <w:t>TREND ANALYSIS</w:t>
            </w:r>
          </w:p>
        </w:tc>
      </w:tr>
      <w:tr>
        <w:trPr>
          <w:trHeight w:val="1030" w:hRule="exact"/>
        </w:trPr>
        <w:tc>
          <w:tcPr>
            <w:tcW w:w="1105" w:type="dxa"/>
          </w:tcPr>
          <w:p>
            <w:pPr/>
          </w:p>
        </w:tc>
        <w:tc>
          <w:tcPr>
            <w:tcW w:w="9477" w:type="dxa"/>
          </w:tcPr>
          <w:p>
            <w:pPr>
              <w:pStyle w:val="TableParagraph"/>
              <w:spacing w:line="276" w:lineRule="auto"/>
              <w:ind w:right="203"/>
              <w:jc w:val="both"/>
              <w:rPr>
                <w:sz w:val="18"/>
              </w:rPr>
            </w:pPr>
            <w:r>
              <w:rPr>
                <w:w w:val="105"/>
                <w:sz w:val="18"/>
              </w:rPr>
              <w:t>Calculation of annual frequency/severity trend is based on the most recent policy year experience for Health</w:t>
            </w:r>
            <w:r>
              <w:rPr>
                <w:spacing w:val="-29"/>
                <w:w w:val="105"/>
                <w:sz w:val="18"/>
              </w:rPr>
              <w:t> </w:t>
            </w:r>
            <w:r>
              <w:rPr>
                <w:w w:val="105"/>
                <w:sz w:val="18"/>
              </w:rPr>
              <w:t>Professional Liability. The least squares method has been used to measure the average change in frequency and severity. The trend period</w:t>
            </w:r>
            <w:r>
              <w:rPr>
                <w:spacing w:val="-6"/>
                <w:w w:val="105"/>
                <w:sz w:val="18"/>
              </w:rPr>
              <w:t> </w:t>
            </w:r>
            <w:r>
              <w:rPr>
                <w:w w:val="105"/>
                <w:sz w:val="18"/>
              </w:rPr>
              <w:t>extends</w:t>
            </w:r>
            <w:r>
              <w:rPr>
                <w:spacing w:val="-6"/>
                <w:w w:val="105"/>
                <w:sz w:val="18"/>
              </w:rPr>
              <w:t> </w:t>
            </w:r>
            <w:r>
              <w:rPr>
                <w:w w:val="105"/>
                <w:sz w:val="18"/>
              </w:rPr>
              <w:t>from</w:t>
            </w:r>
            <w:r>
              <w:rPr>
                <w:spacing w:val="-6"/>
                <w:w w:val="105"/>
                <w:sz w:val="18"/>
              </w:rPr>
              <w:t> </w:t>
            </w:r>
            <w:r>
              <w:rPr>
                <w:w w:val="105"/>
                <w:sz w:val="18"/>
              </w:rPr>
              <w:t>the</w:t>
            </w:r>
            <w:r>
              <w:rPr>
                <w:spacing w:val="-6"/>
                <w:w w:val="105"/>
                <w:sz w:val="18"/>
              </w:rPr>
              <w:t> </w:t>
            </w:r>
            <w:r>
              <w:rPr>
                <w:w w:val="105"/>
                <w:sz w:val="18"/>
              </w:rPr>
              <w:t>midpoint</w:t>
            </w:r>
            <w:r>
              <w:rPr>
                <w:spacing w:val="-6"/>
                <w:w w:val="105"/>
                <w:sz w:val="18"/>
              </w:rPr>
              <w:t> </w:t>
            </w:r>
            <w:r>
              <w:rPr>
                <w:w w:val="105"/>
                <w:sz w:val="18"/>
              </w:rPr>
              <w:t>of</w:t>
            </w:r>
            <w:r>
              <w:rPr>
                <w:spacing w:val="-6"/>
                <w:w w:val="105"/>
                <w:sz w:val="18"/>
              </w:rPr>
              <w:t> </w:t>
            </w:r>
            <w:r>
              <w:rPr>
                <w:w w:val="105"/>
                <w:sz w:val="18"/>
              </w:rPr>
              <w:t>each</w:t>
            </w:r>
            <w:r>
              <w:rPr>
                <w:spacing w:val="-6"/>
                <w:w w:val="105"/>
                <w:sz w:val="18"/>
              </w:rPr>
              <w:t> </w:t>
            </w:r>
            <w:r>
              <w:rPr>
                <w:w w:val="105"/>
                <w:sz w:val="18"/>
              </w:rPr>
              <w:t>accident</w:t>
            </w:r>
            <w:r>
              <w:rPr>
                <w:spacing w:val="-6"/>
                <w:w w:val="105"/>
                <w:sz w:val="18"/>
              </w:rPr>
              <w:t> </w:t>
            </w:r>
            <w:r>
              <w:rPr>
                <w:w w:val="105"/>
                <w:sz w:val="18"/>
              </w:rPr>
              <w:t>year</w:t>
            </w:r>
            <w:r>
              <w:rPr>
                <w:spacing w:val="-6"/>
                <w:w w:val="105"/>
                <w:sz w:val="18"/>
              </w:rPr>
              <w:t> </w:t>
            </w:r>
            <w:r>
              <w:rPr>
                <w:w w:val="105"/>
                <w:sz w:val="18"/>
              </w:rPr>
              <w:t>to</w:t>
            </w:r>
            <w:r>
              <w:rPr>
                <w:spacing w:val="-6"/>
                <w:w w:val="105"/>
                <w:sz w:val="18"/>
              </w:rPr>
              <w:t> </w:t>
            </w:r>
            <w:r>
              <w:rPr>
                <w:w w:val="105"/>
                <w:sz w:val="18"/>
              </w:rPr>
              <w:t>one</w:t>
            </w:r>
            <w:r>
              <w:rPr>
                <w:spacing w:val="-6"/>
                <w:w w:val="105"/>
                <w:sz w:val="18"/>
              </w:rPr>
              <w:t> </w:t>
            </w:r>
            <w:r>
              <w:rPr>
                <w:w w:val="105"/>
                <w:sz w:val="18"/>
              </w:rPr>
              <w:t>year</w:t>
            </w:r>
            <w:r>
              <w:rPr>
                <w:spacing w:val="-6"/>
                <w:w w:val="105"/>
                <w:sz w:val="18"/>
              </w:rPr>
              <w:t> </w:t>
            </w:r>
            <w:r>
              <w:rPr>
                <w:w w:val="105"/>
                <w:sz w:val="18"/>
              </w:rPr>
              <w:t>beyond</w:t>
            </w:r>
            <w:r>
              <w:rPr>
                <w:spacing w:val="-6"/>
                <w:w w:val="105"/>
                <w:sz w:val="18"/>
              </w:rPr>
              <w:t> </w:t>
            </w:r>
            <w:r>
              <w:rPr>
                <w:w w:val="105"/>
                <w:sz w:val="18"/>
              </w:rPr>
              <w:t>the</w:t>
            </w:r>
            <w:r>
              <w:rPr>
                <w:spacing w:val="-6"/>
                <w:w w:val="105"/>
                <w:sz w:val="18"/>
              </w:rPr>
              <w:t> </w:t>
            </w:r>
            <w:r>
              <w:rPr>
                <w:w w:val="105"/>
                <w:sz w:val="18"/>
              </w:rPr>
              <w:t>assumed</w:t>
            </w:r>
            <w:r>
              <w:rPr>
                <w:spacing w:val="-6"/>
                <w:w w:val="105"/>
                <w:sz w:val="18"/>
              </w:rPr>
              <w:t> </w:t>
            </w:r>
            <w:r>
              <w:rPr>
                <w:w w:val="105"/>
                <w:sz w:val="18"/>
              </w:rPr>
              <w:t>effective</w:t>
            </w:r>
            <w:r>
              <w:rPr>
                <w:spacing w:val="-6"/>
                <w:w w:val="105"/>
                <w:sz w:val="18"/>
              </w:rPr>
              <w:t> </w:t>
            </w:r>
            <w:r>
              <w:rPr>
                <w:w w:val="105"/>
                <w:sz w:val="18"/>
              </w:rPr>
              <w:t>date.</w:t>
            </w:r>
          </w:p>
        </w:tc>
      </w:tr>
      <w:tr>
        <w:trPr>
          <w:trHeight w:val="554" w:hRule="exact"/>
        </w:trPr>
        <w:tc>
          <w:tcPr>
            <w:tcW w:w="1105" w:type="dxa"/>
          </w:tcPr>
          <w:p>
            <w:pPr>
              <w:pStyle w:val="TableParagraph"/>
              <w:spacing w:before="7"/>
              <w:ind w:left="0"/>
              <w:rPr>
                <w:sz w:val="27"/>
              </w:rPr>
            </w:pPr>
          </w:p>
          <w:p>
            <w:pPr>
              <w:pStyle w:val="TableParagraph"/>
              <w:spacing w:before="1"/>
              <w:ind w:left="176" w:right="106"/>
              <w:jc w:val="center"/>
              <w:rPr>
                <w:b/>
                <w:i/>
                <w:sz w:val="18"/>
              </w:rPr>
            </w:pPr>
            <w:r>
              <w:rPr>
                <w:b/>
                <w:i/>
                <w:w w:val="105"/>
                <w:sz w:val="18"/>
              </w:rPr>
              <w:t>Exhibit 5:</w:t>
            </w:r>
          </w:p>
        </w:tc>
        <w:tc>
          <w:tcPr>
            <w:tcW w:w="9477" w:type="dxa"/>
          </w:tcPr>
          <w:p>
            <w:pPr>
              <w:pStyle w:val="TableParagraph"/>
              <w:spacing w:before="7"/>
              <w:ind w:left="0"/>
              <w:rPr>
                <w:sz w:val="27"/>
              </w:rPr>
            </w:pPr>
          </w:p>
          <w:p>
            <w:pPr>
              <w:pStyle w:val="TableParagraph"/>
              <w:spacing w:before="1"/>
              <w:rPr>
                <w:b/>
                <w:i/>
                <w:sz w:val="18"/>
              </w:rPr>
            </w:pPr>
            <w:r>
              <w:rPr>
                <w:b/>
                <w:i/>
                <w:w w:val="105"/>
                <w:sz w:val="18"/>
              </w:rPr>
              <w:t>EXPENSE PROVISIONS AND DETERMINATION OF EXPECTED LOSS RATIO</w:t>
            </w:r>
          </w:p>
        </w:tc>
      </w:tr>
      <w:tr>
        <w:trPr>
          <w:trHeight w:val="1141" w:hRule="exact"/>
        </w:trPr>
        <w:tc>
          <w:tcPr>
            <w:tcW w:w="1105" w:type="dxa"/>
          </w:tcPr>
          <w:p>
            <w:pPr/>
          </w:p>
        </w:tc>
        <w:tc>
          <w:tcPr>
            <w:tcW w:w="9477" w:type="dxa"/>
          </w:tcPr>
          <w:p>
            <w:pPr>
              <w:pStyle w:val="TableParagraph"/>
              <w:spacing w:line="276" w:lineRule="auto"/>
              <w:ind w:right="202"/>
              <w:jc w:val="both"/>
              <w:rPr>
                <w:sz w:val="18"/>
              </w:rPr>
            </w:pPr>
            <w:r>
              <w:rPr>
                <w:w w:val="105"/>
                <w:sz w:val="18"/>
              </w:rPr>
              <w:t>Expense provisions are based on the expenses found for Medical Malpractice in the American Home/National Union Group Insurance Expense Exhibit. The commission expense is program specific. The expected loss &amp; lae ratio is the complement of the total expenses and profit load. The profit &amp; contingency factor has been calculated based on a target rate of return on equity of 15%.</w:t>
            </w:r>
          </w:p>
        </w:tc>
      </w:tr>
      <w:tr>
        <w:trPr>
          <w:trHeight w:val="429" w:hRule="exact"/>
        </w:trPr>
        <w:tc>
          <w:tcPr>
            <w:tcW w:w="1105" w:type="dxa"/>
          </w:tcPr>
          <w:p>
            <w:pPr>
              <w:pStyle w:val="TableParagraph"/>
              <w:spacing w:before="8"/>
              <w:ind w:left="0"/>
              <w:rPr>
                <w:sz w:val="16"/>
              </w:rPr>
            </w:pPr>
          </w:p>
          <w:p>
            <w:pPr>
              <w:pStyle w:val="TableParagraph"/>
              <w:spacing w:before="0"/>
              <w:ind w:left="176" w:right="106"/>
              <w:jc w:val="center"/>
              <w:rPr>
                <w:b/>
                <w:i/>
                <w:sz w:val="18"/>
              </w:rPr>
            </w:pPr>
            <w:r>
              <w:rPr>
                <w:b/>
                <w:i/>
                <w:w w:val="105"/>
                <w:sz w:val="18"/>
              </w:rPr>
              <w:t>Exhibit 6:</w:t>
            </w:r>
          </w:p>
        </w:tc>
        <w:tc>
          <w:tcPr>
            <w:tcW w:w="9477" w:type="dxa"/>
          </w:tcPr>
          <w:p>
            <w:pPr>
              <w:pStyle w:val="TableParagraph"/>
              <w:spacing w:before="8"/>
              <w:ind w:left="0"/>
              <w:rPr>
                <w:sz w:val="16"/>
              </w:rPr>
            </w:pPr>
          </w:p>
          <w:p>
            <w:pPr>
              <w:pStyle w:val="TableParagraph"/>
              <w:spacing w:before="0"/>
              <w:rPr>
                <w:b/>
                <w:i/>
                <w:sz w:val="18"/>
              </w:rPr>
            </w:pPr>
            <w:r>
              <w:rPr>
                <w:b/>
                <w:i/>
                <w:w w:val="105"/>
                <w:sz w:val="18"/>
              </w:rPr>
              <w:t>DETERMINATION OF UNALLOCATED LOSS ADJUSTMENT EXPENSE FACTOR</w:t>
            </w:r>
          </w:p>
        </w:tc>
      </w:tr>
      <w:tr>
        <w:trPr>
          <w:trHeight w:val="873" w:hRule="exact"/>
        </w:trPr>
        <w:tc>
          <w:tcPr>
            <w:tcW w:w="1105" w:type="dxa"/>
          </w:tcPr>
          <w:p>
            <w:pPr/>
          </w:p>
        </w:tc>
        <w:tc>
          <w:tcPr>
            <w:tcW w:w="9477" w:type="dxa"/>
          </w:tcPr>
          <w:p>
            <w:pPr>
              <w:pStyle w:val="TableParagraph"/>
              <w:spacing w:line="276" w:lineRule="auto"/>
              <w:ind w:right="204"/>
              <w:jc w:val="both"/>
              <w:rPr>
                <w:sz w:val="18"/>
              </w:rPr>
            </w:pPr>
            <w:r>
              <w:rPr>
                <w:w w:val="105"/>
                <w:sz w:val="18"/>
              </w:rPr>
              <w:t>The unallocated loss adjustment expense provision is determined using data from the Healthcare cost statements for the five most recent years. The factor is expressed as a percentage of total incurred losses and allocated loss adjustment expense.</w:t>
            </w:r>
          </w:p>
        </w:tc>
      </w:tr>
      <w:tr>
        <w:trPr>
          <w:trHeight w:val="397" w:hRule="exact"/>
        </w:trPr>
        <w:tc>
          <w:tcPr>
            <w:tcW w:w="1105" w:type="dxa"/>
          </w:tcPr>
          <w:p>
            <w:pPr>
              <w:pStyle w:val="TableParagraph"/>
              <w:spacing w:before="161"/>
              <w:ind w:left="176" w:right="106"/>
              <w:jc w:val="center"/>
              <w:rPr>
                <w:b/>
                <w:i/>
                <w:sz w:val="18"/>
              </w:rPr>
            </w:pPr>
            <w:r>
              <w:rPr>
                <w:b/>
                <w:i/>
                <w:w w:val="105"/>
                <w:sz w:val="18"/>
              </w:rPr>
              <w:t>Exhibit 7:</w:t>
            </w:r>
          </w:p>
        </w:tc>
        <w:tc>
          <w:tcPr>
            <w:tcW w:w="9477" w:type="dxa"/>
          </w:tcPr>
          <w:p>
            <w:pPr>
              <w:pStyle w:val="TableParagraph"/>
              <w:spacing w:before="161"/>
              <w:rPr>
                <w:b/>
                <w:i/>
                <w:sz w:val="18"/>
              </w:rPr>
            </w:pPr>
            <w:r>
              <w:rPr>
                <w:b/>
                <w:i/>
                <w:w w:val="105"/>
                <w:sz w:val="18"/>
              </w:rPr>
              <w:t>INVESTMENT INCOME EXHIBITS</w:t>
            </w:r>
          </w:p>
        </w:tc>
      </w:tr>
      <w:tr>
        <w:trPr>
          <w:trHeight w:val="704" w:hRule="exact"/>
        </w:trPr>
        <w:tc>
          <w:tcPr>
            <w:tcW w:w="1105" w:type="dxa"/>
          </w:tcPr>
          <w:p>
            <w:pPr/>
          </w:p>
        </w:tc>
        <w:tc>
          <w:tcPr>
            <w:tcW w:w="9477" w:type="dxa"/>
          </w:tcPr>
          <w:p>
            <w:pPr>
              <w:pStyle w:val="TableParagraph"/>
              <w:spacing w:line="276" w:lineRule="auto"/>
              <w:ind w:right="210"/>
              <w:jc w:val="both"/>
              <w:rPr>
                <w:sz w:val="18"/>
              </w:rPr>
            </w:pPr>
            <w:r>
              <w:rPr>
                <w:w w:val="105"/>
                <w:sz w:val="18"/>
              </w:rPr>
              <w:t>The investment income exhibits are based on American Home/ National Union Group's Annual Statement experience and incorporate the Medical Malpractice premium and program budgeted expense provisions to determine an indicated investment income offset. The calendar year method was used to determine investment income.</w:t>
            </w:r>
          </w:p>
        </w:tc>
      </w:tr>
    </w:tbl>
    <w:sectPr>
      <w:type w:val="continuous"/>
      <w:pgSz w:w="12240" w:h="15840"/>
      <w:pgMar w:top="400" w:bottom="280" w:left="68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3"/>
      <w:ind w:left="129"/>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McNamara</dc:creator>
  <dcterms:created xsi:type="dcterms:W3CDTF">2017-08-30T11:23:48Z</dcterms:created>
  <dcterms:modified xsi:type="dcterms:W3CDTF">2017-08-30T11:23:48Z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2009-10-26T00:00:00Z</vt:filetime>
  </property>
  <property fmtid="{D5CDD505-2E9C-101B-9397-08002B2CF9AE}" pid="3" name="Creator">
    <vt:lpwstr>Acrobat PDFMaker 8.1 for Excel</vt:lpwstr>
  </property>
  <property fmtid="{D5CDD505-2E9C-101B-9397-08002B2CF9AE}" pid="4" name="LastSaved">
    <vt:filetime>2017-08-30T00:00:00Z</vt:filetime>
  </property>
</Properties>
</file>