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66"/>
        <w:ind w:right="2201"/>
      </w:pPr>
      <w:r>
        <w:rPr/>
        <w:t>AMERICAN HOME ASSURANCE COMPANY COMMERCE AND INDUSTRY INSURANCE COMPANY</w:t>
      </w:r>
    </w:p>
    <w:p>
      <w:pPr>
        <w:pStyle w:val="BodyText"/>
        <w:spacing w:before="10"/>
        <w:rPr>
          <w:b/>
          <w:sz w:val="19"/>
        </w:rPr>
      </w:pPr>
    </w:p>
    <w:p>
      <w:pPr>
        <w:spacing w:before="0"/>
        <w:ind w:left="2259" w:right="2200" w:firstLine="0"/>
        <w:jc w:val="center"/>
        <w:rPr>
          <w:b/>
          <w:sz w:val="20"/>
        </w:rPr>
      </w:pPr>
      <w:r>
        <w:rPr>
          <w:b/>
          <w:sz w:val="20"/>
        </w:rPr>
        <w:t>PSYCHOANALYST PROFESSIONAL LIABILITY</w:t>
      </w:r>
    </w:p>
    <w:p>
      <w:pPr>
        <w:spacing w:line="480" w:lineRule="auto" w:before="0"/>
        <w:ind w:left="2259" w:right="2199" w:firstLine="0"/>
        <w:jc w:val="center"/>
        <w:rPr>
          <w:b/>
          <w:sz w:val="20"/>
        </w:rPr>
      </w:pPr>
      <w:r>
        <w:rPr>
          <w:b/>
          <w:sz w:val="20"/>
        </w:rPr>
        <w:t>Occurrence and Claims Made Rating Rules CALIFORNIA</w:t>
      </w:r>
    </w:p>
    <w:p>
      <w:pPr>
        <w:spacing w:line="212" w:lineRule="exact" w:before="0"/>
        <w:ind w:left="120" w:right="0" w:firstLine="0"/>
        <w:jc w:val="left"/>
        <w:rPr>
          <w:sz w:val="20"/>
        </w:rPr>
      </w:pPr>
      <w:r>
        <w:rPr>
          <w:b/>
          <w:sz w:val="20"/>
          <w:u w:val="thick"/>
        </w:rPr>
        <w:t>ELIGIBILITY RULE: </w:t>
      </w:r>
      <w:r>
        <w:rPr>
          <w:sz w:val="20"/>
        </w:rPr>
        <w:t>All psychoanalysts licensed in the state are eligible for coverage.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343" w:val="left" w:leader="none"/>
          <w:tab w:pos="2099" w:val="left" w:leader="none"/>
        </w:tabs>
        <w:spacing w:line="240" w:lineRule="auto" w:before="1" w:after="0"/>
        <w:ind w:left="2100" w:right="581" w:hanging="1980"/>
        <w:jc w:val="left"/>
        <w:rPr>
          <w:sz w:val="20"/>
        </w:rPr>
      </w:pPr>
      <w:r>
        <w:rPr>
          <w:b/>
          <w:sz w:val="20"/>
        </w:rPr>
        <w:t>Coverage:</w:t>
        <w:tab/>
      </w:r>
      <w:r>
        <w:rPr>
          <w:sz w:val="20"/>
        </w:rPr>
        <w:t>All coverages are written on either an occurrence or a claims made</w:t>
      </w:r>
      <w:r>
        <w:rPr>
          <w:spacing w:val="-37"/>
          <w:sz w:val="20"/>
        </w:rPr>
        <w:t> </w:t>
      </w:r>
      <w:r>
        <w:rPr>
          <w:sz w:val="20"/>
        </w:rPr>
        <w:t>basis.</w:t>
      </w:r>
      <w:r>
        <w:rPr>
          <w:spacing w:val="-3"/>
          <w:sz w:val="20"/>
        </w:rPr>
        <w:t> </w:t>
      </w:r>
      <w:r>
        <w:rPr>
          <w:sz w:val="20"/>
        </w:rPr>
        <w:t>For</w:t>
      </w:r>
      <w:r>
        <w:rPr>
          <w:w w:val="100"/>
          <w:sz w:val="20"/>
        </w:rPr>
        <w:t> </w:t>
      </w:r>
      <w:r>
        <w:rPr>
          <w:sz w:val="20"/>
        </w:rPr>
        <w:t>details of coverage, please refer to the policy</w:t>
      </w:r>
      <w:r>
        <w:rPr>
          <w:spacing w:val="-36"/>
          <w:sz w:val="20"/>
        </w:rPr>
        <w:t> </w:t>
      </w:r>
      <w:r>
        <w:rPr>
          <w:sz w:val="20"/>
        </w:rPr>
        <w:t>form.</w:t>
      </w:r>
    </w:p>
    <w:p>
      <w:pPr>
        <w:pStyle w:val="BodyText"/>
        <w:spacing w:before="11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342" w:val="left" w:leader="none"/>
        </w:tabs>
        <w:spacing w:line="240" w:lineRule="auto" w:before="0" w:after="0"/>
        <w:ind w:left="2100" w:right="281" w:hanging="1980"/>
        <w:jc w:val="left"/>
        <w:rPr>
          <w:sz w:val="20"/>
        </w:rPr>
      </w:pPr>
      <w:r>
        <w:rPr>
          <w:b/>
          <w:sz w:val="20"/>
        </w:rPr>
        <w:t>Limits of Liability: </w:t>
      </w:r>
      <w:r>
        <w:rPr>
          <w:sz w:val="20"/>
        </w:rPr>
        <w:t>Manual rates provide a basic occurrence professional liability limit of $1,000,000 each occurrence and $3,000,000 aggregate as well as $5,000 for Administrative Hearing coverage </w:t>
      </w:r>
      <w:r>
        <w:rPr>
          <w:rFonts w:ascii="Times New Roman"/>
          <w:sz w:val="20"/>
        </w:rPr>
        <w:t>as well as $10,000 for Corporate Identity Protection coverage. </w:t>
      </w:r>
      <w:r>
        <w:rPr>
          <w:sz w:val="20"/>
        </w:rPr>
        <w:t>The standard coverage provides for one limit to apply to all persons listed under a single policy. When a corporation or partnership is also covered, the</w:t>
      </w:r>
      <w:r>
        <w:rPr>
          <w:spacing w:val="-17"/>
          <w:sz w:val="20"/>
        </w:rPr>
        <w:t> </w:t>
      </w:r>
      <w:r>
        <w:rPr>
          <w:sz w:val="20"/>
        </w:rPr>
        <w:t>organization shares in the limit of liability with the Named</w:t>
      </w:r>
      <w:r>
        <w:rPr>
          <w:spacing w:val="-38"/>
          <w:sz w:val="20"/>
        </w:rPr>
        <w:t> </w:t>
      </w:r>
      <w:r>
        <w:rPr>
          <w:sz w:val="20"/>
        </w:rPr>
        <w:t>Insured.</w:t>
      </w:r>
    </w:p>
    <w:p>
      <w:pPr>
        <w:pStyle w:val="BodyText"/>
      </w:pPr>
    </w:p>
    <w:p>
      <w:pPr>
        <w:pStyle w:val="BodyText"/>
        <w:ind w:left="2100" w:right="271"/>
      </w:pPr>
      <w:r>
        <w:rPr/>
        <w:t>When rating claims-made coverage, apply the appropriate rating factor displayed on the rate pages.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343" w:val="left" w:leader="none"/>
        </w:tabs>
        <w:spacing w:line="240" w:lineRule="auto" w:before="0" w:after="0"/>
        <w:ind w:left="342" w:right="0" w:hanging="222"/>
        <w:jc w:val="left"/>
        <w:rPr>
          <w:sz w:val="20"/>
        </w:rPr>
      </w:pPr>
      <w:r>
        <w:rPr>
          <w:b/>
          <w:sz w:val="20"/>
        </w:rPr>
        <w:t>Classification Procedure</w:t>
      </w:r>
      <w:r>
        <w:rPr>
          <w:sz w:val="20"/>
        </w:rPr>
        <w:t>: Classifications are based on the territory in which the insured</w:t>
      </w:r>
      <w:r>
        <w:rPr>
          <w:spacing w:val="-31"/>
          <w:sz w:val="20"/>
        </w:rPr>
        <w:t> </w:t>
      </w:r>
      <w:r>
        <w:rPr>
          <w:sz w:val="20"/>
        </w:rPr>
        <w:t>practices.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343" w:val="left" w:leader="none"/>
        </w:tabs>
        <w:spacing w:line="240" w:lineRule="auto" w:before="1" w:after="0"/>
        <w:ind w:left="3360" w:right="142" w:hanging="3240"/>
        <w:jc w:val="left"/>
        <w:rPr>
          <w:sz w:val="20"/>
        </w:rPr>
      </w:pPr>
      <w:r>
        <w:rPr>
          <w:b/>
          <w:sz w:val="20"/>
        </w:rPr>
        <w:t>Rating Procedure: Individual </w:t>
      </w:r>
      <w:r>
        <w:rPr>
          <w:sz w:val="20"/>
        </w:rPr>
        <w:t>Each individual psychoanalyst receives a basic rate which is derived from the location of the</w:t>
      </w:r>
      <w:r>
        <w:rPr>
          <w:spacing w:val="-25"/>
          <w:sz w:val="20"/>
        </w:rPr>
        <w:t> </w:t>
      </w:r>
      <w:r>
        <w:rPr>
          <w:sz w:val="20"/>
        </w:rPr>
        <w:t>practice.</w:t>
      </w:r>
    </w:p>
    <w:p>
      <w:pPr>
        <w:pStyle w:val="BodyText"/>
        <w:spacing w:before="1"/>
      </w:pPr>
    </w:p>
    <w:p>
      <w:pPr>
        <w:pStyle w:val="BodyText"/>
        <w:ind w:left="3360" w:right="271" w:hanging="2492"/>
      </w:pPr>
      <w:r>
        <w:rPr>
          <w:b/>
        </w:rPr>
        <w:t>Corporation/Partnership </w:t>
      </w:r>
      <w:r>
        <w:rPr/>
        <w:t>Inclusive limits coverage, within the same individual insured's limits of liability, included automatically.</w:t>
      </w:r>
    </w:p>
    <w:p>
      <w:pPr>
        <w:pStyle w:val="BodyText"/>
      </w:pPr>
    </w:p>
    <w:p>
      <w:pPr>
        <w:pStyle w:val="BodyText"/>
        <w:spacing w:before="1"/>
        <w:ind w:left="3360" w:right="271" w:hanging="1036"/>
      </w:pPr>
      <w:r>
        <w:rPr>
          <w:b/>
        </w:rPr>
        <w:t>Landlord </w:t>
      </w:r>
      <w:r>
        <w:rPr/>
        <w:t>May be added as an additional insured at an additional charge of 20% of policy premium.</w:t>
      </w:r>
    </w:p>
    <w:p>
      <w:pPr>
        <w:pStyle w:val="BodyText"/>
        <w:spacing w:before="1"/>
      </w:pPr>
    </w:p>
    <w:p>
      <w:pPr>
        <w:pStyle w:val="BodyText"/>
        <w:ind w:left="3360" w:right="271" w:hanging="1936"/>
      </w:pPr>
      <w:r>
        <w:rPr>
          <w:b/>
        </w:rPr>
        <w:t>Additional Insured </w:t>
      </w:r>
      <w:r>
        <w:rPr/>
        <w:t>May be added as an additional insured at an additional charge of 20% of policy premium.</w:t>
      </w:r>
    </w:p>
    <w:p>
      <w:pPr>
        <w:pStyle w:val="BodyText"/>
      </w:pPr>
    </w:p>
    <w:p>
      <w:pPr>
        <w:pStyle w:val="Heading1"/>
        <w:numPr>
          <w:ilvl w:val="0"/>
          <w:numId w:val="1"/>
        </w:numPr>
        <w:tabs>
          <w:tab w:pos="343" w:val="left" w:leader="none"/>
        </w:tabs>
        <w:spacing w:line="240" w:lineRule="auto" w:before="1" w:after="0"/>
        <w:ind w:left="342" w:right="0" w:hanging="222"/>
        <w:jc w:val="left"/>
        <w:rPr>
          <w:b w:val="0"/>
        </w:rPr>
      </w:pPr>
      <w:r>
        <w:rPr/>
        <w:t>Deductibles:</w:t>
      </w:r>
      <w:r>
        <w:rPr>
          <w:spacing w:val="-10"/>
        </w:rPr>
        <w:t> </w:t>
      </w:r>
      <w:r>
        <w:rPr/>
        <w:t>$</w:t>
      </w:r>
      <w:r>
        <w:rPr>
          <w:b w:val="0"/>
        </w:rPr>
        <w:t>0</w:t>
      </w:r>
    </w:p>
    <w:p>
      <w:pPr>
        <w:pStyle w:val="BodyText"/>
        <w:spacing w:before="11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343" w:val="left" w:leader="none"/>
        </w:tabs>
        <w:spacing w:line="240" w:lineRule="auto" w:before="0" w:after="0"/>
        <w:ind w:left="342" w:right="0" w:hanging="222"/>
        <w:jc w:val="left"/>
        <w:rPr>
          <w:sz w:val="20"/>
        </w:rPr>
      </w:pPr>
      <w:r>
        <w:rPr>
          <w:b/>
          <w:sz w:val="20"/>
        </w:rPr>
        <w:t>Rating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Modifications:</w:t>
      </w:r>
      <w:r>
        <w:rPr>
          <w:b/>
          <w:spacing w:val="-6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manual</w:t>
      </w:r>
      <w:r>
        <w:rPr>
          <w:spacing w:val="-5"/>
          <w:sz w:val="20"/>
        </w:rPr>
        <w:t> </w:t>
      </w:r>
      <w:r>
        <w:rPr>
          <w:sz w:val="20"/>
        </w:rPr>
        <w:t>rates</w:t>
      </w:r>
      <w:r>
        <w:rPr>
          <w:spacing w:val="-5"/>
          <w:sz w:val="20"/>
        </w:rPr>
        <w:t> </w:t>
      </w:r>
      <w:r>
        <w:rPr>
          <w:sz w:val="20"/>
        </w:rPr>
        <w:t>for</w:t>
      </w:r>
      <w:r>
        <w:rPr>
          <w:spacing w:val="-5"/>
          <w:sz w:val="20"/>
        </w:rPr>
        <w:t> </w:t>
      </w:r>
      <w:r>
        <w:rPr>
          <w:sz w:val="20"/>
        </w:rPr>
        <w:t>insureds</w:t>
      </w:r>
      <w:r>
        <w:rPr>
          <w:spacing w:val="-5"/>
          <w:sz w:val="20"/>
        </w:rPr>
        <w:t> </w:t>
      </w:r>
      <w:r>
        <w:rPr>
          <w:sz w:val="20"/>
        </w:rPr>
        <w:t>may</w:t>
      </w:r>
      <w:r>
        <w:rPr>
          <w:spacing w:val="-5"/>
          <w:sz w:val="20"/>
        </w:rPr>
        <w:t> </w:t>
      </w:r>
      <w:r>
        <w:rPr>
          <w:sz w:val="20"/>
        </w:rPr>
        <w:t>be</w:t>
      </w:r>
      <w:r>
        <w:rPr>
          <w:spacing w:val="-6"/>
          <w:sz w:val="20"/>
        </w:rPr>
        <w:t> </w:t>
      </w:r>
      <w:r>
        <w:rPr>
          <w:sz w:val="20"/>
        </w:rPr>
        <w:t>modified</w:t>
      </w:r>
      <w:r>
        <w:rPr>
          <w:spacing w:val="-5"/>
          <w:sz w:val="20"/>
        </w:rPr>
        <w:t> </w:t>
      </w:r>
      <w:r>
        <w:rPr>
          <w:sz w:val="20"/>
        </w:rPr>
        <w:t>by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following</w:t>
      </w:r>
      <w:r>
        <w:rPr>
          <w:spacing w:val="-5"/>
          <w:sz w:val="20"/>
        </w:rPr>
        <w:t> </w:t>
      </w:r>
      <w:r>
        <w:rPr>
          <w:sz w:val="20"/>
        </w:rPr>
        <w:t>credit/debits: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1"/>
          <w:numId w:val="1"/>
        </w:numPr>
        <w:tabs>
          <w:tab w:pos="839" w:val="left" w:leader="none"/>
          <w:tab w:pos="841" w:val="left" w:leader="none"/>
        </w:tabs>
        <w:spacing w:line="240" w:lineRule="auto" w:before="1" w:after="0"/>
        <w:ind w:left="840" w:right="138" w:hanging="360"/>
        <w:jc w:val="left"/>
        <w:rPr>
          <w:sz w:val="20"/>
        </w:rPr>
      </w:pPr>
      <w:r>
        <w:rPr>
          <w:sz w:val="20"/>
        </w:rPr>
        <w:t>Electro-convulsive Therapy (ECT) - An additional charge of 25% will be made for psychoanalysts performing</w:t>
      </w:r>
      <w:r>
        <w:rPr>
          <w:spacing w:val="-3"/>
          <w:sz w:val="20"/>
        </w:rPr>
        <w:t> </w:t>
      </w:r>
      <w:r>
        <w:rPr>
          <w:sz w:val="20"/>
        </w:rPr>
        <w:t>ECT.</w:t>
      </w:r>
    </w:p>
    <w:p>
      <w:pPr>
        <w:pStyle w:val="ListParagraph"/>
        <w:numPr>
          <w:ilvl w:val="1"/>
          <w:numId w:val="1"/>
        </w:numPr>
        <w:tabs>
          <w:tab w:pos="839" w:val="left" w:leader="none"/>
          <w:tab w:pos="841" w:val="left" w:leader="none"/>
        </w:tabs>
        <w:spacing w:line="240" w:lineRule="auto" w:before="0" w:after="0"/>
        <w:ind w:left="840" w:right="259" w:hanging="360"/>
        <w:jc w:val="left"/>
        <w:rPr>
          <w:sz w:val="20"/>
        </w:rPr>
      </w:pPr>
      <w:r>
        <w:rPr>
          <w:sz w:val="20"/>
        </w:rPr>
        <w:t>Part-time - Each individual will be charged 50% of the full-time premium rate for psychoanalysts practicing 20 hours or less per</w:t>
      </w:r>
      <w:r>
        <w:rPr>
          <w:spacing w:val="-28"/>
          <w:sz w:val="20"/>
        </w:rPr>
        <w:t> </w:t>
      </w:r>
      <w:r>
        <w:rPr>
          <w:sz w:val="20"/>
        </w:rPr>
        <w:t>week.</w:t>
      </w:r>
    </w:p>
    <w:p>
      <w:pPr>
        <w:pStyle w:val="ListParagraph"/>
        <w:numPr>
          <w:ilvl w:val="1"/>
          <w:numId w:val="1"/>
        </w:numPr>
        <w:tabs>
          <w:tab w:pos="839" w:val="left" w:leader="none"/>
          <w:tab w:pos="841" w:val="left" w:leader="none"/>
        </w:tabs>
        <w:spacing w:line="240" w:lineRule="auto" w:before="0" w:after="0"/>
        <w:ind w:left="840" w:right="629" w:hanging="360"/>
        <w:jc w:val="left"/>
        <w:rPr>
          <w:sz w:val="20"/>
        </w:rPr>
      </w:pPr>
      <w:r>
        <w:rPr>
          <w:sz w:val="20"/>
        </w:rPr>
        <w:t>Risk</w:t>
      </w:r>
      <w:r>
        <w:rPr>
          <w:spacing w:val="-5"/>
          <w:sz w:val="20"/>
        </w:rPr>
        <w:t> </w:t>
      </w:r>
      <w:r>
        <w:rPr>
          <w:sz w:val="20"/>
        </w:rPr>
        <w:t>Management</w:t>
      </w:r>
      <w:r>
        <w:rPr>
          <w:spacing w:val="-5"/>
          <w:sz w:val="20"/>
        </w:rPr>
        <w:t> </w:t>
      </w:r>
      <w:r>
        <w:rPr>
          <w:sz w:val="20"/>
        </w:rPr>
        <w:t>Credit</w:t>
      </w:r>
      <w:r>
        <w:rPr>
          <w:spacing w:val="-5"/>
          <w:sz w:val="20"/>
        </w:rPr>
        <w:t> </w:t>
      </w:r>
      <w:r>
        <w:rPr>
          <w:sz w:val="20"/>
        </w:rPr>
        <w:t>10%-</w:t>
      </w:r>
      <w:r>
        <w:rPr>
          <w:spacing w:val="-5"/>
          <w:sz w:val="20"/>
        </w:rPr>
        <w:t> </w:t>
      </w:r>
      <w:r>
        <w:rPr>
          <w:sz w:val="20"/>
        </w:rPr>
        <w:t>Attended</w:t>
      </w:r>
      <w:r>
        <w:rPr>
          <w:spacing w:val="-6"/>
          <w:sz w:val="20"/>
        </w:rPr>
        <w:t> </w:t>
      </w:r>
      <w:r>
        <w:rPr>
          <w:sz w:val="20"/>
        </w:rPr>
        <w:t>risk</w:t>
      </w:r>
      <w:r>
        <w:rPr>
          <w:spacing w:val="-5"/>
          <w:sz w:val="20"/>
        </w:rPr>
        <w:t> </w:t>
      </w:r>
      <w:r>
        <w:rPr>
          <w:sz w:val="20"/>
        </w:rPr>
        <w:t>management</w:t>
      </w:r>
      <w:r>
        <w:rPr>
          <w:spacing w:val="-5"/>
          <w:sz w:val="20"/>
        </w:rPr>
        <w:t> </w:t>
      </w:r>
      <w:r>
        <w:rPr>
          <w:sz w:val="20"/>
        </w:rPr>
        <w:t>seminar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last</w:t>
      </w:r>
      <w:r>
        <w:rPr>
          <w:spacing w:val="-5"/>
          <w:sz w:val="20"/>
        </w:rPr>
        <w:t> </w:t>
      </w:r>
      <w:r>
        <w:rPr>
          <w:sz w:val="20"/>
        </w:rPr>
        <w:t>12</w:t>
      </w:r>
      <w:r>
        <w:rPr>
          <w:spacing w:val="-6"/>
          <w:sz w:val="20"/>
        </w:rPr>
        <w:t> </w:t>
      </w:r>
      <w:r>
        <w:rPr>
          <w:sz w:val="20"/>
        </w:rPr>
        <w:t>months</w:t>
      </w:r>
      <w:r>
        <w:rPr>
          <w:spacing w:val="-5"/>
          <w:sz w:val="20"/>
        </w:rPr>
        <w:t> </w:t>
      </w:r>
      <w:r>
        <w:rPr>
          <w:sz w:val="20"/>
        </w:rPr>
        <w:t>or participated in continuing education</w:t>
      </w:r>
      <w:r>
        <w:rPr>
          <w:spacing w:val="-11"/>
          <w:sz w:val="20"/>
        </w:rPr>
        <w:t> </w:t>
      </w:r>
      <w:r>
        <w:rPr>
          <w:sz w:val="20"/>
        </w:rPr>
        <w:t>program.</w:t>
      </w:r>
    </w:p>
    <w:p>
      <w:pPr>
        <w:pStyle w:val="ListParagraph"/>
        <w:numPr>
          <w:ilvl w:val="1"/>
          <w:numId w:val="1"/>
        </w:numPr>
        <w:tabs>
          <w:tab w:pos="839" w:val="left" w:leader="none"/>
          <w:tab w:pos="841" w:val="left" w:leader="none"/>
        </w:tabs>
        <w:spacing w:line="240" w:lineRule="auto" w:before="0" w:after="0"/>
        <w:ind w:left="840" w:right="106" w:hanging="360"/>
        <w:jc w:val="left"/>
        <w:rPr>
          <w:sz w:val="20"/>
        </w:rPr>
      </w:pPr>
      <w:r>
        <w:rPr>
          <w:sz w:val="20"/>
        </w:rPr>
        <w:t>Training</w:t>
      </w:r>
      <w:r>
        <w:rPr>
          <w:spacing w:val="-5"/>
          <w:sz w:val="20"/>
        </w:rPr>
        <w:t> </w:t>
      </w:r>
      <w:r>
        <w:rPr>
          <w:sz w:val="20"/>
        </w:rPr>
        <w:t>Credit</w:t>
      </w:r>
      <w:r>
        <w:rPr>
          <w:spacing w:val="-5"/>
          <w:sz w:val="20"/>
        </w:rPr>
        <w:t> </w:t>
      </w:r>
      <w:r>
        <w:rPr>
          <w:sz w:val="20"/>
        </w:rPr>
        <w:t>20%</w:t>
      </w:r>
      <w:r>
        <w:rPr>
          <w:spacing w:val="-5"/>
          <w:sz w:val="20"/>
        </w:rPr>
        <w:t> </w:t>
      </w:r>
      <w:r>
        <w:rPr>
          <w:sz w:val="20"/>
        </w:rPr>
        <w:t>-</w:t>
      </w:r>
      <w:r>
        <w:rPr>
          <w:spacing w:val="-5"/>
          <w:sz w:val="20"/>
        </w:rPr>
        <w:t> </w:t>
      </w:r>
      <w:r>
        <w:rPr>
          <w:sz w:val="20"/>
        </w:rPr>
        <w:t>Psychologists,</w:t>
      </w:r>
      <w:r>
        <w:rPr>
          <w:spacing w:val="-5"/>
          <w:sz w:val="20"/>
        </w:rPr>
        <w:t> </w:t>
      </w:r>
      <w:r>
        <w:rPr>
          <w:sz w:val="20"/>
        </w:rPr>
        <w:t>who</w:t>
      </w:r>
      <w:r>
        <w:rPr>
          <w:spacing w:val="-5"/>
          <w:sz w:val="20"/>
        </w:rPr>
        <w:t> </w:t>
      </w:r>
      <w:r>
        <w:rPr>
          <w:sz w:val="20"/>
        </w:rPr>
        <w:t>have</w:t>
      </w:r>
      <w:r>
        <w:rPr>
          <w:spacing w:val="-5"/>
          <w:sz w:val="20"/>
        </w:rPr>
        <w:t> </w:t>
      </w:r>
      <w:r>
        <w:rPr>
          <w:sz w:val="20"/>
        </w:rPr>
        <w:t>completed</w:t>
      </w:r>
      <w:r>
        <w:rPr>
          <w:spacing w:val="-5"/>
          <w:sz w:val="20"/>
        </w:rPr>
        <w:t> </w:t>
      </w:r>
      <w:r>
        <w:rPr>
          <w:sz w:val="20"/>
        </w:rPr>
        <w:t>training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are</w:t>
      </w:r>
      <w:r>
        <w:rPr>
          <w:spacing w:val="-5"/>
          <w:sz w:val="20"/>
        </w:rPr>
        <w:t> </w:t>
      </w:r>
      <w:r>
        <w:rPr>
          <w:sz w:val="20"/>
        </w:rPr>
        <w:t>licensed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practice</w:t>
      </w:r>
      <w:r>
        <w:rPr>
          <w:spacing w:val="-5"/>
          <w:sz w:val="20"/>
        </w:rPr>
        <w:t> </w:t>
      </w:r>
      <w:r>
        <w:rPr>
          <w:sz w:val="20"/>
        </w:rPr>
        <w:t>as a Psychoanalyst, but are not trained or licensed as a Medical</w:t>
      </w:r>
      <w:r>
        <w:rPr>
          <w:spacing w:val="-37"/>
          <w:sz w:val="20"/>
        </w:rPr>
        <w:t> </w:t>
      </w:r>
      <w:r>
        <w:rPr>
          <w:sz w:val="20"/>
        </w:rPr>
        <w:t>Doctor.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343" w:val="left" w:leader="none"/>
        </w:tabs>
        <w:spacing w:line="240" w:lineRule="auto" w:before="0" w:after="0"/>
        <w:ind w:left="120" w:right="760" w:firstLine="0"/>
        <w:jc w:val="left"/>
        <w:rPr>
          <w:sz w:val="20"/>
        </w:rPr>
      </w:pPr>
      <w:r>
        <w:rPr>
          <w:b/>
          <w:sz w:val="20"/>
        </w:rPr>
        <w:t>Administrative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Hearing:</w:t>
      </w:r>
      <w:r>
        <w:rPr>
          <w:b/>
          <w:spacing w:val="-6"/>
          <w:sz w:val="20"/>
        </w:rPr>
        <w:t> </w:t>
      </w:r>
      <w:r>
        <w:rPr>
          <w:sz w:val="20"/>
        </w:rPr>
        <w:t>Additional</w:t>
      </w:r>
      <w:r>
        <w:rPr>
          <w:spacing w:val="-7"/>
          <w:sz w:val="20"/>
        </w:rPr>
        <w:t> </w:t>
      </w:r>
      <w:r>
        <w:rPr>
          <w:sz w:val="20"/>
        </w:rPr>
        <w:t>limits</w:t>
      </w:r>
      <w:r>
        <w:rPr>
          <w:spacing w:val="-7"/>
          <w:sz w:val="20"/>
        </w:rPr>
        <w:t> </w:t>
      </w:r>
      <w:r>
        <w:rPr>
          <w:sz w:val="20"/>
        </w:rPr>
        <w:t>for</w:t>
      </w:r>
      <w:r>
        <w:rPr>
          <w:spacing w:val="-7"/>
          <w:sz w:val="20"/>
        </w:rPr>
        <w:t> </w:t>
      </w:r>
      <w:r>
        <w:rPr>
          <w:sz w:val="20"/>
        </w:rPr>
        <w:t>Administrative</w:t>
      </w:r>
      <w:r>
        <w:rPr>
          <w:spacing w:val="-7"/>
          <w:sz w:val="20"/>
        </w:rPr>
        <w:t> </w:t>
      </w:r>
      <w:r>
        <w:rPr>
          <w:sz w:val="20"/>
        </w:rPr>
        <w:t>Hearing</w:t>
      </w:r>
      <w:r>
        <w:rPr>
          <w:spacing w:val="-7"/>
          <w:sz w:val="20"/>
        </w:rPr>
        <w:t> </w:t>
      </w:r>
      <w:r>
        <w:rPr>
          <w:sz w:val="20"/>
        </w:rPr>
        <w:t>Coverage</w:t>
      </w:r>
      <w:r>
        <w:rPr>
          <w:spacing w:val="-7"/>
          <w:sz w:val="20"/>
        </w:rPr>
        <w:t> </w:t>
      </w:r>
      <w:r>
        <w:rPr>
          <w:sz w:val="20"/>
        </w:rPr>
        <w:t>are</w:t>
      </w:r>
      <w:r>
        <w:rPr>
          <w:spacing w:val="-7"/>
          <w:sz w:val="20"/>
        </w:rPr>
        <w:t> </w:t>
      </w:r>
      <w:r>
        <w:rPr>
          <w:sz w:val="20"/>
        </w:rPr>
        <w:t>available</w:t>
      </w:r>
      <w:r>
        <w:rPr>
          <w:spacing w:val="-7"/>
          <w:sz w:val="20"/>
        </w:rPr>
        <w:t> </w:t>
      </w:r>
      <w:r>
        <w:rPr>
          <w:sz w:val="20"/>
        </w:rPr>
        <w:t>as provided within the Rate</w:t>
      </w:r>
      <w:r>
        <w:rPr>
          <w:spacing w:val="-23"/>
          <w:sz w:val="20"/>
        </w:rPr>
        <w:t> </w:t>
      </w:r>
      <w:r>
        <w:rPr>
          <w:sz w:val="20"/>
        </w:rPr>
        <w:t>Sheet.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343" w:val="left" w:leader="none"/>
        </w:tabs>
        <w:spacing w:line="240" w:lineRule="auto" w:before="0" w:after="0"/>
        <w:ind w:left="120" w:right="579" w:firstLine="0"/>
        <w:jc w:val="left"/>
        <w:rPr>
          <w:sz w:val="20"/>
        </w:rPr>
      </w:pPr>
      <w:r>
        <w:rPr>
          <w:b/>
          <w:sz w:val="20"/>
        </w:rPr>
        <w:t>Corporate Identity Protection</w:t>
      </w:r>
      <w:r>
        <w:rPr>
          <w:sz w:val="20"/>
        </w:rPr>
        <w:t>: Additional limits for Corporate Identity Protection are available as provided within the Rate</w:t>
      </w:r>
      <w:r>
        <w:rPr>
          <w:spacing w:val="-25"/>
          <w:sz w:val="20"/>
        </w:rPr>
        <w:t> </w:t>
      </w:r>
      <w:r>
        <w:rPr>
          <w:sz w:val="20"/>
        </w:rPr>
        <w:t>Sheet</w:t>
      </w:r>
    </w:p>
    <w:p>
      <w:pPr>
        <w:spacing w:after="0" w:line="240" w:lineRule="auto"/>
        <w:jc w:val="left"/>
        <w:rPr>
          <w:sz w:val="20"/>
        </w:rPr>
        <w:sectPr>
          <w:footerReference w:type="default" r:id="rId5"/>
          <w:type w:val="continuous"/>
          <w:pgSz w:w="12240" w:h="15840"/>
          <w:pgMar w:footer="999" w:top="940" w:bottom="1180" w:left="1320" w:right="1380"/>
          <w:pgNumType w:start="1"/>
        </w:sectPr>
      </w:pPr>
    </w:p>
    <w:p>
      <w:pPr>
        <w:pStyle w:val="Heading1"/>
        <w:numPr>
          <w:ilvl w:val="0"/>
          <w:numId w:val="1"/>
        </w:numPr>
        <w:tabs>
          <w:tab w:pos="343" w:val="left" w:leader="none"/>
        </w:tabs>
        <w:spacing w:line="240" w:lineRule="auto" w:before="77" w:after="0"/>
        <w:ind w:left="120" w:right="98" w:firstLine="0"/>
        <w:jc w:val="left"/>
      </w:pPr>
      <w:r>
        <w:rPr/>
        <w:t>The</w:t>
      </w:r>
      <w:r>
        <w:rPr>
          <w:spacing w:val="-6"/>
        </w:rPr>
        <w:t> </w:t>
      </w:r>
      <w:r>
        <w:rPr/>
        <w:t>following</w:t>
      </w:r>
      <w:r>
        <w:rPr>
          <w:spacing w:val="-6"/>
        </w:rPr>
        <w:t> </w:t>
      </w:r>
      <w:r>
        <w:rPr/>
        <w:t>definition</w:t>
      </w:r>
      <w:r>
        <w:rPr>
          <w:spacing w:val="-6"/>
        </w:rPr>
        <w:t> </w:t>
      </w:r>
      <w:r>
        <w:rPr/>
        <w:t>applies</w:t>
      </w:r>
      <w:r>
        <w:rPr>
          <w:spacing w:val="-6"/>
        </w:rPr>
        <w:t> </w:t>
      </w:r>
      <w:r>
        <w:rPr/>
        <w:t>to</w:t>
      </w:r>
      <w:r>
        <w:rPr>
          <w:spacing w:val="-7"/>
        </w:rPr>
        <w:t> </w:t>
      </w:r>
      <w:r>
        <w:rPr/>
        <w:t>School/Institute/Society.</w:t>
      </w:r>
      <w:r>
        <w:rPr>
          <w:spacing w:val="-4"/>
        </w:rPr>
        <w:t> </w:t>
      </w:r>
      <w:r>
        <w:rPr/>
        <w:t>An</w:t>
      </w:r>
      <w:r>
        <w:rPr>
          <w:spacing w:val="-6"/>
        </w:rPr>
        <w:t> </w:t>
      </w:r>
      <w:r>
        <w:rPr/>
        <w:t>outpatient</w:t>
      </w:r>
      <w:r>
        <w:rPr>
          <w:spacing w:val="-6"/>
        </w:rPr>
        <w:t> </w:t>
      </w:r>
      <w:r>
        <w:rPr/>
        <w:t>visit</w:t>
      </w:r>
      <w:r>
        <w:rPr>
          <w:spacing w:val="-6"/>
        </w:rPr>
        <w:t> </w:t>
      </w:r>
      <w:r>
        <w:rPr/>
        <w:t>shall</w:t>
      </w:r>
      <w:r>
        <w:rPr>
          <w:spacing w:val="-6"/>
        </w:rPr>
        <w:t> </w:t>
      </w:r>
      <w:r>
        <w:rPr/>
        <w:t>be</w:t>
      </w:r>
      <w:r>
        <w:rPr>
          <w:spacing w:val="-6"/>
        </w:rPr>
        <w:t> </w:t>
      </w:r>
      <w:r>
        <w:rPr/>
        <w:t>defined as</w:t>
      </w:r>
      <w:r>
        <w:rPr>
          <w:spacing w:val="-6"/>
        </w:rPr>
        <w:t> </w:t>
      </w:r>
      <w:r>
        <w:rPr/>
        <w:t>follows:</w:t>
      </w:r>
    </w:p>
    <w:p>
      <w:pPr>
        <w:pStyle w:val="BodyText"/>
        <w:spacing w:before="11"/>
        <w:rPr>
          <w:b/>
          <w:sz w:val="19"/>
        </w:rPr>
      </w:pPr>
    </w:p>
    <w:p>
      <w:pPr>
        <w:pStyle w:val="ListParagraph"/>
        <w:numPr>
          <w:ilvl w:val="0"/>
          <w:numId w:val="2"/>
        </w:numPr>
        <w:tabs>
          <w:tab w:pos="841" w:val="left" w:leader="none"/>
        </w:tabs>
        <w:spacing w:line="230" w:lineRule="exact" w:before="0" w:after="0"/>
        <w:ind w:left="840" w:right="0" w:hanging="360"/>
        <w:jc w:val="left"/>
        <w:rPr>
          <w:sz w:val="20"/>
        </w:rPr>
      </w:pPr>
      <w:r>
        <w:rPr>
          <w:sz w:val="20"/>
        </w:rPr>
        <w:t>Individual</w:t>
      </w:r>
      <w:r>
        <w:rPr>
          <w:spacing w:val="-7"/>
          <w:sz w:val="20"/>
        </w:rPr>
        <w:t> </w:t>
      </w:r>
      <w:r>
        <w:rPr>
          <w:sz w:val="20"/>
        </w:rPr>
        <w:t>Counseling:</w:t>
      </w:r>
      <w:r>
        <w:rPr>
          <w:spacing w:val="-7"/>
          <w:sz w:val="20"/>
        </w:rPr>
        <w:t> </w:t>
      </w:r>
      <w:r>
        <w:rPr>
          <w:sz w:val="20"/>
        </w:rPr>
        <w:t>each</w:t>
      </w:r>
      <w:r>
        <w:rPr>
          <w:spacing w:val="-7"/>
          <w:sz w:val="20"/>
        </w:rPr>
        <w:t> </w:t>
      </w:r>
      <w:r>
        <w:rPr>
          <w:sz w:val="20"/>
        </w:rPr>
        <w:t>face-to-face</w:t>
      </w:r>
      <w:r>
        <w:rPr>
          <w:spacing w:val="-8"/>
          <w:sz w:val="20"/>
        </w:rPr>
        <w:t> </w:t>
      </w:r>
      <w:r>
        <w:rPr>
          <w:sz w:val="20"/>
        </w:rPr>
        <w:t>visit</w:t>
      </w:r>
      <w:r>
        <w:rPr>
          <w:spacing w:val="-7"/>
          <w:sz w:val="20"/>
        </w:rPr>
        <w:t> </w:t>
      </w:r>
      <w:r>
        <w:rPr>
          <w:sz w:val="20"/>
        </w:rPr>
        <w:t>is</w:t>
      </w:r>
      <w:r>
        <w:rPr>
          <w:spacing w:val="-7"/>
          <w:sz w:val="20"/>
        </w:rPr>
        <w:t> </w:t>
      </w:r>
      <w:r>
        <w:rPr>
          <w:sz w:val="20"/>
        </w:rPr>
        <w:t>considered</w:t>
      </w:r>
      <w:r>
        <w:rPr>
          <w:spacing w:val="-7"/>
          <w:sz w:val="20"/>
        </w:rPr>
        <w:t> </w:t>
      </w:r>
      <w:r>
        <w:rPr>
          <w:sz w:val="20"/>
        </w:rPr>
        <w:t>one</w:t>
      </w:r>
      <w:r>
        <w:rPr>
          <w:spacing w:val="-8"/>
          <w:sz w:val="20"/>
        </w:rPr>
        <w:t> </w:t>
      </w:r>
      <w:r>
        <w:rPr>
          <w:sz w:val="20"/>
        </w:rPr>
        <w:t>(1)</w:t>
      </w:r>
      <w:r>
        <w:rPr>
          <w:spacing w:val="-7"/>
          <w:sz w:val="20"/>
        </w:rPr>
        <w:t> </w:t>
      </w:r>
      <w:r>
        <w:rPr>
          <w:sz w:val="20"/>
        </w:rPr>
        <w:t>visit;</w:t>
      </w:r>
    </w:p>
    <w:p>
      <w:pPr>
        <w:pStyle w:val="ListParagraph"/>
        <w:numPr>
          <w:ilvl w:val="0"/>
          <w:numId w:val="2"/>
        </w:numPr>
        <w:tabs>
          <w:tab w:pos="841" w:val="left" w:leader="none"/>
        </w:tabs>
        <w:spacing w:line="230" w:lineRule="exact" w:before="0" w:after="0"/>
        <w:ind w:left="840" w:right="0" w:hanging="360"/>
        <w:jc w:val="left"/>
        <w:rPr>
          <w:sz w:val="20"/>
        </w:rPr>
      </w:pPr>
      <w:r>
        <w:rPr>
          <w:sz w:val="20"/>
        </w:rPr>
        <w:t>Group Counseling: each patient in group session is considered one (1)</w:t>
      </w:r>
      <w:r>
        <w:rPr>
          <w:spacing w:val="-38"/>
          <w:sz w:val="20"/>
        </w:rPr>
        <w:t> </w:t>
      </w:r>
      <w:r>
        <w:rPr>
          <w:sz w:val="20"/>
        </w:rPr>
        <w:t>visit;</w:t>
      </w:r>
    </w:p>
    <w:p>
      <w:pPr>
        <w:pStyle w:val="ListParagraph"/>
        <w:numPr>
          <w:ilvl w:val="0"/>
          <w:numId w:val="2"/>
        </w:numPr>
        <w:tabs>
          <w:tab w:pos="841" w:val="left" w:leader="none"/>
        </w:tabs>
        <w:spacing w:line="240" w:lineRule="auto" w:before="0" w:after="0"/>
        <w:ind w:left="840" w:right="213" w:hanging="360"/>
        <w:jc w:val="left"/>
        <w:rPr>
          <w:sz w:val="20"/>
        </w:rPr>
      </w:pPr>
      <w:r>
        <w:rPr>
          <w:sz w:val="20"/>
        </w:rPr>
        <w:t>ALL visits performed under the direction of the School/Institute/Society, whether conducted on school</w:t>
      </w:r>
      <w:r>
        <w:rPr>
          <w:spacing w:val="-5"/>
          <w:sz w:val="20"/>
        </w:rPr>
        <w:t> </w:t>
      </w:r>
      <w:r>
        <w:rPr>
          <w:sz w:val="20"/>
        </w:rPr>
        <w:t>property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private</w:t>
      </w:r>
      <w:r>
        <w:rPr>
          <w:spacing w:val="-5"/>
          <w:sz w:val="20"/>
        </w:rPr>
        <w:t> </w:t>
      </w:r>
      <w:r>
        <w:rPr>
          <w:sz w:val="20"/>
        </w:rPr>
        <w:t>facility</w:t>
      </w:r>
      <w:r>
        <w:rPr>
          <w:spacing w:val="-5"/>
          <w:sz w:val="20"/>
        </w:rPr>
        <w:t> </w:t>
      </w:r>
      <w:r>
        <w:rPr>
          <w:sz w:val="20"/>
        </w:rPr>
        <w:t>are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be</w:t>
      </w:r>
      <w:r>
        <w:rPr>
          <w:spacing w:val="-3"/>
          <w:sz w:val="20"/>
        </w:rPr>
        <w:t> </w:t>
      </w:r>
      <w:r>
        <w:rPr>
          <w:sz w:val="20"/>
        </w:rPr>
        <w:t>included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school's</w:t>
      </w:r>
      <w:r>
        <w:rPr>
          <w:spacing w:val="-5"/>
          <w:sz w:val="20"/>
        </w:rPr>
        <w:t> </w:t>
      </w:r>
      <w:r>
        <w:rPr>
          <w:sz w:val="20"/>
        </w:rPr>
        <w:t>total</w:t>
      </w:r>
      <w:r>
        <w:rPr>
          <w:spacing w:val="-5"/>
          <w:sz w:val="20"/>
        </w:rPr>
        <w:t> </w:t>
      </w:r>
      <w:r>
        <w:rPr>
          <w:sz w:val="20"/>
        </w:rPr>
        <w:t>outpatient</w:t>
      </w:r>
      <w:r>
        <w:rPr>
          <w:spacing w:val="-5"/>
          <w:sz w:val="20"/>
        </w:rPr>
        <w:t> </w:t>
      </w:r>
      <w:r>
        <w:rPr>
          <w:sz w:val="20"/>
        </w:rPr>
        <w:t>number.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454" w:val="left" w:leader="none"/>
        </w:tabs>
        <w:spacing w:line="240" w:lineRule="auto" w:before="0" w:after="0"/>
        <w:ind w:left="120" w:right="204" w:firstLine="0"/>
        <w:jc w:val="left"/>
        <w:rPr>
          <w:sz w:val="20"/>
        </w:rPr>
      </w:pPr>
      <w:r>
        <w:rPr>
          <w:b/>
          <w:sz w:val="20"/>
        </w:rPr>
        <w:t>Exposure Reporting Basis: </w:t>
      </w:r>
      <w:r>
        <w:rPr>
          <w:sz w:val="20"/>
        </w:rPr>
        <w:t>The exposure reporting basis for psychoanalysts is per person per 12 month</w:t>
      </w:r>
      <w:r>
        <w:rPr>
          <w:spacing w:val="-1"/>
          <w:sz w:val="20"/>
        </w:rPr>
        <w:t> </w:t>
      </w:r>
      <w:r>
        <w:rPr>
          <w:sz w:val="20"/>
        </w:rPr>
        <w:t>period.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454" w:val="left" w:leader="none"/>
        </w:tabs>
        <w:spacing w:line="240" w:lineRule="auto" w:before="0" w:after="0"/>
        <w:ind w:left="120" w:right="773" w:firstLine="0"/>
        <w:jc w:val="left"/>
        <w:rPr>
          <w:sz w:val="20"/>
        </w:rPr>
      </w:pPr>
      <w:r>
        <w:rPr>
          <w:b/>
          <w:sz w:val="20"/>
        </w:rPr>
        <w:t>Premium Adjustment For Risk Change: </w:t>
      </w:r>
      <w:r>
        <w:rPr>
          <w:sz w:val="20"/>
        </w:rPr>
        <w:t>Changes to higher or lower rated territories will be calculated on a pro-rata</w:t>
      </w:r>
      <w:r>
        <w:rPr>
          <w:spacing w:val="-7"/>
          <w:sz w:val="20"/>
        </w:rPr>
        <w:t> </w:t>
      </w:r>
      <w:r>
        <w:rPr>
          <w:sz w:val="20"/>
        </w:rPr>
        <w:t>basis.</w:t>
      </w:r>
    </w:p>
    <w:sectPr>
      <w:pgSz w:w="12240" w:h="15840"/>
      <w:pgMar w:header="0" w:footer="999" w:top="1160" w:bottom="1180" w:left="1320" w:right="15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731.072449pt;width:35.450pt;height:12.1pt;mso-position-horizontal-relative:page;mso-position-vertical-relative:page;z-index:-3040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Ed. 5/11</w:t>
                </w:r>
              </w:p>
            </w:txbxContent>
          </v:textbox>
          <w10:wrap type="none"/>
        </v:shape>
      </w:pict>
    </w:r>
    <w:r>
      <w:rPr/>
      <w:pict>
        <v:shape style="position:absolute;margin-left:286.968506pt;margin-top:731.072449pt;width:48pt;height:12.1pt;mso-position-horizontal-relative:page;mso-position-vertical-relative:page;z-index:-3016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Page </w:t>
                </w:r>
                <w:r>
                  <w:rPr/>
                  <w:fldChar w:fldCharType="begin"/>
                </w:r>
                <w:r>
                  <w:rPr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sz w:val="18"/>
                  </w:rPr>
                  <w:t> of 2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lowerLetter"/>
      <w:lvlText w:val="%1)"/>
      <w:lvlJc w:val="left"/>
      <w:pPr>
        <w:ind w:left="840" w:hanging="361"/>
        <w:jc w:val="left"/>
      </w:pPr>
      <w:rPr>
        <w:rFonts w:hint="default" w:ascii="Arial" w:hAnsi="Arial" w:eastAsia="Arial" w:cs="Arial"/>
        <w:spacing w:val="-1"/>
        <w:w w:val="100"/>
        <w:sz w:val="20"/>
        <w:szCs w:val="20"/>
      </w:rPr>
    </w:lvl>
    <w:lvl w:ilvl="1">
      <w:start w:val="0"/>
      <w:numFmt w:val="bullet"/>
      <w:lvlText w:val="•"/>
      <w:lvlJc w:val="left"/>
      <w:pPr>
        <w:ind w:left="1698" w:hanging="36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556" w:hanging="36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14" w:hanging="36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272" w:hanging="36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130" w:hanging="36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988" w:hanging="36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846" w:hanging="36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704" w:hanging="36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2100" w:hanging="223"/>
        <w:jc w:val="left"/>
      </w:pPr>
      <w:rPr>
        <w:rFonts w:hint="default" w:ascii="Arial" w:hAnsi="Arial" w:eastAsia="Arial" w:cs="Arial"/>
        <w:b/>
        <w:bCs/>
        <w:spacing w:val="-1"/>
        <w:w w:val="100"/>
        <w:sz w:val="20"/>
        <w:szCs w:val="20"/>
      </w:rPr>
    </w:lvl>
    <w:lvl w:ilvl="1">
      <w:start w:val="0"/>
      <w:numFmt w:val="bullet"/>
      <w:lvlText w:val="-"/>
      <w:lvlJc w:val="left"/>
      <w:pPr>
        <w:ind w:left="840" w:hanging="360"/>
      </w:pPr>
      <w:rPr>
        <w:rFonts w:hint="default" w:ascii="Times New Roman" w:hAnsi="Times New Roman" w:eastAsia="Times New Roman" w:cs="Times New Roman"/>
        <w:w w:val="100"/>
        <w:sz w:val="20"/>
        <w:szCs w:val="20"/>
      </w:rPr>
    </w:lvl>
    <w:lvl w:ilvl="2">
      <w:start w:val="0"/>
      <w:numFmt w:val="bullet"/>
      <w:lvlText w:val="•"/>
      <w:lvlJc w:val="left"/>
      <w:pPr>
        <w:ind w:left="2926" w:hanging="36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753" w:hanging="36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80" w:hanging="36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06" w:hanging="36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33" w:hanging="36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060" w:hanging="36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886" w:hanging="360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</w:rPr>
  </w:style>
  <w:style w:styleId="Heading1" w:type="paragraph">
    <w:name w:val="Heading 1"/>
    <w:basedOn w:val="Normal"/>
    <w:uiPriority w:val="1"/>
    <w:qFormat/>
    <w:pPr>
      <w:ind w:left="2259"/>
      <w:jc w:val="center"/>
      <w:outlineLvl w:val="1"/>
    </w:pPr>
    <w:rPr>
      <w:rFonts w:ascii="Arial" w:hAnsi="Arial" w:eastAsia="Arial" w:cs="Arial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>
      <w:ind w:left="840" w:hanging="360"/>
    </w:pPr>
    <w:rPr>
      <w:rFonts w:ascii="Arial" w:hAnsi="Arial" w:eastAsia="Arial" w:cs="Arial"/>
    </w:rPr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mharry</dc:creator>
  <dc:title>Microsoft Word - CA Rating Rules-AHAC-CI-_5-11_.doc</dc:title>
  <dcterms:created xsi:type="dcterms:W3CDTF">2017-09-05T09:54:19Z</dcterms:created>
  <dcterms:modified xsi:type="dcterms:W3CDTF">2017-09-05T09:54:19Z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2011-06-20T00:00:00Z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2017-09-05T00:00:00Z</vt:filetime>
  </property>
</Properties>
</file>