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  <w:ind w:left="3189" w:right="2368" w:hanging="1"/>
        <w:jc w:val="center"/>
      </w:pPr>
      <w:r>
        <w:rPr/>
        <w:t>AMERICAN HOME ASSURANCE COMPANY COMMERCE AND INDUSTRY INSURANCE COMPANY PSYCHOANALYSTS PROFESSIONAL LIABILITY ILLINOIS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00" w:right="5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82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16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598"/>
              <w:rPr>
                <w:sz w:val="16"/>
              </w:rPr>
            </w:pPr>
            <w:r>
              <w:rPr>
                <w:sz w:val="16"/>
              </w:rPr>
              <w:t>2,395</w:t>
            </w:r>
          </w:p>
        </w:tc>
      </w:tr>
      <w:tr>
        <w:trPr>
          <w:trHeight w:val="254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3,951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4,356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4,705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4,836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4,967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5,097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5,228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5,226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5,356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5,487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5,634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5,765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5,987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4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69"/>
              <w:ind w:left="496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153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2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spacing w:before="69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 w:before="69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0.509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0.407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0.367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0.652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0.521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0.469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0.754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0.603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0.543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1.240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0.992 next 3,000 visits</w:t>
            </w:r>
          </w:p>
        </w:tc>
      </w:tr>
      <w:tr>
        <w:trPr>
          <w:trHeight w:val="266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0.893 next 8000 visits and over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BodyText"/>
        <w:tabs>
          <w:tab w:pos="3344" w:val="left" w:leader="none"/>
        </w:tabs>
        <w:ind w:left="828"/>
      </w:pPr>
      <w:r>
        <w:rPr/>
        <w:pict>
          <v:shape style="position:absolute;margin-left:211.020004pt;margin-top:9.460014pt;width:189.9pt;height:80.2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2"/>
                    <w:gridCol w:w="1187"/>
                  </w:tblGrid>
                  <w:tr>
                    <w:trPr>
                      <w:trHeight w:val="554" w:hRule="exact"/>
                    </w:trPr>
                    <w:tc>
                      <w:tcPr>
                        <w:tcW w:w="260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8" w:right="2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530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0" w:after="0"/>
        <w:ind w:left="828" w:right="0" w:hanging="360"/>
        <w:jc w:val="left"/>
      </w:pPr>
      <w:r>
        <w:rPr/>
        <w:t>SOCIETIES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45" w:top="640" w:bottom="940" w:left="900" w:right="17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184" w:lineRule="exact" w:before="77" w:after="0"/>
        <w:ind w:left="88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60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60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0" w:after="0"/>
        <w:ind w:left="88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spacing w:line="184" w:lineRule="exact"/>
        <w:ind w:left="1608"/>
      </w:pPr>
      <w:r>
        <w:rPr/>
        <w:t>Landlord: 20% of the policy premium</w:t>
      </w:r>
    </w:p>
    <w:p>
      <w:pPr>
        <w:pStyle w:val="BodyText"/>
        <w:spacing w:line="184" w:lineRule="exact"/>
        <w:ind w:left="1608"/>
      </w:pPr>
      <w:r>
        <w:rPr/>
        <w:t>Corporation with Other Employees: 40% of the policy premium</w:t>
      </w:r>
    </w:p>
    <w:p>
      <w:pPr>
        <w:pStyle w:val="BodyText"/>
        <w:ind w:left="1608"/>
      </w:pPr>
      <w:r>
        <w:rPr/>
        <w:t>Additional Insured: 20% of the policy premium. Only applies to School/Institute/Society</w:t>
      </w:r>
    </w:p>
    <w:p>
      <w:pPr>
        <w:pStyle w:val="BodyText"/>
        <w:spacing w:before="5"/>
      </w:pPr>
    </w:p>
    <w:tbl>
      <w:tblPr>
        <w:tblW w:w="0" w:type="auto"/>
        <w:jc w:val="left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0"/>
        <w:gridCol w:w="930"/>
        <w:gridCol w:w="4578"/>
      </w:tblGrid>
      <w:tr>
        <w:trPr>
          <w:trHeight w:val="365" w:hRule="exact"/>
        </w:trPr>
        <w:tc>
          <w:tcPr>
            <w:tcW w:w="4700" w:type="dxa"/>
          </w:tcPr>
          <w:p>
            <w:pPr>
              <w:pStyle w:val="TableParagraph"/>
              <w:tabs>
                <w:tab w:pos="770" w:val="left" w:leader="none"/>
              </w:tabs>
              <w:spacing w:line="178" w:lineRule="exact" w:before="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VI.</w:t>
              <w:tab/>
              <w:t>ADMINISTRATIVE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z w:val="16"/>
              </w:rPr>
              <w:t>HEARING</w:t>
            </w:r>
          </w:p>
          <w:p>
            <w:pPr>
              <w:pStyle w:val="TableParagraph"/>
              <w:spacing w:before="0"/>
              <w:ind w:left="2209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0"/>
              <w:ind w:left="900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2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2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1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  <w:tr>
        <w:trPr>
          <w:trHeight w:val="276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0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>
              <w:pStyle w:val="TableParagraph"/>
              <w:spacing w:line="181" w:lineRule="exact" w:before="0"/>
              <w:ind w:left="900"/>
              <w:rPr>
                <w:sz w:val="16"/>
              </w:rPr>
            </w:pPr>
            <w:r>
              <w:rPr>
                <w:sz w:val="16"/>
              </w:rPr>
              <w:t>$835</w:t>
            </w:r>
          </w:p>
        </w:tc>
      </w:tr>
      <w:tr>
        <w:trPr>
          <w:trHeight w:val="794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line="316" w:lineRule="auto" w:before="89"/>
              <w:ind w:left="770" w:right="79" w:hanging="720"/>
              <w:rPr>
                <w:b/>
                <w:sz w:val="16"/>
              </w:rPr>
            </w:pPr>
            <w:r>
              <w:rPr>
                <w:b/>
                <w:sz w:val="16"/>
              </w:rPr>
              <w:t>VII.</w:t>
              <w:tab/>
              <w:t>CORPORATE IDENTITY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PROTECTION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  <w:r>
              <w:rPr>
                <w:b/>
                <w:w w:val="99"/>
                <w:sz w:val="16"/>
              </w:rPr>
              <w:t> </w:t>
            </w:r>
            <w:r>
              <w:rPr>
                <w:b/>
                <w:sz w:val="16"/>
              </w:rPr>
              <w:t>Increased Limit Option</w:t>
            </w:r>
            <w:r>
              <w:rPr>
                <w:b/>
                <w:spacing w:val="-19"/>
                <w:sz w:val="16"/>
              </w:rPr>
              <w:t> </w:t>
            </w:r>
            <w:r>
              <w:rPr>
                <w:b/>
                <w:sz w:val="16"/>
              </w:rPr>
              <w:t>1:</w:t>
            </w:r>
          </w:p>
          <w:p>
            <w:pPr>
              <w:pStyle w:val="TableParagraph"/>
              <w:spacing w:before="2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before="0"/>
              <w:ind w:right="1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2: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$150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before="0"/>
              <w:ind w:left="172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3: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93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$300</w:t>
            </w: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before="0"/>
              <w:ind w:left="83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right="646"/>
              <w:jc w:val="right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930" w:type="dxa"/>
          </w:tcPr>
          <w:p>
            <w:pPr>
              <w:pStyle w:val="TableParagraph"/>
              <w:ind w:right="1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578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930" w:type="dxa"/>
          </w:tcPr>
          <w:p>
            <w:pPr>
              <w:pStyle w:val="TableParagraph"/>
              <w:ind w:right="1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578" w:type="dxa"/>
          </w:tcPr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377" w:hRule="exact"/>
        </w:trPr>
        <w:tc>
          <w:tcPr>
            <w:tcW w:w="4700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Additional Premium</w:t>
            </w:r>
          </w:p>
        </w:tc>
        <w:tc>
          <w:tcPr>
            <w:tcW w:w="930" w:type="dxa"/>
          </w:tcPr>
          <w:p>
            <w:pPr>
              <w:pStyle w:val="TableParagraph"/>
              <w:ind w:right="1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$600</w:t>
            </w:r>
          </w:p>
        </w:tc>
        <w:tc>
          <w:tcPr>
            <w:tcW w:w="4578" w:type="dxa"/>
          </w:tcPr>
          <w:p>
            <w:pPr/>
          </w:p>
        </w:tc>
      </w:tr>
      <w:tr>
        <w:trPr>
          <w:trHeight w:val="499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before="16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VIII.</w:t>
              <w:tab/>
              <w:t>Separate Premise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Liability</w:t>
            </w:r>
          </w:p>
        </w:tc>
        <w:tc>
          <w:tcPr>
            <w:tcW w:w="930" w:type="dxa"/>
          </w:tcPr>
          <w:p>
            <w:pPr/>
          </w:p>
        </w:tc>
        <w:tc>
          <w:tcPr>
            <w:tcW w:w="4578" w:type="dxa"/>
          </w:tcPr>
          <w:p>
            <w:pPr/>
          </w:p>
        </w:tc>
      </w:tr>
      <w:tr>
        <w:trPr>
          <w:trHeight w:val="366" w:hRule="exact"/>
        </w:trPr>
        <w:tc>
          <w:tcPr>
            <w:tcW w:w="4700" w:type="dxa"/>
          </w:tcPr>
          <w:p>
            <w:pPr>
              <w:pStyle w:val="TableParagraph"/>
              <w:spacing w:before="149"/>
              <w:ind w:right="58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Premises Liability Aggregate Limit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before="149"/>
              <w:ind w:left="390"/>
              <w:rPr>
                <w:b/>
                <w:sz w:val="16"/>
              </w:rPr>
            </w:pPr>
            <w:r>
              <w:rPr>
                <w:b/>
                <w:sz w:val="16"/>
              </w:rPr>
              <w:t>$10,000</w:t>
            </w:r>
          </w:p>
        </w:tc>
      </w:tr>
      <w:tr>
        <w:trPr>
          <w:trHeight w:val="366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b/>
                <w:sz w:val="16"/>
              </w:rPr>
            </w:pPr>
            <w:r>
              <w:rPr>
                <w:b/>
                <w:sz w:val="16"/>
              </w:rPr>
              <w:t>Each Occurrence Limit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ind w:left="390"/>
              <w:rPr>
                <w:b/>
                <w:sz w:val="16"/>
              </w:rPr>
            </w:pPr>
            <w:r>
              <w:rPr>
                <w:b/>
                <w:sz w:val="16"/>
              </w:rPr>
              <w:t>$10,000</w:t>
            </w:r>
          </w:p>
        </w:tc>
      </w:tr>
      <w:tr>
        <w:trPr>
          <w:trHeight w:val="333" w:hRule="exact"/>
        </w:trPr>
        <w:tc>
          <w:tcPr>
            <w:tcW w:w="4700" w:type="dxa"/>
          </w:tcPr>
          <w:p>
            <w:pPr>
              <w:pStyle w:val="TableParagraph"/>
              <w:spacing w:before="149"/>
              <w:ind w:left="1490"/>
              <w:rPr>
                <w:b/>
                <w:sz w:val="16"/>
              </w:rPr>
            </w:pPr>
            <w:r>
              <w:rPr>
                <w:b/>
                <w:sz w:val="16"/>
              </w:rPr>
              <w:t>Additional Premium:</w:t>
            </w:r>
          </w:p>
        </w:tc>
        <w:tc>
          <w:tcPr>
            <w:tcW w:w="930" w:type="dxa"/>
          </w:tcPr>
          <w:p>
            <w:pPr>
              <w:pStyle w:val="TableParagraph"/>
              <w:spacing w:before="149"/>
              <w:ind w:right="17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$N/A</w:t>
            </w:r>
          </w:p>
        </w:tc>
        <w:tc>
          <w:tcPr>
            <w:tcW w:w="4578" w:type="dxa"/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55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1"/>
        <w:gridCol w:w="1338"/>
      </w:tblGrid>
      <w:tr>
        <w:trPr>
          <w:trHeight w:val="211" w:hRule="exact"/>
        </w:trPr>
        <w:tc>
          <w:tcPr>
            <w:tcW w:w="3161" w:type="dxa"/>
          </w:tcPr>
          <w:p>
            <w:pPr>
              <w:pStyle w:val="TableParagraph"/>
              <w:spacing w:line="178" w:lineRule="exact" w:before="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Premises Liability Aggregate Limit</w:t>
            </w:r>
          </w:p>
        </w:tc>
        <w:tc>
          <w:tcPr>
            <w:tcW w:w="1338" w:type="dxa"/>
          </w:tcPr>
          <w:p>
            <w:pPr>
              <w:pStyle w:val="TableParagraph"/>
              <w:spacing w:line="178" w:lineRule="exact" w:before="0"/>
              <w:ind w:left="489"/>
              <w:rPr>
                <w:b/>
                <w:sz w:val="16"/>
              </w:rPr>
            </w:pPr>
            <w:r>
              <w:rPr>
                <w:b/>
                <w:sz w:val="16"/>
              </w:rPr>
              <w:t>$1,000,000</w:t>
            </w:r>
          </w:p>
        </w:tc>
      </w:tr>
      <w:tr>
        <w:trPr>
          <w:trHeight w:val="366" w:hRule="exact"/>
        </w:trPr>
        <w:tc>
          <w:tcPr>
            <w:tcW w:w="3161" w:type="dxa"/>
          </w:tcPr>
          <w:p>
            <w:pPr>
              <w:pStyle w:val="TableParagraph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Each Occurrence Limit</w:t>
            </w:r>
          </w:p>
        </w:tc>
        <w:tc>
          <w:tcPr>
            <w:tcW w:w="1338" w:type="dxa"/>
          </w:tcPr>
          <w:p>
            <w:pPr>
              <w:pStyle w:val="TableParagraph"/>
              <w:ind w:left="489"/>
              <w:rPr>
                <w:b/>
                <w:sz w:val="16"/>
              </w:rPr>
            </w:pPr>
            <w:r>
              <w:rPr>
                <w:b/>
                <w:sz w:val="16"/>
              </w:rPr>
              <w:t>$1,000,000</w:t>
            </w:r>
          </w:p>
        </w:tc>
      </w:tr>
      <w:tr>
        <w:trPr>
          <w:trHeight w:val="333" w:hRule="exact"/>
        </w:trPr>
        <w:tc>
          <w:tcPr>
            <w:tcW w:w="3161" w:type="dxa"/>
          </w:tcPr>
          <w:p>
            <w:pPr>
              <w:pStyle w:val="TableParagraph"/>
              <w:spacing w:before="149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Additional Premium:</w:t>
            </w:r>
          </w:p>
        </w:tc>
        <w:tc>
          <w:tcPr>
            <w:tcW w:w="1338" w:type="dxa"/>
          </w:tcPr>
          <w:p>
            <w:pPr>
              <w:pStyle w:val="TableParagraph"/>
              <w:spacing w:before="149"/>
              <w:ind w:left="494"/>
              <w:rPr>
                <w:b/>
                <w:sz w:val="16"/>
              </w:rPr>
            </w:pPr>
            <w:r>
              <w:rPr>
                <w:b/>
                <w:sz w:val="16"/>
              </w:rPr>
              <w:t>$171</w:t>
            </w:r>
          </w:p>
        </w:tc>
      </w:tr>
    </w:tbl>
    <w:sectPr>
      <w:pgSz w:w="12240" w:h="15840"/>
      <w:pgMar w:header="0" w:footer="745" w:top="640" w:bottom="940" w:left="8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3.730957pt;width:29.85pt;height:13.1pt;mso-position-horizontal-relative:page;mso-position-vertical-relative:page;z-index:-137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1/2013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242.770966pt;margin-top:743.730957pt;width:47.35pt;height:13.1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righ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IL Rates _1-13_ _2_.doc</dc:title>
  <dcterms:created xsi:type="dcterms:W3CDTF">2017-09-01T11:39:48Z</dcterms:created>
  <dcterms:modified xsi:type="dcterms:W3CDTF">2017-09-01T11:39:48Z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2017-09-01T00:00:00Z</vt:filetime>
  </property>
</Properties>
</file>