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8"/>
        <w:ind w:left="298"/>
      </w:pPr>
      <w:r>
        <w:rPr/>
        <w:t>ENDORSEMENT</w:t>
      </w:r>
    </w:p>
    <w:p>
      <w:pPr>
        <w:pStyle w:val="BodyText"/>
        <w:spacing w:before="11"/>
        <w:rPr>
          <w:b/>
          <w:sz w:val="23"/>
        </w:rPr>
      </w:pPr>
    </w:p>
    <w:p>
      <w:pPr>
        <w:spacing w:before="0"/>
        <w:ind w:left="299" w:right="299" w:firstLine="0"/>
        <w:jc w:val="center"/>
        <w:rPr>
          <w:b/>
          <w:sz w:val="24"/>
        </w:rPr>
      </w:pPr>
      <w:r>
        <w:rPr>
          <w:b/>
          <w:sz w:val="24"/>
        </w:rPr>
        <w:t>THIS ENDORSEMENT CHANGES THE POLICY. PLEASE READ IT CAREFULLY.</w:t>
      </w:r>
    </w:p>
    <w:p>
      <w:pPr>
        <w:pStyle w:val="BodyText"/>
        <w:rPr>
          <w:b/>
          <w:sz w:val="26"/>
        </w:rPr>
      </w:pPr>
    </w:p>
    <w:p>
      <w:pPr>
        <w:pStyle w:val="BodyText"/>
        <w:tabs>
          <w:tab w:pos="6601" w:val="left" w:leader="none"/>
        </w:tabs>
        <w:spacing w:line="480" w:lineRule="auto" w:before="206"/>
        <w:ind w:left="119" w:right="1577"/>
      </w:pPr>
      <w:r>
        <w:rPr/>
        <w:t>This endorsement, effective</w:t>
      </w:r>
      <w:r>
        <w:rPr>
          <w:spacing w:val="-4"/>
        </w:rPr>
        <w:t> </w:t>
      </w:r>
      <w:r>
        <w:rPr/>
        <w:t>12:01</w:t>
      </w:r>
      <w:r>
        <w:rPr>
          <w:spacing w:val="-2"/>
        </w:rPr>
        <w:t> </w:t>
      </w:r>
      <w:r>
        <w:rPr/>
        <w:t>a.m.</w:t>
        <w:tab/>
        <w:t>forms a</w:t>
      </w:r>
      <w:r>
        <w:rPr>
          <w:spacing w:val="-2"/>
        </w:rPr>
        <w:t> </w:t>
      </w:r>
      <w:r>
        <w:rPr/>
        <w:t>part</w:t>
      </w:r>
      <w:r>
        <w:rPr>
          <w:spacing w:val="-1"/>
        </w:rPr>
        <w:t> </w:t>
      </w:r>
      <w:r>
        <w:rPr/>
        <w:t>of</w:t>
      </w:r>
      <w:r>
        <w:rPr>
          <w:w w:val="99"/>
        </w:rPr>
        <w:t> </w:t>
      </w:r>
      <w:r>
        <w:rPr/>
        <w:t>Policy</w:t>
      </w:r>
      <w:r>
        <w:rPr>
          <w:spacing w:val="-5"/>
        </w:rPr>
        <w:t> </w:t>
      </w:r>
      <w:r>
        <w:rPr/>
        <w:t>No.</w:t>
      </w:r>
    </w:p>
    <w:p>
      <w:pPr>
        <w:pStyle w:val="BodyText"/>
        <w:spacing w:line="480" w:lineRule="auto" w:before="7"/>
        <w:ind w:left="119" w:right="8568"/>
      </w:pPr>
      <w:r>
        <w:rPr/>
        <w:t>Issued to By</w:t>
      </w:r>
    </w:p>
    <w:p>
      <w:pPr>
        <w:pStyle w:val="BodyText"/>
        <w:spacing w:before="8"/>
        <w:rPr>
          <w:sz w:val="20"/>
        </w:rPr>
      </w:pPr>
    </w:p>
    <w:p>
      <w:pPr>
        <w:pStyle w:val="BodyText"/>
        <w:ind w:left="298" w:right="299"/>
        <w:jc w:val="center"/>
      </w:pPr>
      <w:r>
        <w:rPr/>
        <w:t>NEW HAMPSHIRE</w:t>
      </w:r>
    </w:p>
    <w:p>
      <w:pPr>
        <w:pStyle w:val="Heading1"/>
      </w:pPr>
      <w:r>
        <w:rPr/>
        <w:t>SCHOOL/INSTITUTE/SOCIETY LIABILITY COVERAGE ENDORSEMENT</w:t>
      </w:r>
    </w:p>
    <w:p>
      <w:pPr>
        <w:pStyle w:val="BodyText"/>
        <w:spacing w:before="9"/>
        <w:rPr>
          <w:b/>
          <w:sz w:val="21"/>
        </w:rPr>
      </w:pPr>
    </w:p>
    <w:p>
      <w:pPr>
        <w:pStyle w:val="BodyText"/>
        <w:spacing w:line="480" w:lineRule="auto"/>
        <w:ind w:left="840" w:right="2930" w:hanging="721"/>
      </w:pPr>
      <w:r>
        <w:rPr/>
        <w:t>This endorsement modifies insurance provided under the following: PSYCHOANALYSTS PROFESSIONAL LIABILITY POLICY</w:t>
      </w:r>
    </w:p>
    <w:p>
      <w:pPr>
        <w:pStyle w:val="BodyText"/>
        <w:spacing w:before="6"/>
      </w:pPr>
    </w:p>
    <w:p>
      <w:pPr>
        <w:pStyle w:val="ListParagraph"/>
        <w:numPr>
          <w:ilvl w:val="0"/>
          <w:numId w:val="1"/>
        </w:numPr>
        <w:tabs>
          <w:tab w:pos="839" w:val="left" w:leader="none"/>
          <w:tab w:pos="841" w:val="left" w:leader="none"/>
        </w:tabs>
        <w:spacing w:line="240" w:lineRule="auto" w:before="0" w:after="0"/>
        <w:ind w:left="839" w:right="0" w:hanging="719"/>
        <w:jc w:val="left"/>
        <w:rPr>
          <w:sz w:val="22"/>
        </w:rPr>
      </w:pPr>
      <w:r>
        <w:rPr>
          <w:sz w:val="22"/>
        </w:rPr>
        <w:t>Section </w:t>
      </w:r>
      <w:r>
        <w:rPr>
          <w:b/>
          <w:sz w:val="22"/>
        </w:rPr>
        <w:t>I. COVERAGES </w:t>
      </w:r>
      <w:r>
        <w:rPr>
          <w:sz w:val="22"/>
        </w:rPr>
        <w:t>is deleted in its entirety and replaced with the</w:t>
      </w:r>
      <w:r>
        <w:rPr>
          <w:spacing w:val="-20"/>
          <w:sz w:val="22"/>
        </w:rPr>
        <w:t> </w:t>
      </w:r>
      <w:r>
        <w:rPr>
          <w:sz w:val="22"/>
        </w:rPr>
        <w:t>following:</w:t>
      </w:r>
    </w:p>
    <w:p>
      <w:pPr>
        <w:pStyle w:val="BodyText"/>
      </w:pPr>
    </w:p>
    <w:p>
      <w:pPr>
        <w:pStyle w:val="ListParagraph"/>
        <w:numPr>
          <w:ilvl w:val="1"/>
          <w:numId w:val="1"/>
        </w:numPr>
        <w:tabs>
          <w:tab w:pos="1201" w:val="left" w:leader="none"/>
        </w:tabs>
        <w:spacing w:line="240" w:lineRule="auto" w:before="0" w:after="0"/>
        <w:ind w:left="1200" w:right="0" w:hanging="360"/>
        <w:jc w:val="left"/>
        <w:rPr>
          <w:sz w:val="22"/>
        </w:rPr>
      </w:pPr>
      <w:r>
        <w:rPr>
          <w:sz w:val="22"/>
        </w:rPr>
        <w:t>Professional</w:t>
      </w:r>
      <w:r>
        <w:rPr>
          <w:spacing w:val="-5"/>
          <w:sz w:val="22"/>
        </w:rPr>
        <w:t> </w:t>
      </w:r>
      <w:r>
        <w:rPr>
          <w:sz w:val="22"/>
        </w:rPr>
        <w:t>Liability</w:t>
      </w:r>
    </w:p>
    <w:p>
      <w:pPr>
        <w:pStyle w:val="BodyText"/>
      </w:pPr>
    </w:p>
    <w:p>
      <w:pPr>
        <w:pStyle w:val="BodyText"/>
        <w:ind w:left="1199" w:right="118"/>
        <w:jc w:val="both"/>
      </w:pPr>
      <w:r>
        <w:rPr>
          <w:b/>
        </w:rPr>
        <w:t>We </w:t>
      </w:r>
      <w:r>
        <w:rPr/>
        <w:t>shall pay those amounts </w:t>
      </w:r>
      <w:r>
        <w:rPr>
          <w:b/>
        </w:rPr>
        <w:t>you </w:t>
      </w:r>
      <w:r>
        <w:rPr/>
        <w:t>are legally obligated to pay to compensate others for damages arising from an Insured’s </w:t>
      </w:r>
      <w:r>
        <w:rPr>
          <w:b/>
        </w:rPr>
        <w:t>wrongful act </w:t>
      </w:r>
      <w:r>
        <w:rPr/>
        <w:t>or that of another for whom </w:t>
      </w:r>
      <w:r>
        <w:rPr>
          <w:b/>
        </w:rPr>
        <w:t>you </w:t>
      </w:r>
      <w:r>
        <w:rPr/>
        <w:t>are legally responsible. The </w:t>
      </w:r>
      <w:r>
        <w:rPr>
          <w:b/>
        </w:rPr>
        <w:t>wrongful act </w:t>
      </w:r>
      <w:r>
        <w:rPr/>
        <w:t>must arise solely out of the performance  of </w:t>
      </w:r>
      <w:r>
        <w:rPr>
          <w:b/>
        </w:rPr>
        <w:t>your </w:t>
      </w:r>
      <w:r>
        <w:rPr/>
        <w:t>professional services as a </w:t>
      </w:r>
      <w:r>
        <w:rPr>
          <w:b/>
        </w:rPr>
        <w:t>psychoanalyst </w:t>
      </w:r>
      <w:r>
        <w:rPr/>
        <w:t>or out of the performance of professional services for others in the Insured’s capacity as a Psychoanalytic School, Institute or Society. The </w:t>
      </w:r>
      <w:r>
        <w:rPr>
          <w:b/>
        </w:rPr>
        <w:t>wrongful act </w:t>
      </w:r>
      <w:r>
        <w:rPr/>
        <w:t>must take place within the Coverage Territory and during the </w:t>
      </w:r>
      <w:r>
        <w:rPr>
          <w:b/>
        </w:rPr>
        <w:t>policy</w:t>
      </w:r>
      <w:r>
        <w:rPr>
          <w:b/>
          <w:spacing w:val="-7"/>
        </w:rPr>
        <w:t> </w:t>
      </w:r>
      <w:r>
        <w:rPr>
          <w:b/>
        </w:rPr>
        <w:t>period</w:t>
      </w:r>
      <w:r>
        <w:rPr/>
        <w:t>.</w:t>
      </w:r>
    </w:p>
    <w:p>
      <w:pPr>
        <w:pStyle w:val="BodyText"/>
        <w:spacing w:before="10"/>
        <w:rPr>
          <w:sz w:val="21"/>
        </w:rPr>
      </w:pPr>
    </w:p>
    <w:p>
      <w:pPr>
        <w:pStyle w:val="ListParagraph"/>
        <w:numPr>
          <w:ilvl w:val="1"/>
          <w:numId w:val="1"/>
        </w:numPr>
        <w:tabs>
          <w:tab w:pos="1201" w:val="left" w:leader="none"/>
        </w:tabs>
        <w:spacing w:line="240" w:lineRule="auto" w:before="0" w:after="0"/>
        <w:ind w:left="1200" w:right="0" w:hanging="360"/>
        <w:jc w:val="left"/>
        <w:rPr>
          <w:sz w:val="22"/>
        </w:rPr>
      </w:pPr>
      <w:r>
        <w:rPr>
          <w:sz w:val="22"/>
        </w:rPr>
        <w:t>Premises</w:t>
      </w:r>
      <w:r>
        <w:rPr>
          <w:spacing w:val="-4"/>
          <w:sz w:val="22"/>
        </w:rPr>
        <w:t> </w:t>
      </w:r>
      <w:r>
        <w:rPr>
          <w:sz w:val="22"/>
        </w:rPr>
        <w:t>Liability</w:t>
      </w:r>
    </w:p>
    <w:p>
      <w:pPr>
        <w:pStyle w:val="BodyText"/>
        <w:spacing w:before="11"/>
        <w:rPr>
          <w:sz w:val="21"/>
        </w:rPr>
      </w:pPr>
    </w:p>
    <w:p>
      <w:pPr>
        <w:spacing w:before="0"/>
        <w:ind w:left="1199" w:right="117" w:firstLine="0"/>
        <w:jc w:val="both"/>
        <w:rPr>
          <w:sz w:val="22"/>
        </w:rPr>
      </w:pPr>
      <w:r>
        <w:rPr>
          <w:b/>
          <w:sz w:val="22"/>
        </w:rPr>
        <w:t>We </w:t>
      </w:r>
      <w:r>
        <w:rPr>
          <w:sz w:val="22"/>
        </w:rPr>
        <w:t>shall pay those amounts </w:t>
      </w:r>
      <w:r>
        <w:rPr>
          <w:b/>
          <w:sz w:val="22"/>
        </w:rPr>
        <w:t>you </w:t>
      </w:r>
      <w:r>
        <w:rPr>
          <w:sz w:val="22"/>
        </w:rPr>
        <w:t>are legally obligated to pay to compensate </w:t>
      </w:r>
      <w:r>
        <w:rPr>
          <w:b/>
          <w:sz w:val="22"/>
        </w:rPr>
        <w:t>your </w:t>
      </w:r>
      <w:r>
        <w:rPr>
          <w:sz w:val="22"/>
        </w:rPr>
        <w:t>patients and other persons </w:t>
      </w:r>
      <w:r>
        <w:rPr>
          <w:b/>
          <w:sz w:val="22"/>
        </w:rPr>
        <w:t>you </w:t>
      </w:r>
      <w:r>
        <w:rPr>
          <w:sz w:val="22"/>
        </w:rPr>
        <w:t>invite for damages sustained from </w:t>
      </w:r>
      <w:r>
        <w:rPr>
          <w:b/>
          <w:sz w:val="22"/>
        </w:rPr>
        <w:t>bodily injury </w:t>
      </w:r>
      <w:r>
        <w:rPr>
          <w:sz w:val="22"/>
        </w:rPr>
        <w:t>or </w:t>
      </w:r>
      <w:r>
        <w:rPr>
          <w:b/>
          <w:sz w:val="22"/>
        </w:rPr>
        <w:t>property damage </w:t>
      </w:r>
      <w:r>
        <w:rPr>
          <w:sz w:val="22"/>
        </w:rPr>
        <w:t>arising out of an </w:t>
      </w:r>
      <w:r>
        <w:rPr>
          <w:b/>
          <w:sz w:val="22"/>
        </w:rPr>
        <w:t>occurrence </w:t>
      </w:r>
      <w:r>
        <w:rPr>
          <w:sz w:val="22"/>
        </w:rPr>
        <w:t>on premises </w:t>
      </w:r>
      <w:r>
        <w:rPr>
          <w:b/>
          <w:sz w:val="22"/>
        </w:rPr>
        <w:t>you </w:t>
      </w:r>
      <w:r>
        <w:rPr>
          <w:sz w:val="22"/>
        </w:rPr>
        <w:t>principally use in </w:t>
      </w:r>
      <w:r>
        <w:rPr>
          <w:b/>
          <w:sz w:val="22"/>
        </w:rPr>
        <w:t>your </w:t>
      </w:r>
      <w:r>
        <w:rPr>
          <w:sz w:val="22"/>
        </w:rPr>
        <w:t>practice as a </w:t>
      </w:r>
      <w:r>
        <w:rPr>
          <w:b/>
          <w:sz w:val="22"/>
        </w:rPr>
        <w:t>psychoanalyst </w:t>
      </w:r>
      <w:r>
        <w:rPr>
          <w:sz w:val="22"/>
        </w:rPr>
        <w:t>or on premises principally used in the Insured’s activities as a Psychoanalytic School, Institute or Society. The </w:t>
      </w:r>
      <w:r>
        <w:rPr>
          <w:b/>
          <w:sz w:val="22"/>
        </w:rPr>
        <w:t>occurrence </w:t>
      </w:r>
      <w:r>
        <w:rPr>
          <w:sz w:val="22"/>
        </w:rPr>
        <w:t>must  take place within the Coverage Territory and during the </w:t>
      </w:r>
      <w:r>
        <w:rPr>
          <w:b/>
          <w:sz w:val="22"/>
        </w:rPr>
        <w:t>policy</w:t>
      </w:r>
      <w:r>
        <w:rPr>
          <w:b/>
          <w:spacing w:val="-17"/>
          <w:sz w:val="22"/>
        </w:rPr>
        <w:t> </w:t>
      </w:r>
      <w:r>
        <w:rPr>
          <w:b/>
          <w:sz w:val="22"/>
        </w:rPr>
        <w:t>period</w:t>
      </w:r>
      <w:r>
        <w:rPr>
          <w:sz w:val="22"/>
        </w:rPr>
        <w:t>.</w:t>
      </w:r>
    </w:p>
    <w:p>
      <w:pPr>
        <w:pStyle w:val="BodyText"/>
      </w:pPr>
    </w:p>
    <w:p>
      <w:pPr>
        <w:pStyle w:val="ListParagraph"/>
        <w:numPr>
          <w:ilvl w:val="0"/>
          <w:numId w:val="1"/>
        </w:numPr>
        <w:tabs>
          <w:tab w:pos="839" w:val="left" w:leader="none"/>
          <w:tab w:pos="840" w:val="left" w:leader="none"/>
        </w:tabs>
        <w:spacing w:line="240" w:lineRule="auto" w:before="0" w:after="0"/>
        <w:ind w:left="839" w:right="120" w:hanging="720"/>
        <w:jc w:val="left"/>
        <w:rPr>
          <w:sz w:val="22"/>
        </w:rPr>
      </w:pPr>
      <w:r>
        <w:rPr>
          <w:sz w:val="22"/>
        </w:rPr>
        <w:t>Paragraphs D. and E. of Section </w:t>
      </w:r>
      <w:r>
        <w:rPr>
          <w:b/>
          <w:sz w:val="22"/>
        </w:rPr>
        <w:t>III. EXCLUSIONS </w:t>
      </w:r>
      <w:r>
        <w:rPr>
          <w:sz w:val="22"/>
        </w:rPr>
        <w:t>are deleted in their entirety and replaced with the</w:t>
      </w:r>
      <w:r>
        <w:rPr>
          <w:spacing w:val="-7"/>
          <w:sz w:val="22"/>
        </w:rPr>
        <w:t> </w:t>
      </w:r>
      <w:r>
        <w:rPr>
          <w:sz w:val="22"/>
        </w:rPr>
        <w:t>following:</w:t>
      </w:r>
    </w:p>
    <w:p>
      <w:pPr>
        <w:pStyle w:val="BodyText"/>
      </w:pPr>
    </w:p>
    <w:p>
      <w:pPr>
        <w:pStyle w:val="ListParagraph"/>
        <w:numPr>
          <w:ilvl w:val="0"/>
          <w:numId w:val="2"/>
        </w:numPr>
        <w:tabs>
          <w:tab w:pos="1201" w:val="left" w:leader="none"/>
        </w:tabs>
        <w:spacing w:line="240" w:lineRule="auto" w:before="0" w:after="0"/>
        <w:ind w:left="1199" w:right="118" w:hanging="360"/>
        <w:jc w:val="both"/>
        <w:rPr>
          <w:sz w:val="22"/>
        </w:rPr>
      </w:pPr>
      <w:r>
        <w:rPr>
          <w:sz w:val="22"/>
        </w:rPr>
        <w:t>Arising from </w:t>
      </w:r>
      <w:r>
        <w:rPr>
          <w:b/>
          <w:sz w:val="22"/>
        </w:rPr>
        <w:t>wrongful acts </w:t>
      </w:r>
      <w:r>
        <w:rPr>
          <w:sz w:val="22"/>
        </w:rPr>
        <w:t>as a manager, administrator, director, officer or committee member of a </w:t>
      </w:r>
      <w:r>
        <w:rPr>
          <w:b/>
          <w:sz w:val="22"/>
        </w:rPr>
        <w:t>utilization review </w:t>
      </w:r>
      <w:r>
        <w:rPr>
          <w:sz w:val="22"/>
        </w:rPr>
        <w:t>panel or as a member of a formal accreditation or review board, professional society, licensing board or hospital committee;</w:t>
      </w:r>
    </w:p>
    <w:p>
      <w:pPr>
        <w:spacing w:after="0" w:line="240" w:lineRule="auto"/>
        <w:jc w:val="both"/>
        <w:rPr>
          <w:sz w:val="22"/>
        </w:rPr>
        <w:sectPr>
          <w:footerReference w:type="default" r:id="rId5"/>
          <w:type w:val="continuous"/>
          <w:pgSz w:w="12240" w:h="15840"/>
          <w:pgMar w:footer="747" w:top="1360" w:bottom="940" w:left="1320" w:right="1320"/>
          <w:pgNumType w:start="1"/>
        </w:sectPr>
      </w:pPr>
    </w:p>
    <w:p>
      <w:pPr>
        <w:pStyle w:val="ListParagraph"/>
        <w:numPr>
          <w:ilvl w:val="0"/>
          <w:numId w:val="2"/>
        </w:numPr>
        <w:tabs>
          <w:tab w:pos="1201" w:val="left" w:leader="none"/>
        </w:tabs>
        <w:spacing w:line="240" w:lineRule="auto" w:before="77" w:after="0"/>
        <w:ind w:left="1199" w:right="117" w:hanging="359"/>
        <w:jc w:val="both"/>
        <w:rPr>
          <w:sz w:val="22"/>
        </w:rPr>
      </w:pPr>
      <w:r>
        <w:rPr>
          <w:sz w:val="22"/>
        </w:rPr>
        <w:t>Brought by any other person or organization covered under this policy. However, this exclusion does not apply to 1) any </w:t>
      </w:r>
      <w:r>
        <w:rPr>
          <w:b/>
          <w:sz w:val="22"/>
        </w:rPr>
        <w:t>claim </w:t>
      </w:r>
      <w:r>
        <w:rPr>
          <w:sz w:val="22"/>
        </w:rPr>
        <w:t>brought by or on behalf of a student; or 2) any intra-family or inter-spousal </w:t>
      </w:r>
      <w:r>
        <w:rPr>
          <w:b/>
          <w:sz w:val="22"/>
        </w:rPr>
        <w:t>claim </w:t>
      </w:r>
      <w:r>
        <w:rPr>
          <w:sz w:val="22"/>
        </w:rPr>
        <w:t>brought by or on behalf of an</w:t>
      </w:r>
      <w:r>
        <w:rPr>
          <w:spacing w:val="-17"/>
          <w:sz w:val="22"/>
        </w:rPr>
        <w:t> </w:t>
      </w:r>
      <w:r>
        <w:rPr>
          <w:sz w:val="22"/>
        </w:rPr>
        <w:t>insured;</w:t>
      </w:r>
    </w:p>
    <w:p>
      <w:pPr>
        <w:pStyle w:val="BodyText"/>
        <w:spacing w:before="10"/>
        <w:rPr>
          <w:sz w:val="21"/>
        </w:rPr>
      </w:pPr>
    </w:p>
    <w:p>
      <w:pPr>
        <w:pStyle w:val="ListParagraph"/>
        <w:numPr>
          <w:ilvl w:val="0"/>
          <w:numId w:val="1"/>
        </w:numPr>
        <w:tabs>
          <w:tab w:pos="839" w:val="left" w:leader="none"/>
          <w:tab w:pos="841" w:val="left" w:leader="none"/>
        </w:tabs>
        <w:spacing w:line="240" w:lineRule="auto" w:before="0" w:after="0"/>
        <w:ind w:left="840" w:right="0" w:hanging="721"/>
        <w:jc w:val="left"/>
        <w:rPr>
          <w:sz w:val="22"/>
        </w:rPr>
      </w:pPr>
      <w:r>
        <w:rPr>
          <w:sz w:val="22"/>
        </w:rPr>
        <w:t>Section </w:t>
      </w:r>
      <w:r>
        <w:rPr>
          <w:b/>
          <w:sz w:val="22"/>
        </w:rPr>
        <w:t>III. EXCLUSIONS </w:t>
      </w:r>
      <w:r>
        <w:rPr>
          <w:sz w:val="22"/>
        </w:rPr>
        <w:t>is amended to include the following additional</w:t>
      </w:r>
      <w:r>
        <w:rPr>
          <w:spacing w:val="-20"/>
          <w:sz w:val="22"/>
        </w:rPr>
        <w:t> </w:t>
      </w:r>
      <w:r>
        <w:rPr>
          <w:sz w:val="22"/>
        </w:rPr>
        <w:t>exclusion:</w:t>
      </w:r>
    </w:p>
    <w:p>
      <w:pPr>
        <w:pStyle w:val="BodyText"/>
      </w:pPr>
    </w:p>
    <w:p>
      <w:pPr>
        <w:pStyle w:val="BodyText"/>
        <w:ind w:left="1199" w:right="116"/>
        <w:jc w:val="both"/>
      </w:pPr>
      <w:r>
        <w:rPr/>
        <w:t>Arising from any medical, dental, x-ray, nursing service treatment, the furnishing of food or beverages in connection therewith, any cosmetic or tonsorial service, treatment or the furnishing of dental or surgical supplies or appliances, or the dispensing of drugs or medicines unless such dispensing of drugs or medicines is solely in conjunction with, and usual and customary to, the Insured’s activities as a Psychoanalytic School, Institute or Society.</w:t>
      </w:r>
    </w:p>
    <w:p>
      <w:pPr>
        <w:pStyle w:val="BodyText"/>
      </w:pPr>
    </w:p>
    <w:p>
      <w:pPr>
        <w:pStyle w:val="ListParagraph"/>
        <w:numPr>
          <w:ilvl w:val="0"/>
          <w:numId w:val="1"/>
        </w:numPr>
        <w:tabs>
          <w:tab w:pos="839" w:val="left" w:leader="none"/>
          <w:tab w:pos="841" w:val="left" w:leader="none"/>
        </w:tabs>
        <w:spacing w:line="240" w:lineRule="auto" w:before="0" w:after="0"/>
        <w:ind w:left="840" w:right="0" w:hanging="720"/>
        <w:jc w:val="left"/>
        <w:rPr>
          <w:sz w:val="22"/>
        </w:rPr>
      </w:pPr>
      <w:r>
        <w:rPr>
          <w:sz w:val="22"/>
        </w:rPr>
        <w:t>The following paragraph is added to Section </w:t>
      </w:r>
      <w:r>
        <w:rPr>
          <w:b/>
          <w:sz w:val="22"/>
        </w:rPr>
        <w:t>IV. WHO IS AN</w:t>
      </w:r>
      <w:r>
        <w:rPr>
          <w:b/>
          <w:spacing w:val="-17"/>
          <w:sz w:val="22"/>
        </w:rPr>
        <w:t> </w:t>
      </w:r>
      <w:r>
        <w:rPr>
          <w:b/>
          <w:sz w:val="22"/>
        </w:rPr>
        <w:t>INSURED</w:t>
      </w:r>
      <w:r>
        <w:rPr>
          <w:sz w:val="22"/>
        </w:rPr>
        <w:t>:</w:t>
      </w:r>
    </w:p>
    <w:p>
      <w:pPr>
        <w:pStyle w:val="BodyText"/>
        <w:spacing w:before="10"/>
        <w:rPr>
          <w:sz w:val="21"/>
        </w:rPr>
      </w:pPr>
    </w:p>
    <w:p>
      <w:pPr>
        <w:pStyle w:val="BodyText"/>
        <w:ind w:left="1199" w:right="113"/>
      </w:pPr>
      <w:r>
        <w:rPr/>
        <w:t>The directors, officers, trustees, board members, teachers, faculty, supervisory staff, lay people, volunteers and students of the Psychoanalytic School, Institute or Society listed as a Named Insured on the School/Institute/Society Declarations Page.</w:t>
      </w:r>
    </w:p>
    <w:p>
      <w:pPr>
        <w:pStyle w:val="BodyText"/>
        <w:spacing w:before="10"/>
        <w:rPr>
          <w:sz w:val="21"/>
        </w:rPr>
      </w:pPr>
    </w:p>
    <w:p>
      <w:pPr>
        <w:pStyle w:val="ListParagraph"/>
        <w:numPr>
          <w:ilvl w:val="0"/>
          <w:numId w:val="1"/>
        </w:numPr>
        <w:tabs>
          <w:tab w:pos="839" w:val="left" w:leader="none"/>
          <w:tab w:pos="840" w:val="left" w:leader="none"/>
        </w:tabs>
        <w:spacing w:line="240" w:lineRule="auto" w:before="0" w:after="0"/>
        <w:ind w:left="839" w:right="0" w:hanging="720"/>
        <w:jc w:val="left"/>
        <w:rPr>
          <w:sz w:val="22"/>
        </w:rPr>
      </w:pPr>
      <w:r>
        <w:rPr>
          <w:sz w:val="22"/>
        </w:rPr>
        <w:t>Section </w:t>
      </w:r>
      <w:r>
        <w:rPr>
          <w:b/>
          <w:sz w:val="22"/>
        </w:rPr>
        <w:t>VI. ADMINISTRATIVE HEARING PROVISION </w:t>
      </w:r>
      <w:r>
        <w:rPr>
          <w:sz w:val="22"/>
        </w:rPr>
        <w:t>is deleted in its</w:t>
      </w:r>
      <w:r>
        <w:rPr>
          <w:spacing w:val="-16"/>
          <w:sz w:val="22"/>
        </w:rPr>
        <w:t> </w:t>
      </w:r>
      <w:r>
        <w:rPr>
          <w:sz w:val="22"/>
        </w:rPr>
        <w:t>entirety.</w:t>
      </w:r>
    </w:p>
    <w:p>
      <w:pPr>
        <w:pStyle w:val="BodyText"/>
      </w:pPr>
    </w:p>
    <w:p>
      <w:pPr>
        <w:pStyle w:val="ListParagraph"/>
        <w:numPr>
          <w:ilvl w:val="0"/>
          <w:numId w:val="1"/>
        </w:numPr>
        <w:tabs>
          <w:tab w:pos="839" w:val="left" w:leader="none"/>
          <w:tab w:pos="840" w:val="left" w:leader="none"/>
        </w:tabs>
        <w:spacing w:line="240" w:lineRule="auto" w:before="0" w:after="0"/>
        <w:ind w:left="839" w:right="0" w:hanging="720"/>
        <w:jc w:val="left"/>
        <w:rPr>
          <w:sz w:val="22"/>
        </w:rPr>
      </w:pPr>
      <w:r>
        <w:rPr>
          <w:sz w:val="22"/>
        </w:rPr>
        <w:t>Paragraphs A., B., and I. of Section </w:t>
      </w:r>
      <w:r>
        <w:rPr>
          <w:b/>
          <w:sz w:val="22"/>
        </w:rPr>
        <w:t>VII. DEFINITIONS </w:t>
      </w:r>
      <w:r>
        <w:rPr>
          <w:sz w:val="22"/>
        </w:rPr>
        <w:t>A are deleted in their</w:t>
      </w:r>
      <w:r>
        <w:rPr>
          <w:spacing w:val="-17"/>
          <w:sz w:val="22"/>
        </w:rPr>
        <w:t> </w:t>
      </w:r>
      <w:r>
        <w:rPr>
          <w:sz w:val="22"/>
        </w:rPr>
        <w:t>entirety.</w:t>
      </w:r>
    </w:p>
    <w:p>
      <w:pPr>
        <w:pStyle w:val="BodyText"/>
      </w:pPr>
    </w:p>
    <w:p>
      <w:pPr>
        <w:pStyle w:val="ListParagraph"/>
        <w:numPr>
          <w:ilvl w:val="0"/>
          <w:numId w:val="1"/>
        </w:numPr>
        <w:tabs>
          <w:tab w:pos="839" w:val="left" w:leader="none"/>
          <w:tab w:pos="840" w:val="left" w:leader="none"/>
        </w:tabs>
        <w:spacing w:line="240" w:lineRule="auto" w:before="0" w:after="0"/>
        <w:ind w:left="839" w:right="120" w:hanging="720"/>
        <w:jc w:val="left"/>
        <w:rPr>
          <w:sz w:val="22"/>
        </w:rPr>
      </w:pPr>
      <w:r>
        <w:rPr>
          <w:sz w:val="22"/>
        </w:rPr>
        <w:t>Paragraph R. of Section </w:t>
      </w:r>
      <w:r>
        <w:rPr>
          <w:b/>
          <w:sz w:val="22"/>
        </w:rPr>
        <w:t>VII. DEFINITIONS </w:t>
      </w:r>
      <w:r>
        <w:rPr>
          <w:sz w:val="22"/>
        </w:rPr>
        <w:t>is deleted in its entirety and replaced with  the</w:t>
      </w:r>
      <w:r>
        <w:rPr>
          <w:spacing w:val="-4"/>
          <w:sz w:val="22"/>
        </w:rPr>
        <w:t> </w:t>
      </w:r>
      <w:r>
        <w:rPr>
          <w:sz w:val="22"/>
        </w:rPr>
        <w:t>following:</w:t>
      </w:r>
    </w:p>
    <w:p>
      <w:pPr>
        <w:pStyle w:val="BodyText"/>
        <w:spacing w:before="10"/>
        <w:rPr>
          <w:sz w:val="21"/>
        </w:rPr>
      </w:pPr>
    </w:p>
    <w:p>
      <w:pPr>
        <w:pStyle w:val="BodyText"/>
        <w:ind w:left="1199" w:right="118" w:hanging="360"/>
        <w:jc w:val="both"/>
      </w:pPr>
      <w:r>
        <w:rPr/>
        <w:t>R. </w:t>
      </w:r>
      <w:r>
        <w:rPr>
          <w:b/>
        </w:rPr>
        <w:t>Wrongful act </w:t>
      </w:r>
      <w:r>
        <w:rPr/>
        <w:t>means any actual or alleged negligent act, error or omission in the performance of professional services as a </w:t>
      </w:r>
      <w:r>
        <w:rPr>
          <w:b/>
        </w:rPr>
        <w:t>psychoanalyst </w:t>
      </w:r>
      <w:r>
        <w:rPr/>
        <w:t>or in the performance of professional services for others in the Insured’s capacity as a Psychoanalytic School, Institute or Society.  </w:t>
      </w:r>
      <w:r>
        <w:rPr>
          <w:b/>
        </w:rPr>
        <w:t>Wrongful act </w:t>
      </w:r>
      <w:r>
        <w:rPr/>
        <w:t>includes any actual or alleged </w:t>
      </w:r>
      <w:r>
        <w:rPr>
          <w:b/>
        </w:rPr>
        <w:t>defamation</w:t>
      </w:r>
      <w:r>
        <w:rPr/>
        <w:t>.</w:t>
      </w:r>
    </w:p>
    <w:p>
      <w:pPr>
        <w:pStyle w:val="BodyText"/>
        <w:spacing w:before="10"/>
        <w:rPr>
          <w:sz w:val="21"/>
        </w:rPr>
      </w:pPr>
    </w:p>
    <w:p>
      <w:pPr>
        <w:pStyle w:val="BodyText"/>
        <w:ind w:left="119"/>
      </w:pPr>
      <w:r>
        <w:rPr/>
        <w:t>All other terms and conditions of the policy shall remain the same.</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4"/>
        </w:rPr>
      </w:pPr>
      <w:r>
        <w:rPr/>
        <w:pict>
          <v:line style="position:absolute;mso-position-horizontal-relative:page;mso-position-vertical-relative:paragraph;z-index:0;mso-wrap-distance-left:0;mso-wrap-distance-right:0" from="288pt,16.442564pt" to="540pt,16.442564pt" stroked="true" strokeweight=".78pt" strokecolor="#000000">
            <v:stroke dashstyle="solid"/>
            <w10:wrap type="topAndBottom"/>
          </v:line>
        </w:pict>
      </w:r>
    </w:p>
    <w:p>
      <w:pPr>
        <w:pStyle w:val="BodyText"/>
        <w:spacing w:line="232" w:lineRule="exact"/>
        <w:ind w:left="5113"/>
      </w:pPr>
      <w:r>
        <w:rPr/>
        <w:t>Authorized Representative</w:t>
      </w:r>
    </w:p>
    <w:sectPr>
      <w:pgSz w:w="12240" w:h="15840"/>
      <w:pgMar w:header="0" w:footer="747" w:top="1360" w:bottom="94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43.64917pt;width:64.25pt;height:13.2pt;mso-position-horizontal-relative:page;mso-position-vertical-relative:page;z-index:-3232" type="#_x0000_t202" filled="false" stroked="false">
          <v:textbox inset="0,0,0,0">
            <w:txbxContent>
              <w:p>
                <w:pPr>
                  <w:spacing w:before="14"/>
                  <w:ind w:left="20" w:right="0" w:firstLine="0"/>
                  <w:jc w:val="left"/>
                  <w:rPr>
                    <w:sz w:val="20"/>
                  </w:rPr>
                </w:pPr>
                <w:r>
                  <w:rPr>
                    <w:sz w:val="20"/>
                  </w:rPr>
                  <w:t>109104 (7/11)</w:t>
                </w:r>
              </w:p>
            </w:txbxContent>
          </v:textbox>
          <w10:wrap type="none"/>
        </v:shape>
      </w:pict>
    </w:r>
    <w:r>
      <w:rPr/>
      <w:pict>
        <v:shape style="position:absolute;margin-left:286.969086pt;margin-top:743.64917pt;width:53.2pt;height:13.2pt;mso-position-horizontal-relative:page;mso-position-vertical-relative:page;z-index:-3208" type="#_x0000_t202" filled="false" stroked="false">
          <v:textbox inset="0,0,0,0">
            <w:txbxContent>
              <w:p>
                <w:pPr>
                  <w:spacing w:before="14"/>
                  <w:ind w:left="20" w:right="0" w:firstLine="0"/>
                  <w:jc w:val="left"/>
                  <w:rPr>
                    <w:sz w:val="20"/>
                  </w:rPr>
                </w:pPr>
                <w:r>
                  <w:rPr>
                    <w:sz w:val="20"/>
                  </w:rPr>
                  <w:t>Page </w:t>
                </w:r>
                <w:r>
                  <w:rPr/>
                  <w:fldChar w:fldCharType="begin"/>
                </w:r>
                <w:r>
                  <w:rPr>
                    <w:sz w:val="20"/>
                  </w:rPr>
                  <w:instrText> PAGE </w:instrText>
                </w:r>
                <w:r>
                  <w:rPr/>
                  <w:fldChar w:fldCharType="separate"/>
                </w:r>
                <w:r>
                  <w:rPr/>
                  <w:t>1</w:t>
                </w:r>
                <w:r>
                  <w:rPr/>
                  <w:fldChar w:fldCharType="end"/>
                </w:r>
                <w:r>
                  <w:rPr>
                    <w:sz w:val="20"/>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4"/>
      <w:numFmt w:val="upperLetter"/>
      <w:lvlText w:val="%1."/>
      <w:lvlJc w:val="left"/>
      <w:pPr>
        <w:ind w:left="1199" w:hanging="361"/>
        <w:jc w:val="left"/>
      </w:pPr>
      <w:rPr>
        <w:rFonts w:hint="default" w:ascii="Arial" w:hAnsi="Arial" w:eastAsia="Arial" w:cs="Arial"/>
        <w:w w:val="99"/>
        <w:sz w:val="22"/>
        <w:szCs w:val="22"/>
      </w:rPr>
    </w:lvl>
    <w:lvl w:ilvl="1">
      <w:start w:val="0"/>
      <w:numFmt w:val="bullet"/>
      <w:lvlText w:val="•"/>
      <w:lvlJc w:val="left"/>
      <w:pPr>
        <w:ind w:left="2040" w:hanging="361"/>
      </w:pPr>
      <w:rPr>
        <w:rFonts w:hint="default"/>
      </w:rPr>
    </w:lvl>
    <w:lvl w:ilvl="2">
      <w:start w:val="0"/>
      <w:numFmt w:val="bullet"/>
      <w:lvlText w:val="•"/>
      <w:lvlJc w:val="left"/>
      <w:pPr>
        <w:ind w:left="2880" w:hanging="361"/>
      </w:pPr>
      <w:rPr>
        <w:rFonts w:hint="default"/>
      </w:rPr>
    </w:lvl>
    <w:lvl w:ilvl="3">
      <w:start w:val="0"/>
      <w:numFmt w:val="bullet"/>
      <w:lvlText w:val="•"/>
      <w:lvlJc w:val="left"/>
      <w:pPr>
        <w:ind w:left="3720" w:hanging="361"/>
      </w:pPr>
      <w:rPr>
        <w:rFonts w:hint="default"/>
      </w:rPr>
    </w:lvl>
    <w:lvl w:ilvl="4">
      <w:start w:val="0"/>
      <w:numFmt w:val="bullet"/>
      <w:lvlText w:val="•"/>
      <w:lvlJc w:val="left"/>
      <w:pPr>
        <w:ind w:left="4560" w:hanging="361"/>
      </w:pPr>
      <w:rPr>
        <w:rFonts w:hint="default"/>
      </w:rPr>
    </w:lvl>
    <w:lvl w:ilvl="5">
      <w:start w:val="0"/>
      <w:numFmt w:val="bullet"/>
      <w:lvlText w:val="•"/>
      <w:lvlJc w:val="left"/>
      <w:pPr>
        <w:ind w:left="5400" w:hanging="361"/>
      </w:pPr>
      <w:rPr>
        <w:rFonts w:hint="default"/>
      </w:rPr>
    </w:lvl>
    <w:lvl w:ilvl="6">
      <w:start w:val="0"/>
      <w:numFmt w:val="bullet"/>
      <w:lvlText w:val="•"/>
      <w:lvlJc w:val="left"/>
      <w:pPr>
        <w:ind w:left="6240" w:hanging="361"/>
      </w:pPr>
      <w:rPr>
        <w:rFonts w:hint="default"/>
      </w:rPr>
    </w:lvl>
    <w:lvl w:ilvl="7">
      <w:start w:val="0"/>
      <w:numFmt w:val="bullet"/>
      <w:lvlText w:val="•"/>
      <w:lvlJc w:val="left"/>
      <w:pPr>
        <w:ind w:left="7080" w:hanging="361"/>
      </w:pPr>
      <w:rPr>
        <w:rFonts w:hint="default"/>
      </w:rPr>
    </w:lvl>
    <w:lvl w:ilvl="8">
      <w:start w:val="0"/>
      <w:numFmt w:val="bullet"/>
      <w:lvlText w:val="•"/>
      <w:lvlJc w:val="left"/>
      <w:pPr>
        <w:ind w:left="7920" w:hanging="361"/>
      </w:pPr>
      <w:rPr>
        <w:rFonts w:hint="default"/>
      </w:rPr>
    </w:lvl>
  </w:abstractNum>
  <w:abstractNum w:abstractNumId="0">
    <w:multiLevelType w:val="hybridMultilevel"/>
    <w:lvl w:ilvl="0">
      <w:start w:val="1"/>
      <w:numFmt w:val="upperRoman"/>
      <w:lvlText w:val="%1."/>
      <w:lvlJc w:val="left"/>
      <w:pPr>
        <w:ind w:left="839" w:hanging="721"/>
        <w:jc w:val="left"/>
      </w:pPr>
      <w:rPr>
        <w:rFonts w:hint="default" w:ascii="Arial" w:hAnsi="Arial" w:eastAsia="Arial" w:cs="Arial"/>
        <w:b/>
        <w:bCs/>
        <w:w w:val="99"/>
        <w:sz w:val="22"/>
        <w:szCs w:val="22"/>
      </w:rPr>
    </w:lvl>
    <w:lvl w:ilvl="1">
      <w:start w:val="1"/>
      <w:numFmt w:val="upperLetter"/>
      <w:lvlText w:val="%2."/>
      <w:lvlJc w:val="left"/>
      <w:pPr>
        <w:ind w:left="1200" w:hanging="361"/>
        <w:jc w:val="left"/>
      </w:pPr>
      <w:rPr>
        <w:rFonts w:hint="default" w:ascii="Arial" w:hAnsi="Arial" w:eastAsia="Arial" w:cs="Arial"/>
        <w:w w:val="99"/>
        <w:sz w:val="22"/>
        <w:szCs w:val="22"/>
      </w:rPr>
    </w:lvl>
    <w:lvl w:ilvl="2">
      <w:start w:val="0"/>
      <w:numFmt w:val="bullet"/>
      <w:lvlText w:val="•"/>
      <w:lvlJc w:val="left"/>
      <w:pPr>
        <w:ind w:left="2133" w:hanging="361"/>
      </w:pPr>
      <w:rPr>
        <w:rFonts w:hint="default"/>
      </w:rPr>
    </w:lvl>
    <w:lvl w:ilvl="3">
      <w:start w:val="0"/>
      <w:numFmt w:val="bullet"/>
      <w:lvlText w:val="•"/>
      <w:lvlJc w:val="left"/>
      <w:pPr>
        <w:ind w:left="3066" w:hanging="361"/>
      </w:pPr>
      <w:rPr>
        <w:rFonts w:hint="default"/>
      </w:rPr>
    </w:lvl>
    <w:lvl w:ilvl="4">
      <w:start w:val="0"/>
      <w:numFmt w:val="bullet"/>
      <w:lvlText w:val="•"/>
      <w:lvlJc w:val="left"/>
      <w:pPr>
        <w:ind w:left="4000" w:hanging="361"/>
      </w:pPr>
      <w:rPr>
        <w:rFonts w:hint="default"/>
      </w:rPr>
    </w:lvl>
    <w:lvl w:ilvl="5">
      <w:start w:val="0"/>
      <w:numFmt w:val="bullet"/>
      <w:lvlText w:val="•"/>
      <w:lvlJc w:val="left"/>
      <w:pPr>
        <w:ind w:left="4933" w:hanging="361"/>
      </w:pPr>
      <w:rPr>
        <w:rFonts w:hint="default"/>
      </w:rPr>
    </w:lvl>
    <w:lvl w:ilvl="6">
      <w:start w:val="0"/>
      <w:numFmt w:val="bullet"/>
      <w:lvlText w:val="•"/>
      <w:lvlJc w:val="left"/>
      <w:pPr>
        <w:ind w:left="5866" w:hanging="361"/>
      </w:pPr>
      <w:rPr>
        <w:rFonts w:hint="default"/>
      </w:rPr>
    </w:lvl>
    <w:lvl w:ilvl="7">
      <w:start w:val="0"/>
      <w:numFmt w:val="bullet"/>
      <w:lvlText w:val="•"/>
      <w:lvlJc w:val="left"/>
      <w:pPr>
        <w:ind w:left="6800" w:hanging="361"/>
      </w:pPr>
      <w:rPr>
        <w:rFonts w:hint="default"/>
      </w:rPr>
    </w:lvl>
    <w:lvl w:ilvl="8">
      <w:start w:val="0"/>
      <w:numFmt w:val="bullet"/>
      <w:lvlText w:val="•"/>
      <w:lvlJc w:val="left"/>
      <w:pPr>
        <w:ind w:left="7733" w:hanging="361"/>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2"/>
      <w:szCs w:val="22"/>
    </w:rPr>
  </w:style>
  <w:style w:styleId="Heading1" w:type="paragraph">
    <w:name w:val="Heading 1"/>
    <w:basedOn w:val="Normal"/>
    <w:uiPriority w:val="1"/>
    <w:qFormat/>
    <w:pPr>
      <w:ind w:left="299" w:right="299"/>
      <w:jc w:val="center"/>
      <w:outlineLvl w:val="1"/>
    </w:pPr>
    <w:rPr>
      <w:rFonts w:ascii="Arial" w:hAnsi="Arial" w:eastAsia="Arial" w:cs="Arial"/>
      <w:b/>
      <w:bCs/>
      <w:sz w:val="24"/>
      <w:szCs w:val="24"/>
    </w:rPr>
  </w:style>
  <w:style w:styleId="ListParagraph" w:type="paragraph">
    <w:name w:val="List Paragraph"/>
    <w:basedOn w:val="Normal"/>
    <w:uiPriority w:val="1"/>
    <w:qFormat/>
    <w:pPr>
      <w:ind w:left="839" w:hanging="720"/>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- 109104_7-11_-NH School-Institute-Society Coverage Endt.doc</dc:title>
  <dcterms:created xsi:type="dcterms:W3CDTF">2017-09-01T11:25:07Z</dcterms:created>
  <dcterms:modified xsi:type="dcterms:W3CDTF">2017-09-01T11:25:07Z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2011-07-14T00:00:00Z</vt:filetime>
  </property>
  <property fmtid="{D5CDD505-2E9C-101B-9397-08002B2CF9AE}" pid="3" name="Creator">
    <vt:lpwstr>PScript5.dll Version 5.2.2</vt:lpwstr>
  </property>
  <property fmtid="{D5CDD505-2E9C-101B-9397-08002B2CF9AE}" pid="4" name="LastSaved">
    <vt:filetime>2017-09-01T00:00:00Z</vt:filetime>
  </property>
</Properties>
</file>