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1B" w:rsidRDefault="001F74F3">
      <w:pPr>
        <w:spacing w:before="78"/>
        <w:ind w:left="301" w:right="347"/>
        <w:jc w:val="center"/>
        <w:rPr>
          <w:rFonts w:ascii="Arial"/>
          <w:b/>
          <w:sz w:val="24"/>
        </w:rPr>
      </w:pPr>
      <w:r>
        <w:rPr>
          <w:rFonts w:ascii="Arial"/>
          <w:b/>
          <w:sz w:val="24"/>
        </w:rPr>
        <w:t>ENDORSEMENT NO.</w:t>
      </w:r>
    </w:p>
    <w:p w:rsidR="001D511B" w:rsidRDefault="001D511B">
      <w:pPr>
        <w:pStyle w:val="BodyText"/>
        <w:spacing w:before="11"/>
        <w:rPr>
          <w:rFonts w:ascii="Arial"/>
          <w:b/>
          <w:sz w:val="23"/>
        </w:rPr>
      </w:pPr>
    </w:p>
    <w:p w:rsidR="001D511B" w:rsidRDefault="001F74F3">
      <w:pPr>
        <w:ind w:left="275" w:right="392"/>
        <w:jc w:val="center"/>
        <w:rPr>
          <w:rFonts w:ascii="Arial"/>
          <w:b/>
          <w:sz w:val="24"/>
        </w:rPr>
      </w:pPr>
      <w:r>
        <w:rPr>
          <w:rFonts w:ascii="Arial"/>
          <w:b/>
          <w:sz w:val="24"/>
        </w:rPr>
        <w:t>THIS ENDORSEMENT CHANGES THE POLICY. PLEASE READ IT CAREFULLY.</w:t>
      </w:r>
    </w:p>
    <w:p w:rsidR="001D511B" w:rsidRDefault="001D511B">
      <w:pPr>
        <w:pStyle w:val="BodyText"/>
        <w:spacing w:before="0"/>
        <w:rPr>
          <w:rFonts w:ascii="Arial"/>
          <w:b/>
          <w:sz w:val="26"/>
        </w:rPr>
      </w:pPr>
    </w:p>
    <w:p w:rsidR="001D511B" w:rsidRDefault="001F74F3">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1D511B" w:rsidRDefault="001F74F3">
      <w:pPr>
        <w:pStyle w:val="BodyText"/>
        <w:spacing w:before="7"/>
        <w:ind w:left="119" w:right="8643"/>
        <w:rPr>
          <w:rFonts w:ascii="Arial"/>
        </w:rPr>
      </w:pPr>
      <w:r>
        <w:rPr>
          <w:rFonts w:ascii="Arial"/>
        </w:rPr>
        <w:t>Issued to:</w:t>
      </w:r>
    </w:p>
    <w:p w:rsidR="001D511B" w:rsidRDefault="001D511B">
      <w:pPr>
        <w:pStyle w:val="BodyText"/>
        <w:spacing w:before="10"/>
        <w:rPr>
          <w:rFonts w:ascii="Arial"/>
          <w:sz w:val="21"/>
        </w:rPr>
      </w:pPr>
    </w:p>
    <w:p w:rsidR="001D511B" w:rsidRDefault="001F74F3">
      <w:pPr>
        <w:pStyle w:val="BodyText"/>
        <w:spacing w:before="0"/>
        <w:ind w:left="119" w:right="8643"/>
        <w:rPr>
          <w:rFonts w:ascii="Arial"/>
        </w:rPr>
      </w:pPr>
      <w:r>
        <w:rPr>
          <w:rFonts w:ascii="Arial"/>
        </w:rPr>
        <w:t>By:</w:t>
      </w:r>
    </w:p>
    <w:p w:rsidR="001D511B" w:rsidRDefault="001D511B">
      <w:pPr>
        <w:pStyle w:val="BodyText"/>
        <w:spacing w:before="0"/>
        <w:rPr>
          <w:rFonts w:ascii="Arial"/>
          <w:sz w:val="24"/>
        </w:rPr>
      </w:pPr>
    </w:p>
    <w:p w:rsidR="001D511B" w:rsidRDefault="001D511B">
      <w:pPr>
        <w:pStyle w:val="BodyText"/>
        <w:spacing w:before="8"/>
        <w:rPr>
          <w:rFonts w:ascii="Arial"/>
        </w:rPr>
      </w:pPr>
    </w:p>
    <w:p w:rsidR="001D511B" w:rsidRDefault="001F74F3">
      <w:pPr>
        <w:ind w:left="301" w:right="330"/>
        <w:jc w:val="center"/>
        <w:rPr>
          <w:b/>
          <w:sz w:val="28"/>
        </w:rPr>
      </w:pPr>
      <w:r>
        <w:rPr>
          <w:b/>
          <w:sz w:val="28"/>
        </w:rPr>
        <w:t>CORPORATE IDENTITY PROTECTION (CIP) COVERAGE EXTENSION ENDORSEMENT</w:t>
      </w:r>
    </w:p>
    <w:p w:rsidR="001D511B" w:rsidRDefault="001F74F3">
      <w:pPr>
        <w:spacing w:before="120"/>
        <w:ind w:left="301" w:right="330"/>
        <w:jc w:val="center"/>
        <w:rPr>
          <w:b/>
          <w:sz w:val="28"/>
        </w:rPr>
      </w:pPr>
      <w:r>
        <w:rPr>
          <w:b/>
          <w:sz w:val="28"/>
        </w:rPr>
        <w:t>MINNESOTA</w:t>
      </w:r>
    </w:p>
    <w:p w:rsidR="001D511B" w:rsidRDefault="001D511B">
      <w:pPr>
        <w:pStyle w:val="BodyText"/>
        <w:spacing w:before="0"/>
        <w:rPr>
          <w:b/>
          <w:sz w:val="34"/>
        </w:rPr>
      </w:pPr>
    </w:p>
    <w:p w:rsidR="001D511B" w:rsidRDefault="001F74F3">
      <w:pPr>
        <w:pStyle w:val="BodyText"/>
        <w:spacing w:before="216"/>
        <w:ind w:left="120"/>
        <w:jc w:val="both"/>
      </w:pPr>
      <w:r>
        <w:t>This endorsement modifies insurance provided by the policy:</w:t>
      </w:r>
    </w:p>
    <w:p w:rsidR="001D511B" w:rsidRDefault="001F74F3">
      <w:pPr>
        <w:pStyle w:val="Heading1"/>
        <w:spacing w:before="119"/>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1D511B" w:rsidRDefault="001D511B">
      <w:pPr>
        <w:pStyle w:val="BodyText"/>
        <w:spacing w:before="10"/>
        <w:rPr>
          <w:b/>
          <w:sz w:val="19"/>
        </w:rPr>
      </w:pPr>
    </w:p>
    <w:p w:rsidR="001D511B" w:rsidRDefault="001F74F3">
      <w:pPr>
        <w:ind w:left="120" w:right="238"/>
        <w:jc w:val="both"/>
        <w:rPr>
          <w:b/>
        </w:rPr>
      </w:pPr>
      <w:r>
        <w:rPr>
          <w:b/>
        </w:rPr>
        <w:t xml:space="preserve">NOTICE: THE LIMITS OF INSURANCE AVAILABLE TO PAY JUDGMENTS OR SETTLEMENTS SHALL BE REDUCED BY DEFENSE COSTS. FURTHER NOTE THAT AMOUNTS INCURRED FOR DEFENSE COSTS SHALL BE APPLIED </w:t>
      </w:r>
      <w:r>
        <w:rPr>
          <w:b/>
        </w:rPr>
        <w:t>AGAINST THE CIP RETENTION.</w:t>
      </w:r>
    </w:p>
    <w:p w:rsidR="001D511B" w:rsidRDefault="001D511B">
      <w:pPr>
        <w:pStyle w:val="BodyText"/>
        <w:spacing w:before="6"/>
        <w:rPr>
          <w:b/>
          <w:sz w:val="26"/>
        </w:rPr>
      </w:pPr>
    </w:p>
    <w:p w:rsidR="001D511B" w:rsidRDefault="001F74F3">
      <w:pPr>
        <w:ind w:left="273" w:right="392"/>
        <w:jc w:val="center"/>
        <w:rPr>
          <w:b/>
        </w:rPr>
      </w:pPr>
      <w:r>
        <w:rPr>
          <w:b/>
        </w:rPr>
        <w:t>SCHEDULE</w:t>
      </w:r>
    </w:p>
    <w:p w:rsidR="001D511B" w:rsidRDefault="001D511B">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1D511B">
        <w:trPr>
          <w:trHeight w:hRule="exact" w:val="302"/>
        </w:trPr>
        <w:tc>
          <w:tcPr>
            <w:tcW w:w="9468" w:type="dxa"/>
            <w:gridSpan w:val="2"/>
            <w:tcBorders>
              <w:bottom w:val="double" w:sz="4" w:space="0" w:color="000000"/>
            </w:tcBorders>
          </w:tcPr>
          <w:p w:rsidR="001D511B" w:rsidRDefault="001F74F3">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the Aggregate Limit of the Policy)</w:t>
            </w:r>
          </w:p>
        </w:tc>
      </w:tr>
      <w:tr w:rsidR="001D511B">
        <w:trPr>
          <w:trHeight w:hRule="exact" w:val="325"/>
        </w:trPr>
        <w:tc>
          <w:tcPr>
            <w:tcW w:w="4560" w:type="dxa"/>
            <w:tcBorders>
              <w:top w:val="double" w:sz="4" w:space="0" w:color="000000"/>
            </w:tcBorders>
          </w:tcPr>
          <w:p w:rsidR="001D511B" w:rsidRDefault="001F74F3">
            <w:pPr>
              <w:pStyle w:val="TableParagraph"/>
              <w:rPr>
                <w:sz w:val="20"/>
              </w:rPr>
            </w:pPr>
            <w:r>
              <w:rPr>
                <w:sz w:val="20"/>
              </w:rPr>
              <w:t>CIP Coverage Sublimit</w:t>
            </w:r>
          </w:p>
        </w:tc>
        <w:tc>
          <w:tcPr>
            <w:tcW w:w="4908" w:type="dxa"/>
            <w:tcBorders>
              <w:top w:val="double" w:sz="4" w:space="0" w:color="000000"/>
            </w:tcBorders>
          </w:tcPr>
          <w:p w:rsidR="001D511B" w:rsidRDefault="001F74F3">
            <w:pPr>
              <w:pStyle w:val="TableParagraph"/>
              <w:spacing w:before="59"/>
              <w:rPr>
                <w:b/>
                <w:sz w:val="20"/>
              </w:rPr>
            </w:pPr>
            <w:r>
              <w:rPr>
                <w:b/>
                <w:sz w:val="20"/>
              </w:rPr>
              <w:t>$</w:t>
            </w:r>
          </w:p>
        </w:tc>
      </w:tr>
      <w:tr w:rsidR="001D511B">
        <w:trPr>
          <w:trHeight w:hRule="exact" w:val="319"/>
        </w:trPr>
        <w:tc>
          <w:tcPr>
            <w:tcW w:w="4560" w:type="dxa"/>
          </w:tcPr>
          <w:p w:rsidR="001D511B" w:rsidRDefault="001F74F3">
            <w:pPr>
              <w:pStyle w:val="TableParagraph"/>
              <w:rPr>
                <w:sz w:val="20"/>
              </w:rPr>
            </w:pPr>
            <w:r>
              <w:rPr>
                <w:sz w:val="20"/>
              </w:rPr>
              <w:t>a. Personal Identity Liability Sublimit</w:t>
            </w:r>
          </w:p>
        </w:tc>
        <w:tc>
          <w:tcPr>
            <w:tcW w:w="4908" w:type="dxa"/>
          </w:tcPr>
          <w:p w:rsidR="001D511B" w:rsidRDefault="001F74F3">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1D511B">
        <w:trPr>
          <w:trHeight w:hRule="exact" w:val="318"/>
        </w:trPr>
        <w:tc>
          <w:tcPr>
            <w:tcW w:w="4560" w:type="dxa"/>
          </w:tcPr>
          <w:p w:rsidR="001D511B" w:rsidRDefault="001F74F3">
            <w:pPr>
              <w:pStyle w:val="TableParagraph"/>
              <w:rPr>
                <w:sz w:val="20"/>
              </w:rPr>
            </w:pPr>
            <w:r>
              <w:rPr>
                <w:sz w:val="20"/>
              </w:rPr>
              <w:t>b. Administrative Action Sublimit</w:t>
            </w:r>
          </w:p>
        </w:tc>
        <w:tc>
          <w:tcPr>
            <w:tcW w:w="4908" w:type="dxa"/>
          </w:tcPr>
          <w:p w:rsidR="001D511B" w:rsidRDefault="001F74F3">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1D511B">
        <w:trPr>
          <w:trHeight w:hRule="exact" w:val="612"/>
        </w:trPr>
        <w:tc>
          <w:tcPr>
            <w:tcW w:w="4560" w:type="dxa"/>
          </w:tcPr>
          <w:p w:rsidR="001D511B" w:rsidRDefault="001F74F3">
            <w:pPr>
              <w:pStyle w:val="TableParagraph"/>
              <w:rPr>
                <w:sz w:val="20"/>
              </w:rPr>
            </w:pPr>
            <w:r>
              <w:rPr>
                <w:sz w:val="20"/>
              </w:rPr>
              <w:t>c. Identity Event Services Sublimit</w:t>
            </w:r>
          </w:p>
        </w:tc>
        <w:tc>
          <w:tcPr>
            <w:tcW w:w="4908" w:type="dxa"/>
          </w:tcPr>
          <w:p w:rsidR="001D511B" w:rsidRDefault="001F74F3">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1D511B">
        <w:trPr>
          <w:trHeight w:hRule="exact" w:val="318"/>
        </w:trPr>
        <w:tc>
          <w:tcPr>
            <w:tcW w:w="4560" w:type="dxa"/>
          </w:tcPr>
          <w:p w:rsidR="001D511B" w:rsidRDefault="001F74F3">
            <w:pPr>
              <w:pStyle w:val="TableParagraph"/>
              <w:rPr>
                <w:sz w:val="20"/>
              </w:rPr>
            </w:pPr>
            <w:r>
              <w:rPr>
                <w:sz w:val="20"/>
              </w:rPr>
              <w:t>CIP Retention</w:t>
            </w:r>
          </w:p>
        </w:tc>
        <w:tc>
          <w:tcPr>
            <w:tcW w:w="4908" w:type="dxa"/>
          </w:tcPr>
          <w:p w:rsidR="001D511B" w:rsidRDefault="001F74F3">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1D511B">
        <w:trPr>
          <w:trHeight w:hRule="exact" w:val="318"/>
        </w:trPr>
        <w:tc>
          <w:tcPr>
            <w:tcW w:w="4560" w:type="dxa"/>
          </w:tcPr>
          <w:p w:rsidR="001D511B" w:rsidRDefault="001D511B"/>
        </w:tc>
        <w:tc>
          <w:tcPr>
            <w:tcW w:w="4908" w:type="dxa"/>
          </w:tcPr>
          <w:p w:rsidR="001D511B" w:rsidRDefault="001D511B"/>
        </w:tc>
      </w:tr>
      <w:tr w:rsidR="001D511B">
        <w:trPr>
          <w:trHeight w:hRule="exact" w:val="318"/>
        </w:trPr>
        <w:tc>
          <w:tcPr>
            <w:tcW w:w="4560" w:type="dxa"/>
          </w:tcPr>
          <w:p w:rsidR="001D511B" w:rsidRDefault="001F74F3">
            <w:pPr>
              <w:pStyle w:val="TableParagraph"/>
              <w:rPr>
                <w:sz w:val="20"/>
              </w:rPr>
            </w:pPr>
            <w:r>
              <w:rPr>
                <w:sz w:val="20"/>
              </w:rPr>
              <w:t>CIP Additional Premium</w:t>
            </w:r>
          </w:p>
        </w:tc>
        <w:tc>
          <w:tcPr>
            <w:tcW w:w="4908" w:type="dxa"/>
          </w:tcPr>
          <w:p w:rsidR="001D511B" w:rsidRDefault="001F74F3">
            <w:pPr>
              <w:pStyle w:val="TableParagraph"/>
              <w:spacing w:before="59"/>
              <w:rPr>
                <w:b/>
                <w:sz w:val="20"/>
              </w:rPr>
            </w:pPr>
            <w:r>
              <w:rPr>
                <w:b/>
                <w:sz w:val="20"/>
              </w:rPr>
              <w:t>$</w:t>
            </w:r>
            <w:bookmarkStart w:id="0" w:name="_GoBack"/>
            <w:bookmarkEnd w:id="0"/>
          </w:p>
        </w:tc>
      </w:tr>
      <w:tr w:rsidR="001D511B">
        <w:trPr>
          <w:trHeight w:hRule="exact" w:val="317"/>
        </w:trPr>
        <w:tc>
          <w:tcPr>
            <w:tcW w:w="4560" w:type="dxa"/>
          </w:tcPr>
          <w:p w:rsidR="001D511B" w:rsidRDefault="001D511B"/>
        </w:tc>
        <w:tc>
          <w:tcPr>
            <w:tcW w:w="4908" w:type="dxa"/>
          </w:tcPr>
          <w:p w:rsidR="001D511B" w:rsidRDefault="001D511B"/>
        </w:tc>
      </w:tr>
    </w:tbl>
    <w:p w:rsidR="001D511B" w:rsidRDefault="001D511B">
      <w:pPr>
        <w:sectPr w:rsidR="001D511B">
          <w:footerReference w:type="default" r:id="rId8"/>
          <w:type w:val="continuous"/>
          <w:pgSz w:w="12240" w:h="15840"/>
          <w:pgMar w:top="1360" w:right="1200" w:bottom="780" w:left="1320" w:header="720" w:footer="594" w:gutter="0"/>
          <w:pgNumType w:start="1"/>
          <w:cols w:space="720"/>
        </w:sectPr>
      </w:pPr>
    </w:p>
    <w:p w:rsidR="001D511B" w:rsidRDefault="001D511B">
      <w:pPr>
        <w:pStyle w:val="BodyText"/>
        <w:spacing w:before="0"/>
        <w:rPr>
          <w:b/>
          <w:sz w:val="20"/>
        </w:rPr>
      </w:pPr>
    </w:p>
    <w:p w:rsidR="001D511B" w:rsidRDefault="001D511B">
      <w:pPr>
        <w:pStyle w:val="BodyText"/>
        <w:spacing w:before="0"/>
        <w:rPr>
          <w:b/>
          <w:sz w:val="20"/>
        </w:rPr>
      </w:pPr>
    </w:p>
    <w:p w:rsidR="001D511B" w:rsidRDefault="001F74F3">
      <w:pPr>
        <w:pStyle w:val="BodyText"/>
        <w:spacing w:before="231"/>
        <w:ind w:left="120" w:right="206"/>
        <w:jc w:val="both"/>
        <w:rPr>
          <w:b/>
        </w:rPr>
      </w:pPr>
      <w:r>
        <w:t xml:space="preserve">Words and phrases that appear in boldface are defined in Clause III., </w:t>
      </w:r>
      <w:r>
        <w:rPr>
          <w:b/>
        </w:rPr>
        <w:t xml:space="preserve">DEFINITIONS </w:t>
      </w:r>
      <w:r>
        <w:t>of this endorsement</w:t>
      </w:r>
      <w:r>
        <w:rPr>
          <w:b/>
        </w:rPr>
        <w:t>.</w:t>
      </w:r>
    </w:p>
    <w:p w:rsidR="001D511B" w:rsidRDefault="001F74F3">
      <w:pPr>
        <w:pStyle w:val="BodyText"/>
        <w:ind w:left="119" w:right="119"/>
        <w:jc w:val="both"/>
      </w:pPr>
      <w:r>
        <w:t>It is hereby understood and agreed that the policy is extended to provide the coverage set forth below subject to the terms and conditions contained in this endorsement. The terms and conditions of the policy are incorporated herein an</w:t>
      </w:r>
      <w:r>
        <w:t>d shall apply to the coverage afforded by this endorsement unless specifically stated</w:t>
      </w:r>
      <w:r>
        <w:rPr>
          <w:spacing w:val="-51"/>
        </w:rPr>
        <w:t xml:space="preserve"> </w:t>
      </w:r>
      <w:r>
        <w:t>otherwise.</w:t>
      </w:r>
    </w:p>
    <w:p w:rsidR="001D511B" w:rsidRDefault="001D511B">
      <w:pPr>
        <w:pStyle w:val="BodyText"/>
        <w:spacing w:before="8"/>
        <w:rPr>
          <w:sz w:val="19"/>
        </w:rPr>
      </w:pPr>
    </w:p>
    <w:p w:rsidR="001D511B" w:rsidRDefault="001F74F3">
      <w:pPr>
        <w:pStyle w:val="Heading1"/>
        <w:numPr>
          <w:ilvl w:val="0"/>
          <w:numId w:val="2"/>
        </w:numPr>
        <w:tabs>
          <w:tab w:val="left" w:pos="480"/>
        </w:tabs>
        <w:ind w:hanging="359"/>
        <w:jc w:val="both"/>
      </w:pPr>
      <w:r>
        <w:t>INSURING AGREEMENTS – CIP COVERAGE</w:t>
      </w:r>
      <w:r>
        <w:rPr>
          <w:spacing w:val="-10"/>
        </w:rPr>
        <w:t xml:space="preserve"> </w:t>
      </w:r>
      <w:r>
        <w:t>EXTENSION</w:t>
      </w:r>
    </w:p>
    <w:p w:rsidR="001D511B" w:rsidRDefault="001F74F3">
      <w:pPr>
        <w:pStyle w:val="ListParagraph"/>
        <w:numPr>
          <w:ilvl w:val="1"/>
          <w:numId w:val="2"/>
        </w:numPr>
        <w:tabs>
          <w:tab w:val="left" w:pos="840"/>
        </w:tabs>
        <w:ind w:hanging="359"/>
        <w:rPr>
          <w:b/>
        </w:rPr>
      </w:pPr>
      <w:r>
        <w:rPr>
          <w:b/>
        </w:rPr>
        <w:t>Personal Identity</w:t>
      </w:r>
      <w:r>
        <w:rPr>
          <w:b/>
          <w:spacing w:val="-16"/>
        </w:rPr>
        <w:t xml:space="preserve"> </w:t>
      </w:r>
      <w:r>
        <w:rPr>
          <w:b/>
        </w:rPr>
        <w:t>Liability</w:t>
      </w:r>
    </w:p>
    <w:p w:rsidR="001D511B" w:rsidRDefault="001F74F3">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1D511B" w:rsidRDefault="001F74F3">
      <w:pPr>
        <w:pStyle w:val="Heading1"/>
        <w:numPr>
          <w:ilvl w:val="1"/>
          <w:numId w:val="2"/>
        </w:numPr>
        <w:tabs>
          <w:tab w:val="left" w:pos="840"/>
        </w:tabs>
        <w:spacing w:before="119"/>
        <w:ind w:hanging="359"/>
      </w:pPr>
      <w:r>
        <w:t>Administrative</w:t>
      </w:r>
      <w:r>
        <w:rPr>
          <w:spacing w:val="-6"/>
        </w:rPr>
        <w:t xml:space="preserve"> </w:t>
      </w:r>
      <w:r>
        <w:t>Action</w:t>
      </w:r>
    </w:p>
    <w:p w:rsidR="001D511B" w:rsidRDefault="001F74F3">
      <w:pPr>
        <w:spacing w:before="119"/>
        <w:ind w:left="839" w:right="117"/>
        <w:jc w:val="both"/>
      </w:pPr>
      <w:r>
        <w:rPr>
          <w:b/>
        </w:rPr>
        <w:t xml:space="preserve">We </w:t>
      </w:r>
      <w:r>
        <w:t xml:space="preserve">shall pay the </w:t>
      </w:r>
      <w:r>
        <w:rPr>
          <w:b/>
        </w:rPr>
        <w:t xml:space="preserve">insured </w:t>
      </w:r>
      <w:r>
        <w:t xml:space="preserve">for all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poli</w:t>
      </w:r>
      <w:r>
        <w:rPr>
          <w:b/>
        </w:rPr>
        <w:t xml:space="preserve">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1D511B" w:rsidRDefault="001F74F3">
      <w:pPr>
        <w:pStyle w:val="Heading1"/>
        <w:numPr>
          <w:ilvl w:val="1"/>
          <w:numId w:val="2"/>
        </w:numPr>
        <w:tabs>
          <w:tab w:val="left" w:pos="840"/>
        </w:tabs>
        <w:spacing w:before="119"/>
        <w:ind w:hanging="359"/>
      </w:pPr>
      <w:r>
        <w:t>Identity Event</w:t>
      </w:r>
      <w:r>
        <w:rPr>
          <w:spacing w:val="-6"/>
        </w:rPr>
        <w:t xml:space="preserve"> </w:t>
      </w:r>
      <w:r>
        <w:t>Services</w:t>
      </w:r>
    </w:p>
    <w:p w:rsidR="001D511B" w:rsidRDefault="001F74F3">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w:t>
      </w:r>
      <w:r>
        <w:rPr>
          <w:b/>
        </w:rPr>
        <w:t xml:space="preserve">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 period.</w:t>
      </w:r>
    </w:p>
    <w:p w:rsidR="001D511B" w:rsidRDefault="001D511B">
      <w:pPr>
        <w:pStyle w:val="BodyText"/>
        <w:spacing w:before="10"/>
        <w:rPr>
          <w:b/>
          <w:sz w:val="19"/>
        </w:rPr>
      </w:pPr>
    </w:p>
    <w:p w:rsidR="001D511B" w:rsidRDefault="001F74F3">
      <w:pPr>
        <w:pStyle w:val="Heading1"/>
        <w:numPr>
          <w:ilvl w:val="0"/>
          <w:numId w:val="2"/>
        </w:numPr>
        <w:tabs>
          <w:tab w:val="left" w:pos="481"/>
        </w:tabs>
        <w:ind w:left="480" w:hanging="361"/>
        <w:jc w:val="both"/>
      </w:pPr>
      <w:r>
        <w:t>DEFENSE – PERSONAL IDENTITY</w:t>
      </w:r>
      <w:r>
        <w:rPr>
          <w:spacing w:val="-9"/>
        </w:rPr>
        <w:t xml:space="preserve"> </w:t>
      </w:r>
      <w:r>
        <w:t>LIABILITY</w:t>
      </w:r>
    </w:p>
    <w:p w:rsidR="001D511B" w:rsidRDefault="001F74F3">
      <w:pPr>
        <w:spacing w:before="118"/>
        <w:ind w:left="479" w:right="99" w:hanging="1"/>
        <w:rPr>
          <w:b/>
        </w:rPr>
      </w:pPr>
      <w:r>
        <w:t xml:space="preserve">Solely with respect to coverage afforded under Insuring Agreement I.A, </w:t>
      </w:r>
      <w:r>
        <w:rPr>
          <w:b/>
        </w:rPr>
        <w:t>Personal Identity Liability:</w:t>
      </w:r>
    </w:p>
    <w:p w:rsidR="001D511B" w:rsidRDefault="001F74F3">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1D511B" w:rsidRDefault="001F74F3">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have the right,</w:t>
      </w:r>
      <w:r>
        <w:t xml:space="preserve"> but not the duty, to settle any </w:t>
      </w:r>
      <w:r>
        <w:rPr>
          <w:b/>
        </w:rPr>
        <w:t>claim</w:t>
      </w:r>
      <w:r>
        <w:t>, with the written consent of the</w:t>
      </w:r>
      <w:r>
        <w:rPr>
          <w:spacing w:val="-14"/>
        </w:rPr>
        <w:t xml:space="preserve"> </w:t>
      </w:r>
      <w:r>
        <w:rPr>
          <w:b/>
        </w:rPr>
        <w:t>insured</w:t>
      </w:r>
      <w:r>
        <w:t>.</w:t>
      </w:r>
    </w:p>
    <w:p w:rsidR="001D511B" w:rsidRDefault="001F74F3">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w:t>
      </w:r>
      <w:r>
        <w:t xml:space="preserve">the </w:t>
      </w:r>
      <w:r>
        <w:rPr>
          <w:b/>
        </w:rPr>
        <w:t>policy period</w:t>
      </w:r>
      <w:r>
        <w:t xml:space="preserve">. </w:t>
      </w:r>
      <w:r>
        <w:rPr>
          <w:b/>
        </w:rPr>
        <w:t xml:space="preserve">We </w:t>
      </w:r>
      <w:r>
        <w:t xml:space="preserve">have the right,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shall pay</w:t>
      </w:r>
      <w:r>
        <w:t xml:space="preserve"> such </w:t>
      </w:r>
      <w:r>
        <w:rPr>
          <w:b/>
        </w:rPr>
        <w:t>defense</w:t>
      </w:r>
      <w:r>
        <w:rPr>
          <w:b/>
          <w:spacing w:val="-15"/>
        </w:rPr>
        <w:t xml:space="preserve"> </w:t>
      </w:r>
      <w:r>
        <w:rPr>
          <w:b/>
        </w:rPr>
        <w:t>costs</w:t>
      </w:r>
      <w:r>
        <w:t>.</w:t>
      </w:r>
    </w:p>
    <w:p w:rsidR="001D511B" w:rsidRDefault="001D511B">
      <w:pPr>
        <w:jc w:val="both"/>
        <w:sectPr w:rsidR="001D511B">
          <w:pgSz w:w="12240" w:h="15840"/>
          <w:pgMar w:top="1500" w:right="1320" w:bottom="780" w:left="1320" w:header="0" w:footer="594" w:gutter="0"/>
          <w:cols w:space="720"/>
        </w:sectPr>
      </w:pPr>
    </w:p>
    <w:p w:rsidR="001D511B" w:rsidRDefault="001F74F3">
      <w:pPr>
        <w:pStyle w:val="ListParagraph"/>
        <w:numPr>
          <w:ilvl w:val="1"/>
          <w:numId w:val="2"/>
        </w:numPr>
        <w:tabs>
          <w:tab w:val="left" w:pos="840"/>
        </w:tabs>
        <w:spacing w:before="78"/>
        <w:ind w:left="840" w:right="117"/>
        <w:jc w:val="both"/>
      </w:pPr>
      <w:r>
        <w:rPr>
          <w:b/>
          <w:i/>
        </w:rPr>
        <w:lastRenderedPageBreak/>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1D511B" w:rsidRDefault="001F74F3">
      <w:pPr>
        <w:pStyle w:val="BodyText"/>
        <w:spacing w:before="0"/>
        <w:ind w:left="839"/>
        <w:jc w:val="both"/>
      </w:pPr>
      <w:r>
        <w:t xml:space="preserve">(ii) for an amount not exceeding the CIP Retention (inclusive of </w:t>
      </w:r>
      <w:r>
        <w:rPr>
          <w:b/>
        </w:rPr>
        <w:t>defense costs</w:t>
      </w:r>
      <w:r>
        <w:t>).</w:t>
      </w:r>
    </w:p>
    <w:p w:rsidR="001D511B" w:rsidRDefault="001F74F3">
      <w:pPr>
        <w:pStyle w:val="ListParagraph"/>
        <w:numPr>
          <w:ilvl w:val="1"/>
          <w:numId w:val="2"/>
        </w:numPr>
        <w:tabs>
          <w:tab w:val="left" w:pos="840"/>
        </w:tabs>
        <w:spacing w:before="120"/>
        <w:ind w:right="117"/>
        <w:jc w:val="both"/>
      </w:pPr>
      <w:r>
        <w:rPr>
          <w:i/>
        </w:rPr>
        <w:t xml:space="preserve">When </w:t>
      </w:r>
      <w:r>
        <w:rPr>
          <w:b/>
          <w:i/>
        </w:rPr>
        <w:t xml:space="preserve">Our </w:t>
      </w:r>
      <w:r>
        <w:rPr>
          <w:i/>
        </w:rPr>
        <w:t xml:space="preserve">Duty to Defend Ends: </w:t>
      </w:r>
      <w:r>
        <w:rPr>
          <w:b/>
        </w:rPr>
        <w:t xml:space="preserve">Our </w:t>
      </w:r>
      <w:r>
        <w:t>duty to defend ends upon the exhaustion of the CIP Coverage Sublimit of Insurance or applicable Sublimit of Insurance set forth in the Schedu</w:t>
      </w:r>
      <w:r>
        <w:t xml:space="preserve">le by payment of </w:t>
      </w:r>
      <w:r>
        <w:rPr>
          <w:b/>
        </w:rPr>
        <w:t xml:space="preserve">damages </w:t>
      </w:r>
      <w:r>
        <w:t xml:space="preserve">and/or </w:t>
      </w:r>
      <w:r>
        <w:rPr>
          <w:b/>
        </w:rPr>
        <w:t>defense costs</w:t>
      </w:r>
      <w:r>
        <w:t xml:space="preserve">. </w:t>
      </w:r>
      <w:r>
        <w:rPr>
          <w:b/>
        </w:rPr>
        <w:t xml:space="preserve">Our </w:t>
      </w:r>
      <w:r>
        <w:t xml:space="preserve">duty to defend 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w:t>
      </w:r>
      <w:r>
        <w:t xml:space="preserve">consequence of such failure or refusal, </w:t>
      </w:r>
      <w:r>
        <w:rPr>
          <w:b/>
        </w:rPr>
        <w:t xml:space="preserve">our </w:t>
      </w:r>
      <w:r>
        <w:t xml:space="preserve">liability for all </w:t>
      </w:r>
      <w:r>
        <w:rPr>
          <w:b/>
        </w:rPr>
        <w:t xml:space="preserve">damages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incurred prior to the date of such failure or ref</w:t>
      </w:r>
      <w:r>
        <w:t xml:space="preserve">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1D511B" w:rsidRDefault="001D511B">
      <w:pPr>
        <w:pStyle w:val="BodyText"/>
        <w:spacing w:before="2"/>
        <w:rPr>
          <w:sz w:val="28"/>
        </w:rPr>
      </w:pPr>
    </w:p>
    <w:p w:rsidR="001D511B" w:rsidRDefault="001F74F3">
      <w:pPr>
        <w:pStyle w:val="Heading1"/>
        <w:numPr>
          <w:ilvl w:val="0"/>
          <w:numId w:val="2"/>
        </w:numPr>
        <w:tabs>
          <w:tab w:val="left" w:pos="480"/>
        </w:tabs>
      </w:pPr>
      <w:r>
        <w:t>CIP</w:t>
      </w:r>
      <w:r>
        <w:rPr>
          <w:spacing w:val="-8"/>
        </w:rPr>
        <w:t xml:space="preserve"> </w:t>
      </w:r>
      <w:r>
        <w:t>DEFINITIONS</w:t>
      </w:r>
    </w:p>
    <w:p w:rsidR="001D511B" w:rsidRDefault="001F74F3">
      <w:pPr>
        <w:pStyle w:val="BodyText"/>
        <w:spacing w:before="113" w:line="240" w:lineRule="exact"/>
        <w:ind w:left="479" w:right="99" w:hanging="1"/>
      </w:pPr>
      <w:r>
        <w:t>Solely with respect to coverage afforded under this endorsement, the following definitions apply, and supersede defini</w:t>
      </w:r>
      <w:r>
        <w:t>tions of the same terms (if any) in the policy:</w:t>
      </w:r>
    </w:p>
    <w:p w:rsidR="001D511B" w:rsidRDefault="001D511B">
      <w:pPr>
        <w:pStyle w:val="BodyText"/>
        <w:spacing w:before="7"/>
        <w:rPr>
          <w:sz w:val="19"/>
        </w:rPr>
      </w:pPr>
    </w:p>
    <w:p w:rsidR="001D511B" w:rsidRDefault="001F74F3">
      <w:pPr>
        <w:pStyle w:val="ListParagraph"/>
        <w:numPr>
          <w:ilvl w:val="1"/>
          <w:numId w:val="2"/>
        </w:numPr>
        <w:tabs>
          <w:tab w:val="left" w:pos="840"/>
        </w:tabs>
        <w:spacing w:before="0"/>
      </w:pPr>
      <w:r>
        <w:rPr>
          <w:b/>
        </w:rPr>
        <w:t xml:space="preserve">Administrative action </w:t>
      </w:r>
      <w:r>
        <w:t>means and is limited</w:t>
      </w:r>
      <w:r>
        <w:rPr>
          <w:spacing w:val="-10"/>
        </w:rPr>
        <w:t xml:space="preserve"> </w:t>
      </w:r>
      <w:r>
        <w:t>to:</w:t>
      </w:r>
    </w:p>
    <w:p w:rsidR="001D511B" w:rsidRDefault="001F74F3">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1D511B" w:rsidRDefault="001F74F3">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1D511B" w:rsidRDefault="001F74F3">
      <w:pPr>
        <w:pStyle w:val="ListParagraph"/>
        <w:numPr>
          <w:ilvl w:val="2"/>
          <w:numId w:val="2"/>
        </w:numPr>
        <w:tabs>
          <w:tab w:val="left" w:pos="1200"/>
        </w:tabs>
        <w:jc w:val="both"/>
      </w:pPr>
      <w:r>
        <w:t>formal adversarial a</w:t>
      </w:r>
      <w:r>
        <w:t xml:space="preserve">dministrative proceeding against the </w:t>
      </w:r>
      <w:r>
        <w:rPr>
          <w:b/>
        </w:rPr>
        <w:t xml:space="preserve">insured </w:t>
      </w:r>
      <w:r>
        <w:t>instituted</w:t>
      </w:r>
      <w:r>
        <w:rPr>
          <w:spacing w:val="-51"/>
        </w:rPr>
        <w:t xml:space="preserve"> </w:t>
      </w:r>
      <w:r>
        <w:t>by,</w:t>
      </w:r>
    </w:p>
    <w:p w:rsidR="001D511B" w:rsidRDefault="001F74F3">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1D511B" w:rsidRDefault="001F74F3">
      <w:pPr>
        <w:pStyle w:val="ListParagraph"/>
        <w:numPr>
          <w:ilvl w:val="1"/>
          <w:numId w:val="2"/>
        </w:numPr>
        <w:tabs>
          <w:tab w:val="left" w:pos="840"/>
        </w:tabs>
        <w:ind w:right="118" w:hanging="359"/>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 xml:space="preserve">provided that these services are not performed by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administra</w:t>
      </w:r>
      <w:r>
        <w:rPr>
          <w:b/>
        </w:rPr>
        <w:t xml:space="preserve">tive action </w:t>
      </w:r>
      <w:r>
        <w:t xml:space="preserve">shall be considered as part of the original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1D511B" w:rsidRDefault="001F74F3">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w:t>
      </w:r>
      <w:r>
        <w:rPr>
          <w:spacing w:val="-3"/>
        </w:rPr>
        <w:t>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1D511B" w:rsidRDefault="001F74F3">
      <w:pPr>
        <w:pStyle w:val="ListParagraph"/>
        <w:numPr>
          <w:ilvl w:val="1"/>
          <w:numId w:val="2"/>
        </w:numPr>
        <w:tabs>
          <w:tab w:val="left" w:pos="840"/>
        </w:tabs>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1D511B" w:rsidRDefault="001F74F3">
      <w:pPr>
        <w:pStyle w:val="ListParagraph"/>
        <w:numPr>
          <w:ilvl w:val="2"/>
          <w:numId w:val="2"/>
        </w:numPr>
        <w:tabs>
          <w:tab w:val="left" w:pos="1200"/>
        </w:tabs>
        <w:ind w:left="1200" w:right="118"/>
        <w:jc w:val="both"/>
      </w:pPr>
      <w:r>
        <w:t xml:space="preserve">the </w:t>
      </w:r>
      <w:r>
        <w:t xml:space="preserve">services of a public relations firm, crisis management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1D511B" w:rsidRDefault="001D511B">
      <w:pPr>
        <w:jc w:val="both"/>
        <w:sectPr w:rsidR="001D511B">
          <w:pgSz w:w="12240" w:h="15840"/>
          <w:pgMar w:top="1360" w:right="1320" w:bottom="780" w:left="1320" w:header="0" w:footer="594" w:gutter="0"/>
          <w:cols w:space="720"/>
        </w:sectPr>
      </w:pPr>
    </w:p>
    <w:p w:rsidR="001D511B" w:rsidRDefault="001F74F3">
      <w:pPr>
        <w:pStyle w:val="ListParagraph"/>
        <w:numPr>
          <w:ilvl w:val="2"/>
          <w:numId w:val="2"/>
        </w:numPr>
        <w:tabs>
          <w:tab w:val="left" w:pos="1180"/>
        </w:tabs>
        <w:spacing w:before="78"/>
        <w:ind w:left="1180" w:right="117"/>
        <w:jc w:val="both"/>
      </w:pPr>
      <w:r>
        <w:lastRenderedPageBreak/>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perso</w:t>
      </w:r>
      <w:r>
        <w:rPr>
          <w:b/>
        </w:rPr>
        <w:t xml:space="preserve">nal identity event </w:t>
      </w:r>
      <w:r>
        <w:t xml:space="preserve">and the identities of those individuals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event</w:t>
      </w:r>
      <w:r>
        <w:t>.</w:t>
      </w:r>
    </w:p>
    <w:p w:rsidR="001D511B" w:rsidRDefault="001F74F3">
      <w:pPr>
        <w:pStyle w:val="ListParagraph"/>
        <w:numPr>
          <w:ilvl w:val="1"/>
          <w:numId w:val="2"/>
        </w:numPr>
        <w:tabs>
          <w:tab w:val="left" w:pos="820"/>
        </w:tabs>
        <w:ind w:left="819" w:right="117" w:hanging="450"/>
        <w:jc w:val="both"/>
      </w:pPr>
      <w:r>
        <w:rPr>
          <w:b/>
        </w:rPr>
        <w:t xml:space="preserve">Damages </w:t>
      </w:r>
      <w:r>
        <w:t xml:space="preserve">means any amount that the </w:t>
      </w:r>
      <w:r>
        <w:rPr>
          <w:b/>
        </w:rPr>
        <w:t xml:space="preserve">insured </w:t>
      </w:r>
      <w:r>
        <w:t>shall be legally required to pay because of ci</w:t>
      </w:r>
      <w:r>
        <w:t xml:space="preserve">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w:t>
      </w:r>
      <w:r>
        <w:t>ovided, however, the enforceability of such coverage shall be governed by such applicable law which most favors coverage for punitive, exemplary and multiple</w:t>
      </w:r>
      <w:r>
        <w:rPr>
          <w:spacing w:val="-18"/>
        </w:rPr>
        <w:t xml:space="preserve"> </w:t>
      </w:r>
      <w:r>
        <w:t>damages.</w:t>
      </w:r>
    </w:p>
    <w:p w:rsidR="001D511B" w:rsidRDefault="001F74F3">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 xml:space="preserve">is not financially liable or which is without legal recourse to an </w:t>
      </w:r>
      <w:r>
        <w:rPr>
          <w:b/>
        </w:rPr>
        <w:t xml:space="preserve">insured </w:t>
      </w:r>
      <w:r>
        <w:t>or matters which may be deemed uninsurable under the law pursuant to which this endorsement is construed.</w:t>
      </w:r>
    </w:p>
    <w:p w:rsidR="001D511B" w:rsidRDefault="001F74F3">
      <w:pPr>
        <w:pStyle w:val="ListParagraph"/>
        <w:numPr>
          <w:ilvl w:val="1"/>
          <w:numId w:val="2"/>
        </w:numPr>
        <w:tabs>
          <w:tab w:val="left" w:pos="820"/>
        </w:tabs>
        <w:ind w:left="819" w:right="117" w:hanging="450"/>
        <w:jc w:val="both"/>
      </w:pPr>
      <w:r>
        <w:rPr>
          <w:b/>
          <w:spacing w:val="-4"/>
        </w:rPr>
        <w:t>Defense costs</w:t>
      </w:r>
      <w:r>
        <w:rPr>
          <w:b/>
          <w:spacing w:val="-4"/>
        </w:rPr>
        <w:t xml:space="preserve"> </w:t>
      </w:r>
      <w:r>
        <w:rPr>
          <w:spacing w:val="-3"/>
        </w:rPr>
        <w:t xml:space="preserve">means </w:t>
      </w:r>
      <w:r>
        <w:t xml:space="preserve">reasonable and necessary fees, costs and expenses (including premiums for any appeal bond, attachment bond or similar bond arising out of a covered judgment, but without any obligation to apply for or furnish any such bond or to appeal), charged by </w:t>
      </w:r>
      <w:r>
        <w:t xml:space="preserve">an attorney and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1D511B" w:rsidRDefault="001F74F3">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1D511B" w:rsidRDefault="001F74F3">
      <w:pPr>
        <w:pStyle w:val="ListParagraph"/>
        <w:numPr>
          <w:ilvl w:val="1"/>
          <w:numId w:val="2"/>
        </w:numPr>
        <w:tabs>
          <w:tab w:val="left" w:pos="820"/>
        </w:tabs>
        <w:ind w:left="820" w:right="119" w:hanging="451"/>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1D511B" w:rsidRDefault="001F74F3">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1D511B" w:rsidRDefault="001F74F3">
      <w:pPr>
        <w:pStyle w:val="ListParagraph"/>
        <w:numPr>
          <w:ilvl w:val="1"/>
          <w:numId w:val="2"/>
        </w:numPr>
        <w:tabs>
          <w:tab w:val="left" w:pos="820"/>
        </w:tabs>
        <w:ind w:left="820" w:right="117" w:hanging="450"/>
        <w:jc w:val="both"/>
      </w:pPr>
      <w:r>
        <w:rPr>
          <w:b/>
        </w:rPr>
        <w:t>N</w:t>
      </w:r>
      <w:r>
        <w:rPr>
          <w:b/>
        </w:rPr>
        <w:t xml:space="preserve">otification costs </w:t>
      </w:r>
      <w:r>
        <w:t xml:space="preserve">means and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1D511B" w:rsidRDefault="001F74F3">
      <w:pPr>
        <w:pStyle w:val="ListParagraph"/>
        <w:numPr>
          <w:ilvl w:val="2"/>
          <w:numId w:val="2"/>
        </w:numPr>
        <w:tabs>
          <w:tab w:val="left" w:pos="1180"/>
        </w:tabs>
        <w:ind w:left="1180" w:right="117"/>
        <w:jc w:val="both"/>
      </w:pPr>
      <w:r>
        <w:t>newspaper o</w:t>
      </w:r>
      <w:r>
        <w:t xml:space="preserve">r other printed media, radio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p</w:t>
      </w:r>
      <w:r>
        <w:rPr>
          <w:b/>
        </w:rPr>
        <w:t xml:space="preserve">ersonal identity event </w:t>
      </w:r>
      <w:r>
        <w:t>of any available remedy;</w:t>
      </w:r>
      <w:r>
        <w:rPr>
          <w:spacing w:val="-8"/>
        </w:rPr>
        <w:t xml:space="preserve"> </w:t>
      </w:r>
      <w:r>
        <w:t>and</w:t>
      </w:r>
    </w:p>
    <w:p w:rsidR="001D511B" w:rsidRDefault="001F74F3">
      <w:pPr>
        <w:pStyle w:val="ListParagraph"/>
        <w:numPr>
          <w:ilvl w:val="2"/>
          <w:numId w:val="2"/>
        </w:numPr>
        <w:tabs>
          <w:tab w:val="left" w:pos="1180"/>
        </w:tabs>
        <w:ind w:left="1180" w:right="117"/>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personal id</w:t>
      </w:r>
      <w:r>
        <w:rPr>
          <w:b/>
        </w:rPr>
        <w:t xml:space="preserve">entity event </w:t>
      </w:r>
      <w:r>
        <w:t>and any available remedy.</w:t>
      </w:r>
    </w:p>
    <w:p w:rsidR="001D511B" w:rsidRDefault="001D511B">
      <w:pPr>
        <w:jc w:val="both"/>
        <w:sectPr w:rsidR="001D511B">
          <w:pgSz w:w="12240" w:h="15840"/>
          <w:pgMar w:top="1360" w:right="1320" w:bottom="780" w:left="1340" w:header="0" w:footer="594" w:gutter="0"/>
          <w:cols w:space="720"/>
        </w:sectPr>
      </w:pPr>
    </w:p>
    <w:p w:rsidR="001D511B" w:rsidRDefault="001F74F3">
      <w:pPr>
        <w:pStyle w:val="ListParagraph"/>
        <w:numPr>
          <w:ilvl w:val="1"/>
          <w:numId w:val="2"/>
        </w:numPr>
        <w:tabs>
          <w:tab w:val="left" w:pos="820"/>
        </w:tabs>
        <w:spacing w:before="78"/>
        <w:ind w:left="820" w:right="117" w:hanging="450"/>
        <w:jc w:val="both"/>
      </w:pPr>
      <w:r>
        <w:rPr>
          <w:b/>
        </w:rPr>
        <w:lastRenderedPageBreak/>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shall commence immediately upon first discovery of</w:t>
      </w:r>
      <w:r>
        <w:t xml:space="preserve"> the </w:t>
      </w:r>
      <w:r>
        <w:rPr>
          <w:b/>
        </w:rPr>
        <w:t xml:space="preserve">personal identity event </w:t>
      </w:r>
      <w:r>
        <w:t xml:space="preserve">by an </w:t>
      </w:r>
      <w:r>
        <w:rPr>
          <w:b/>
        </w:rPr>
        <w:t>insured</w:t>
      </w:r>
      <w:r>
        <w:t>.</w:t>
      </w:r>
    </w:p>
    <w:p w:rsidR="001D511B" w:rsidRDefault="001F74F3">
      <w:pPr>
        <w:pStyle w:val="ListParagraph"/>
        <w:numPr>
          <w:ilvl w:val="1"/>
          <w:numId w:val="2"/>
        </w:numPr>
        <w:tabs>
          <w:tab w:val="left" w:pos="820"/>
        </w:tabs>
        <w:ind w:left="820" w:right="118" w:hanging="451"/>
        <w:jc w:val="both"/>
      </w:pPr>
      <w:r>
        <w:rPr>
          <w:b/>
        </w:rPr>
        <w:t xml:space="preserve">Personally identifiable information </w:t>
      </w:r>
      <w:r>
        <w:t>means any of the following: (1) information from which an individual may be uniquely and reliably identified or contacted, including without limitation, an individual’s name, a</w:t>
      </w:r>
      <w:r>
        <w:t>ddress, telephone number, social security number, account relationships, account numbers, account balances, account histories and passwords; (2) information concerning an individual that would be considered “nonpublic personal information” within the meani</w:t>
      </w:r>
      <w:r>
        <w:t>ng of Title V of the Gramm-Leach Bliley Act of 1999 (Public Law 106-102, 113 Stat. 1338) (as amended) and its implementing regulations; and (3) information concerning an individual that would be considered “protected health information” within Health Insur</w:t>
      </w:r>
      <w:r>
        <w:t>ance Portability and Accountability Act of 1996 (as amended) and its implementing</w:t>
      </w:r>
      <w:r>
        <w:rPr>
          <w:spacing w:val="-14"/>
        </w:rPr>
        <w:t xml:space="preserve"> </w:t>
      </w:r>
      <w:r>
        <w:t>regulations.</w:t>
      </w:r>
    </w:p>
    <w:p w:rsidR="001D511B" w:rsidRDefault="001F74F3">
      <w:pPr>
        <w:pStyle w:val="ListParagraph"/>
        <w:numPr>
          <w:ilvl w:val="1"/>
          <w:numId w:val="2"/>
        </w:numPr>
        <w:tabs>
          <w:tab w:val="left" w:pos="820"/>
        </w:tabs>
        <w:ind w:left="819" w:right="119" w:hanging="450"/>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 xml:space="preserve">insured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from the same, related or common nexus of facts will be deemed to arise out of one </w:t>
      </w:r>
      <w:r>
        <w:rPr>
          <w:b/>
        </w:rPr>
        <w:t>personal identity</w:t>
      </w:r>
      <w:r>
        <w:rPr>
          <w:b/>
          <w:spacing w:val="-24"/>
        </w:rPr>
        <w:t xml:space="preserve"> </w:t>
      </w:r>
      <w:r>
        <w:rPr>
          <w:b/>
        </w:rPr>
        <w:t>event</w:t>
      </w:r>
      <w:r>
        <w:t>.</w:t>
      </w:r>
    </w:p>
    <w:p w:rsidR="001D511B" w:rsidRDefault="001F74F3">
      <w:pPr>
        <w:pStyle w:val="ListParagraph"/>
        <w:numPr>
          <w:ilvl w:val="1"/>
          <w:numId w:val="2"/>
        </w:numPr>
        <w:tabs>
          <w:tab w:val="left" w:pos="820"/>
        </w:tabs>
        <w:ind w:left="819" w:right="119" w:hanging="450"/>
        <w:jc w:val="both"/>
      </w:pPr>
      <w:r>
        <w:rPr>
          <w:b/>
        </w:rPr>
        <w:t xml:space="preserve">Policy period </w:t>
      </w:r>
      <w:r>
        <w:t>means the period commencing</w:t>
      </w:r>
      <w:r>
        <w:t xml:space="preserve"> on the effective date specified in the Declarations and ending on the earlier of either the expiration date specified in the Declarations or the cancellation of the</w:t>
      </w:r>
      <w:r>
        <w:rPr>
          <w:spacing w:val="-23"/>
        </w:rPr>
        <w:t xml:space="preserve"> </w:t>
      </w:r>
      <w:r>
        <w:t>policy.</w:t>
      </w:r>
    </w:p>
    <w:p w:rsidR="001D511B" w:rsidRDefault="001F74F3">
      <w:pPr>
        <w:pStyle w:val="ListParagraph"/>
        <w:numPr>
          <w:ilvl w:val="1"/>
          <w:numId w:val="2"/>
        </w:numPr>
        <w:tabs>
          <w:tab w:val="left" w:pos="820"/>
        </w:tabs>
        <w:ind w:left="819" w:right="118" w:hanging="450"/>
        <w:jc w:val="both"/>
      </w:pPr>
      <w:r>
        <w:rPr>
          <w:b/>
        </w:rPr>
        <w:t xml:space="preserve">Pollutants </w:t>
      </w:r>
      <w:r>
        <w:t xml:space="preserve">means, but are not limited to, any solid, liquid, gaseous, biological, </w:t>
      </w:r>
      <w:r>
        <w:t xml:space="preserve">radiological or thermal irritant or contaminant, including smoke, vapor, dust, fibers, mold, spores, fungi, germs, soot, fumes, asbestos, acids, alkalis, chemicals and waste. “Waste” includes, but is not limited to, materials to be recycled, reconditioned </w:t>
      </w:r>
      <w:r>
        <w:t>or reclaimed and nuclear</w:t>
      </w:r>
      <w:r>
        <w:rPr>
          <w:spacing w:val="-32"/>
        </w:rPr>
        <w:t xml:space="preserve"> </w:t>
      </w:r>
      <w:r>
        <w:t>materials.</w:t>
      </w:r>
    </w:p>
    <w:p w:rsidR="001D511B" w:rsidRDefault="001F74F3">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without limitation, identity</w:t>
      </w:r>
      <w:r>
        <w:t xml:space="preserve"> theft education and assistance and credit file monitoring. Such services must be provided by or on behalf of the </w:t>
      </w:r>
      <w:r>
        <w:rPr>
          <w:b/>
        </w:rPr>
        <w:t xml:space="preserve">named insured </w:t>
      </w:r>
      <w:r>
        <w:t xml:space="preserve">within one (1) year following discovery of a </w:t>
      </w:r>
      <w:r>
        <w:rPr>
          <w:b/>
        </w:rPr>
        <w:t xml:space="preserve">personal identity event </w:t>
      </w:r>
      <w:r>
        <w:t xml:space="preserve">covered under this endorsement to any individual whose </w:t>
      </w:r>
      <w:r>
        <w:rPr>
          <w:b/>
        </w:rPr>
        <w:t>pers</w:t>
      </w:r>
      <w:r>
        <w:rPr>
          <w:b/>
        </w:rPr>
        <w:t xml:space="preserve">onally identifiable information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1D511B" w:rsidRDefault="001F74F3">
      <w:pPr>
        <w:pStyle w:val="ListParagraph"/>
        <w:numPr>
          <w:ilvl w:val="1"/>
          <w:numId w:val="2"/>
        </w:numPr>
        <w:tabs>
          <w:tab w:val="left" w:pos="820"/>
        </w:tabs>
        <w:ind w:left="819" w:right="119" w:hanging="450"/>
        <w:jc w:val="both"/>
      </w:pPr>
      <w:r>
        <w:rPr>
          <w:b/>
        </w:rPr>
        <w:t xml:space="preserve">Privacy policy </w:t>
      </w:r>
      <w:r>
        <w:t xml:space="preserve">means any policy in any form regarding the collection, dissemination, storage, </w:t>
      </w:r>
      <w:r>
        <w:t>or treatment of information regarding customers, visitors to an Internet site, or other</w:t>
      </w:r>
      <w:r>
        <w:rPr>
          <w:spacing w:val="-13"/>
        </w:rPr>
        <w:t xml:space="preserve"> </w:t>
      </w:r>
      <w:r>
        <w:t>persons.</w:t>
      </w:r>
    </w:p>
    <w:p w:rsidR="001D511B" w:rsidRDefault="001F74F3">
      <w:pPr>
        <w:pStyle w:val="ListParagraph"/>
        <w:numPr>
          <w:ilvl w:val="1"/>
          <w:numId w:val="2"/>
        </w:numPr>
        <w:tabs>
          <w:tab w:val="left" w:pos="820"/>
        </w:tabs>
        <w:ind w:left="819" w:right="120" w:hanging="450"/>
        <w:jc w:val="both"/>
      </w:pPr>
      <w:r>
        <w:rPr>
          <w:b/>
        </w:rPr>
        <w:t xml:space="preserve">Suit </w:t>
      </w:r>
      <w:r>
        <w:t xml:space="preserve">means a civil proceeding seeking monetary relief that is commenced by the service of a summons and a complaint or similar pleading.  </w:t>
      </w:r>
      <w:r>
        <w:rPr>
          <w:b/>
        </w:rPr>
        <w:t xml:space="preserve">Suit </w:t>
      </w:r>
      <w:r>
        <w:t>shall also inclu</w:t>
      </w:r>
      <w:r>
        <w:t xml:space="preserve">de </w:t>
      </w:r>
      <w:r>
        <w:rPr>
          <w:spacing w:val="21"/>
        </w:rPr>
        <w:t xml:space="preserve"> </w:t>
      </w:r>
      <w:r>
        <w:t>a</w:t>
      </w:r>
    </w:p>
    <w:p w:rsidR="001D511B" w:rsidRDefault="001D511B">
      <w:pPr>
        <w:jc w:val="both"/>
        <w:sectPr w:rsidR="001D511B">
          <w:pgSz w:w="12240" w:h="15840"/>
          <w:pgMar w:top="1360" w:right="1320" w:bottom="780" w:left="1340" w:header="0" w:footer="594" w:gutter="0"/>
          <w:cols w:space="720"/>
        </w:sectPr>
      </w:pPr>
    </w:p>
    <w:p w:rsidR="001D511B" w:rsidRDefault="001F74F3">
      <w:pPr>
        <w:pStyle w:val="BodyText"/>
        <w:spacing w:before="78"/>
        <w:ind w:left="1020"/>
      </w:pPr>
      <w:r>
        <w:lastRenderedPageBreak/>
        <w:t>binding arbitration proceeding in which monetary relief is alleged and to which   the</w:t>
      </w:r>
    </w:p>
    <w:p w:rsidR="001D511B" w:rsidRDefault="001F74F3">
      <w:pPr>
        <w:pStyle w:val="BodyText"/>
        <w:spacing w:before="0"/>
        <w:ind w:left="1020"/>
      </w:pPr>
      <w:r>
        <w:rPr>
          <w:b/>
        </w:rPr>
        <w:t xml:space="preserve">insured </w:t>
      </w:r>
      <w:r>
        <w:t xml:space="preserve">must submit or does submit with </w:t>
      </w:r>
      <w:r>
        <w:rPr>
          <w:b/>
        </w:rPr>
        <w:t xml:space="preserve">our </w:t>
      </w:r>
      <w:r>
        <w:t>prior written consent.</w:t>
      </w:r>
    </w:p>
    <w:p w:rsidR="001D511B" w:rsidRDefault="001F74F3">
      <w:pPr>
        <w:pStyle w:val="ListParagraph"/>
        <w:numPr>
          <w:ilvl w:val="1"/>
          <w:numId w:val="2"/>
        </w:numPr>
        <w:tabs>
          <w:tab w:val="left" w:pos="1020"/>
        </w:tabs>
        <w:spacing w:before="120"/>
        <w:ind w:left="1020" w:right="161" w:hanging="447"/>
        <w:jc w:val="both"/>
      </w:pPr>
      <w:r>
        <w:rPr>
          <w:b/>
        </w:rPr>
        <w:t>We</w:t>
      </w:r>
      <w:r>
        <w:t xml:space="preserve">, </w:t>
      </w:r>
      <w:r>
        <w:rPr>
          <w:b/>
        </w:rPr>
        <w:t xml:space="preserve">us </w:t>
      </w:r>
      <w:r>
        <w:t xml:space="preserve">and </w:t>
      </w:r>
      <w:r>
        <w:rPr>
          <w:b/>
        </w:rPr>
        <w:t xml:space="preserve">our </w:t>
      </w:r>
      <w:r>
        <w:t>mean the insurer issuing the policy to which this endorsement is att</w:t>
      </w:r>
      <w:r>
        <w:t>ached.</w:t>
      </w:r>
    </w:p>
    <w:p w:rsidR="001D511B" w:rsidRDefault="001D511B">
      <w:pPr>
        <w:pStyle w:val="BodyText"/>
        <w:spacing w:before="8"/>
        <w:rPr>
          <w:sz w:val="19"/>
        </w:rPr>
      </w:pPr>
    </w:p>
    <w:p w:rsidR="001D511B" w:rsidRDefault="001F74F3">
      <w:pPr>
        <w:pStyle w:val="Heading1"/>
        <w:numPr>
          <w:ilvl w:val="0"/>
          <w:numId w:val="2"/>
        </w:numPr>
        <w:tabs>
          <w:tab w:val="left" w:pos="570"/>
        </w:tabs>
        <w:ind w:left="569" w:hanging="449"/>
      </w:pPr>
      <w:r>
        <w:t>DUTIES IN THE EVENT OF A PERSONAL IDENTITY</w:t>
      </w:r>
      <w:r>
        <w:rPr>
          <w:spacing w:val="-27"/>
        </w:rPr>
        <w:t xml:space="preserve"> </w:t>
      </w:r>
      <w:r>
        <w:t>EVENT</w:t>
      </w:r>
    </w:p>
    <w:p w:rsidR="001D511B" w:rsidRDefault="001F74F3">
      <w:pPr>
        <w:pStyle w:val="ListParagraph"/>
        <w:numPr>
          <w:ilvl w:val="1"/>
          <w:numId w:val="2"/>
        </w:numPr>
        <w:tabs>
          <w:tab w:val="left" w:pos="1020"/>
        </w:tabs>
        <w:ind w:left="1019" w:right="157" w:hanging="449"/>
        <w:jc w:val="both"/>
      </w:pPr>
      <w:r>
        <w:t xml:space="preserve">Before coverage will apply under this endorsement, the </w:t>
      </w:r>
      <w:r>
        <w:rPr>
          <w:b/>
        </w:rPr>
        <w:t xml:space="preserve">insured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1D511B" w:rsidRDefault="001F74F3">
      <w:pPr>
        <w:pStyle w:val="ListParagraph"/>
        <w:numPr>
          <w:ilvl w:val="2"/>
          <w:numId w:val="2"/>
        </w:numPr>
        <w:tabs>
          <w:tab w:val="left" w:pos="1380"/>
        </w:tabs>
        <w:ind w:left="1380"/>
      </w:pPr>
      <w:r>
        <w:t xml:space="preserve">How, when, and where the </w:t>
      </w:r>
      <w:r>
        <w:rPr>
          <w:b/>
        </w:rPr>
        <w:t xml:space="preserve">personal identity event </w:t>
      </w:r>
      <w:r>
        <w:t>took</w:t>
      </w:r>
      <w:r>
        <w:rPr>
          <w:spacing w:val="-36"/>
        </w:rPr>
        <w:t xml:space="preserve"> </w:t>
      </w:r>
      <w:r>
        <w:t>place;</w:t>
      </w:r>
    </w:p>
    <w:p w:rsidR="001D511B" w:rsidRDefault="001F74F3">
      <w:pPr>
        <w:pStyle w:val="ListParagraph"/>
        <w:numPr>
          <w:ilvl w:val="2"/>
          <w:numId w:val="2"/>
        </w:numPr>
        <w:tabs>
          <w:tab w:val="left" w:pos="1380"/>
        </w:tabs>
        <w:ind w:left="1379" w:hanging="359"/>
        <w:rPr>
          <w:b/>
        </w:rPr>
      </w:pPr>
      <w:r>
        <w:t xml:space="preserve">The  number  of  individuals  and  type  of  </w:t>
      </w:r>
      <w:r>
        <w:rPr>
          <w:b/>
        </w:rPr>
        <w:t xml:space="preserve">personally  identifiable   </w:t>
      </w:r>
      <w:r>
        <w:rPr>
          <w:b/>
          <w:spacing w:val="25"/>
        </w:rPr>
        <w:t xml:space="preserve"> </w:t>
      </w:r>
      <w:r>
        <w:rPr>
          <w:b/>
        </w:rPr>
        <w:t>information</w:t>
      </w:r>
    </w:p>
    <w:p w:rsidR="001D511B" w:rsidRDefault="001F74F3">
      <w:pPr>
        <w:ind w:left="1380"/>
      </w:pPr>
      <w:r>
        <w:t xml:space="preserve">involved in the </w:t>
      </w:r>
      <w:r>
        <w:rPr>
          <w:b/>
        </w:rPr>
        <w:t>personal identity event</w:t>
      </w:r>
      <w:r>
        <w:t>; and</w:t>
      </w:r>
    </w:p>
    <w:p w:rsidR="001D511B" w:rsidRDefault="001F74F3">
      <w:pPr>
        <w:pStyle w:val="ListParagraph"/>
        <w:numPr>
          <w:ilvl w:val="2"/>
          <w:numId w:val="2"/>
        </w:numPr>
        <w:tabs>
          <w:tab w:val="left" w:pos="1381"/>
        </w:tabs>
        <w:spacing w:before="120"/>
        <w:ind w:left="138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1D511B" w:rsidRDefault="001F74F3">
      <w:pPr>
        <w:pStyle w:val="Heading1"/>
        <w:ind w:left="1380" w:firstLine="0"/>
        <w:rPr>
          <w:b w:val="0"/>
        </w:rPr>
      </w:pPr>
      <w:r>
        <w:t>personal identity event</w:t>
      </w:r>
      <w:r>
        <w:rPr>
          <w:b w:val="0"/>
        </w:rPr>
        <w:t>.</w:t>
      </w:r>
    </w:p>
    <w:p w:rsidR="001D511B" w:rsidRDefault="001F74F3">
      <w:pPr>
        <w:pStyle w:val="ListParagraph"/>
        <w:numPr>
          <w:ilvl w:val="1"/>
          <w:numId w:val="2"/>
        </w:numPr>
        <w:tabs>
          <w:tab w:val="left" w:pos="1020"/>
        </w:tabs>
        <w:spacing w:before="120"/>
        <w:ind w:left="1020" w:right="156" w:hanging="450"/>
        <w:jc w:val="both"/>
      </w:pPr>
      <w:r>
        <w:t xml:space="preserve">The </w:t>
      </w:r>
      <w:r>
        <w:rPr>
          <w:b/>
        </w:rPr>
        <w:t xml:space="preserve">insured </w:t>
      </w:r>
      <w:r>
        <w:t xml:space="preserve">shall also provide </w:t>
      </w:r>
      <w:r>
        <w:rPr>
          <w:b/>
        </w:rPr>
        <w:t xml:space="preserve">us </w:t>
      </w:r>
      <w:r>
        <w:t xml:space="preserve">or </w:t>
      </w:r>
      <w:r>
        <w:rPr>
          <w:b/>
        </w:rPr>
        <w:t xml:space="preserve">our </w:t>
      </w:r>
      <w:r>
        <w:t xml:space="preserve">agent with notice of any </w:t>
      </w:r>
      <w:r>
        <w:rPr>
          <w:b/>
        </w:rPr>
        <w:t xml:space="preserve">claim </w:t>
      </w:r>
      <w:r>
        <w:t xml:space="preserve">or </w:t>
      </w:r>
      <w:r>
        <w:rPr>
          <w:b/>
        </w:rPr>
        <w:t xml:space="preserve">administrative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20"/>
        </w:rPr>
        <w:t xml:space="preserve"> </w:t>
      </w:r>
      <w:r>
        <w:t>made.</w:t>
      </w:r>
    </w:p>
    <w:p w:rsidR="001D511B" w:rsidRDefault="001F74F3">
      <w:pPr>
        <w:pStyle w:val="ListParagraph"/>
        <w:numPr>
          <w:ilvl w:val="1"/>
          <w:numId w:val="2"/>
        </w:numPr>
        <w:tabs>
          <w:tab w:val="left" w:pos="1019"/>
          <w:tab w:val="left" w:pos="1021"/>
        </w:tabs>
        <w:ind w:left="102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1D511B" w:rsidRDefault="001F74F3">
      <w:pPr>
        <w:ind w:left="1020"/>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1D511B" w:rsidRDefault="001F74F3">
      <w:pPr>
        <w:pStyle w:val="ListParagraph"/>
        <w:numPr>
          <w:ilvl w:val="2"/>
          <w:numId w:val="2"/>
        </w:numPr>
        <w:tabs>
          <w:tab w:val="left" w:pos="1381"/>
        </w:tabs>
        <w:spacing w:before="120"/>
        <w:ind w:left="1380" w:right="1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1D511B" w:rsidRDefault="001F74F3">
      <w:pPr>
        <w:pStyle w:val="ListParagraph"/>
        <w:numPr>
          <w:ilvl w:val="2"/>
          <w:numId w:val="2"/>
        </w:numPr>
        <w:tabs>
          <w:tab w:val="left" w:pos="1380"/>
        </w:tabs>
        <w:ind w:left="1380"/>
      </w:pPr>
      <w:r>
        <w:t xml:space="preserve">Authorize </w:t>
      </w:r>
      <w:r>
        <w:rPr>
          <w:b/>
        </w:rPr>
        <w:t xml:space="preserve">us </w:t>
      </w:r>
      <w:r>
        <w:t>to obtain records and other information;</w:t>
      </w:r>
      <w:r>
        <w:rPr>
          <w:spacing w:val="-20"/>
        </w:rPr>
        <w:t xml:space="preserve"> </w:t>
      </w:r>
      <w:r>
        <w:t>and</w:t>
      </w:r>
    </w:p>
    <w:p w:rsidR="001D511B" w:rsidRDefault="001F74F3">
      <w:pPr>
        <w:pStyle w:val="ListParagraph"/>
        <w:numPr>
          <w:ilvl w:val="2"/>
          <w:numId w:val="2"/>
        </w:numPr>
        <w:tabs>
          <w:tab w:val="left" w:pos="1380"/>
        </w:tabs>
        <w:ind w:left="1379" w:right="156" w:hanging="359"/>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1D511B" w:rsidRDefault="001F74F3">
      <w:pPr>
        <w:pStyle w:val="ListParagraph"/>
        <w:numPr>
          <w:ilvl w:val="3"/>
          <w:numId w:val="2"/>
        </w:numPr>
        <w:tabs>
          <w:tab w:val="left" w:pos="1740"/>
        </w:tabs>
        <w:ind w:right="160"/>
        <w:jc w:val="both"/>
      </w:pPr>
      <w:r>
        <w:t>any investigation of a</w:t>
      </w:r>
      <w:r>
        <w:t xml:space="preserve"> </w:t>
      </w:r>
      <w:r>
        <w:rPr>
          <w:b/>
        </w:rPr>
        <w:t>claim</w:t>
      </w:r>
      <w:r>
        <w:t xml:space="preserve">, or other matter relating to the coverage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1D511B" w:rsidRDefault="001F74F3">
      <w:pPr>
        <w:pStyle w:val="ListParagraph"/>
        <w:numPr>
          <w:ilvl w:val="3"/>
          <w:numId w:val="2"/>
        </w:numPr>
        <w:tabs>
          <w:tab w:val="left" w:pos="1740"/>
        </w:tabs>
        <w:spacing w:before="79"/>
      </w:pPr>
      <w:r>
        <w:t>making</w:t>
      </w:r>
      <w:r>
        <w:rPr>
          <w:spacing w:val="-6"/>
        </w:rPr>
        <w:t xml:space="preserve"> </w:t>
      </w:r>
      <w:r>
        <w:t>settlements;</w:t>
      </w:r>
    </w:p>
    <w:p w:rsidR="001D511B" w:rsidRDefault="001F74F3">
      <w:pPr>
        <w:pStyle w:val="ListParagraph"/>
        <w:numPr>
          <w:ilvl w:val="3"/>
          <w:numId w:val="2"/>
        </w:numPr>
        <w:tabs>
          <w:tab w:val="left" w:pos="1740"/>
        </w:tabs>
        <w:spacing w:before="78"/>
        <w:ind w:right="158"/>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1D511B" w:rsidRDefault="001F74F3">
      <w:pPr>
        <w:pStyle w:val="ListParagraph"/>
        <w:numPr>
          <w:ilvl w:val="3"/>
          <w:numId w:val="2"/>
        </w:numPr>
        <w:tabs>
          <w:tab w:val="left" w:pos="1740"/>
        </w:tabs>
        <w:spacing w:before="80"/>
      </w:pPr>
      <w:r>
        <w:t>attending depositions, hearings and</w:t>
      </w:r>
      <w:r>
        <w:rPr>
          <w:spacing w:val="-30"/>
        </w:rPr>
        <w:t xml:space="preserve"> </w:t>
      </w:r>
      <w:r>
        <w:t>trials;</w:t>
      </w:r>
    </w:p>
    <w:p w:rsidR="001D511B" w:rsidRDefault="001F74F3">
      <w:pPr>
        <w:pStyle w:val="ListParagraph"/>
        <w:numPr>
          <w:ilvl w:val="3"/>
          <w:numId w:val="2"/>
        </w:numPr>
        <w:tabs>
          <w:tab w:val="left" w:pos="1740"/>
        </w:tabs>
        <w:spacing w:before="8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1D511B" w:rsidRDefault="001F74F3">
      <w:pPr>
        <w:pStyle w:val="ListParagraph"/>
        <w:numPr>
          <w:ilvl w:val="3"/>
          <w:numId w:val="2"/>
        </w:numPr>
        <w:tabs>
          <w:tab w:val="left" w:pos="1740"/>
        </w:tabs>
        <w:spacing w:before="118"/>
      </w:pPr>
      <w:r>
        <w:t>any inspection or survey conducted by</w:t>
      </w:r>
      <w:r>
        <w:rPr>
          <w:spacing w:val="-11"/>
        </w:rPr>
        <w:t xml:space="preserve"> </w:t>
      </w:r>
      <w:r>
        <w:rPr>
          <w:b/>
        </w:rPr>
        <w:t>us</w:t>
      </w:r>
      <w:r>
        <w:t>.</w:t>
      </w:r>
    </w:p>
    <w:p w:rsidR="001D511B" w:rsidRDefault="001F74F3">
      <w:pPr>
        <w:pStyle w:val="ListParagraph"/>
        <w:numPr>
          <w:ilvl w:val="1"/>
          <w:numId w:val="2"/>
        </w:numPr>
        <w:tabs>
          <w:tab w:val="left" w:pos="1020"/>
        </w:tabs>
        <w:ind w:left="1019" w:right="158" w:hanging="450"/>
        <w:jc w:val="both"/>
      </w:pPr>
      <w:r>
        <w:t xml:space="preserve">In the event of an </w:t>
      </w:r>
      <w:r>
        <w:rPr>
          <w:b/>
        </w:rPr>
        <w:t>ad</w:t>
      </w:r>
      <w:r>
        <w:rPr>
          <w:b/>
        </w:rPr>
        <w:t>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 xml:space="preserve">has any other insurance policy, prepaid legal service contract or legal practitioner retainer agreement available to him/her with respect to such </w:t>
      </w:r>
      <w:r>
        <w:rPr>
          <w:b/>
        </w:rPr>
        <w:t xml:space="preserve">administrative action.   </w:t>
      </w:r>
      <w:r>
        <w:t xml:space="preserve">The </w:t>
      </w:r>
      <w:r>
        <w:rPr>
          <w:b/>
        </w:rPr>
        <w:t xml:space="preserve">insured </w:t>
      </w:r>
      <w:r>
        <w:t>shal</w:t>
      </w:r>
      <w:r>
        <w:t>l</w:t>
      </w:r>
      <w:r>
        <w:rPr>
          <w:spacing w:val="-20"/>
        </w:rPr>
        <w:t xml:space="preserve"> </w:t>
      </w:r>
      <w:r>
        <w:t>also:</w:t>
      </w:r>
    </w:p>
    <w:p w:rsidR="001D511B" w:rsidRDefault="001D511B">
      <w:pPr>
        <w:jc w:val="both"/>
        <w:sectPr w:rsidR="001D511B">
          <w:pgSz w:w="12240" w:h="15840"/>
          <w:pgMar w:top="1360" w:right="1280" w:bottom="780" w:left="1140" w:header="0" w:footer="594" w:gutter="0"/>
          <w:cols w:space="720"/>
        </w:sectPr>
      </w:pPr>
    </w:p>
    <w:p w:rsidR="001D511B" w:rsidRDefault="001F74F3">
      <w:pPr>
        <w:pStyle w:val="ListParagraph"/>
        <w:numPr>
          <w:ilvl w:val="2"/>
          <w:numId w:val="2"/>
        </w:numPr>
        <w:tabs>
          <w:tab w:val="left" w:pos="1280"/>
        </w:tabs>
        <w:spacing w:before="78"/>
        <w:ind w:left="1280" w:right="118"/>
        <w:jc w:val="both"/>
      </w:pPr>
      <w:r>
        <w:lastRenderedPageBreak/>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1D511B" w:rsidRDefault="001F74F3">
      <w:pPr>
        <w:pStyle w:val="ListParagraph"/>
        <w:numPr>
          <w:ilvl w:val="2"/>
          <w:numId w:val="2"/>
        </w:numPr>
        <w:tabs>
          <w:tab w:val="left" w:pos="1280"/>
        </w:tabs>
        <w:ind w:left="1280"/>
      </w:pPr>
      <w:r>
        <w:t xml:space="preserve">Authorize </w:t>
      </w:r>
      <w:r>
        <w:rPr>
          <w:b/>
        </w:rPr>
        <w:t xml:space="preserve">us </w:t>
      </w:r>
      <w:r>
        <w:t>to obtain records and other information;</w:t>
      </w:r>
      <w:r>
        <w:rPr>
          <w:spacing w:val="-20"/>
        </w:rPr>
        <w:t xml:space="preserve"> </w:t>
      </w:r>
      <w:r>
        <w:t>and</w:t>
      </w:r>
    </w:p>
    <w:p w:rsidR="001D511B" w:rsidRDefault="001F74F3">
      <w:pPr>
        <w:pStyle w:val="ListParagraph"/>
        <w:numPr>
          <w:ilvl w:val="2"/>
          <w:numId w:val="2"/>
        </w:numPr>
        <w:tabs>
          <w:tab w:val="left" w:pos="1280"/>
        </w:tabs>
        <w:ind w:left="1280" w:right="116"/>
        <w:jc w:val="both"/>
      </w:pPr>
      <w:r>
        <w:t xml:space="preserve">Furnish </w:t>
      </w:r>
      <w:r>
        <w:rPr>
          <w:b/>
        </w:rPr>
        <w:t>us</w:t>
      </w:r>
      <w:r>
        <w:t xml:space="preserve">, upon </w:t>
      </w:r>
      <w:r>
        <w:rPr>
          <w:b/>
        </w:rPr>
        <w:t xml:space="preserve">our </w:t>
      </w:r>
      <w:r>
        <w:t xml:space="preserve">request, with records and other information and submit to an interview by </w:t>
      </w:r>
      <w:r>
        <w:rPr>
          <w:b/>
        </w:rPr>
        <w:t xml:space="preserve">us </w:t>
      </w:r>
      <w:r>
        <w:t xml:space="preserve">or </w:t>
      </w:r>
      <w:r>
        <w:rPr>
          <w:b/>
        </w:rPr>
        <w:t xml:space="preserve">our </w:t>
      </w:r>
      <w:r>
        <w:t xml:space="preserve">representative concerning the full extent of their knowledge of the events leading to the </w:t>
      </w:r>
      <w:r>
        <w:rPr>
          <w:b/>
        </w:rPr>
        <w:t>administrative action</w:t>
      </w:r>
      <w:r>
        <w:t xml:space="preserve">. </w:t>
      </w:r>
      <w:r>
        <w:rPr>
          <w:b/>
        </w:rPr>
        <w:t xml:space="preserve">We </w:t>
      </w:r>
      <w:r>
        <w:t>shall also be entitled to immediately receive upon reque</w:t>
      </w:r>
      <w:r>
        <w:t xml:space="preserve">st copies of any regulatory agency correspondence the </w:t>
      </w:r>
      <w:r>
        <w:rPr>
          <w:b/>
        </w:rPr>
        <w:t xml:space="preserve">insured </w:t>
      </w:r>
      <w:r>
        <w:t xml:space="preserve">received relating to such </w:t>
      </w:r>
      <w:r>
        <w:rPr>
          <w:b/>
        </w:rPr>
        <w:t>administrative action</w:t>
      </w:r>
      <w:r>
        <w:t>, including without limitation any correspondence which may have predated the date of application for coverage under the</w:t>
      </w:r>
      <w:r>
        <w:rPr>
          <w:spacing w:val="-33"/>
        </w:rPr>
        <w:t xml:space="preserve"> </w:t>
      </w:r>
      <w:r>
        <w:t>policy.</w:t>
      </w:r>
    </w:p>
    <w:p w:rsidR="001D511B" w:rsidRDefault="001F74F3">
      <w:pPr>
        <w:pStyle w:val="ListParagraph"/>
        <w:numPr>
          <w:ilvl w:val="1"/>
          <w:numId w:val="2"/>
        </w:numPr>
        <w:tabs>
          <w:tab w:val="left" w:pos="920"/>
        </w:tabs>
        <w:ind w:left="919" w:right="118" w:hanging="359"/>
        <w:jc w:val="both"/>
      </w:pPr>
      <w:r>
        <w:t>Under all circumst</w:t>
      </w:r>
      <w:r>
        <w:t xml:space="preserve">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own expens</w:t>
      </w:r>
      <w:r>
        <w:t xml:space="preserve">e. The foregoing sentences of this paragraph IV.E. shall not apply to a settlement pursuant to Clause II. </w:t>
      </w:r>
      <w:r>
        <w:rPr>
          <w:b/>
        </w:rPr>
        <w:t>DEFENSE-PERSONAL IDENTITY LIABILITY</w:t>
      </w:r>
      <w:r>
        <w:t xml:space="preserve">, paragraph D. of this endorsement so long as the </w:t>
      </w:r>
      <w:r>
        <w:rPr>
          <w:b/>
        </w:rPr>
        <w:t xml:space="preserve">insured </w:t>
      </w:r>
      <w:r>
        <w:t xml:space="preserve">provides </w:t>
      </w:r>
      <w:r>
        <w:rPr>
          <w:b/>
        </w:rPr>
        <w:t xml:space="preserve">us </w:t>
      </w:r>
      <w:r>
        <w:t xml:space="preserve">written notice of such settlement as soon as </w:t>
      </w:r>
      <w:r>
        <w:t>practicable, but in no case later than thirty (30) days after such settlement is reached in</w:t>
      </w:r>
      <w:r>
        <w:rPr>
          <w:spacing w:val="-29"/>
        </w:rPr>
        <w:t xml:space="preserve"> </w:t>
      </w:r>
      <w:r>
        <w:t>principle.</w:t>
      </w:r>
    </w:p>
    <w:p w:rsidR="001D511B" w:rsidRDefault="001F74F3">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 xml:space="preserve">personal identity event </w:t>
      </w:r>
      <w:r>
        <w:t xml:space="preserve">and to mitigate the </w:t>
      </w:r>
      <w:r>
        <w:rPr>
          <w:b/>
        </w:rPr>
        <w:t xml:space="preserve">damages </w:t>
      </w:r>
      <w:r>
        <w:t xml:space="preserve">arising out of a </w:t>
      </w:r>
      <w:r>
        <w:rPr>
          <w:b/>
        </w:rPr>
        <w:t xml:space="preserve">personal identity event. </w:t>
      </w:r>
      <w:r>
        <w:t>In all</w:t>
      </w:r>
      <w:r>
        <w:t xml:space="preserve">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1D511B" w:rsidRDefault="001D511B">
      <w:pPr>
        <w:pStyle w:val="BodyText"/>
        <w:spacing w:before="8"/>
        <w:rPr>
          <w:sz w:val="19"/>
        </w:rPr>
      </w:pPr>
    </w:p>
    <w:p w:rsidR="001D511B" w:rsidRDefault="001F74F3">
      <w:pPr>
        <w:pStyle w:val="Heading1"/>
        <w:numPr>
          <w:ilvl w:val="0"/>
          <w:numId w:val="2"/>
        </w:numPr>
        <w:tabs>
          <w:tab w:val="left" w:pos="560"/>
          <w:tab w:val="left" w:pos="561"/>
        </w:tabs>
        <w:ind w:left="560" w:hanging="451"/>
      </w:pPr>
      <w:r>
        <w:t>ADDITIONAL C</w:t>
      </w:r>
      <w:r>
        <w:t>IP</w:t>
      </w:r>
      <w:r>
        <w:rPr>
          <w:spacing w:val="-8"/>
        </w:rPr>
        <w:t xml:space="preserve"> </w:t>
      </w:r>
      <w:r>
        <w:t>OBLIGATIONS</w:t>
      </w:r>
    </w:p>
    <w:p w:rsidR="001D511B" w:rsidRDefault="001F74F3">
      <w:pPr>
        <w:pStyle w:val="BodyText"/>
        <w:ind w:left="559"/>
        <w:rPr>
          <w:b/>
        </w:rPr>
      </w:pPr>
      <w:r>
        <w:t>In addition to all other duties and obligations contained elsewhere in the policy</w:t>
      </w:r>
      <w:r>
        <w:rPr>
          <w:b/>
        </w:rPr>
        <w:t>:</w:t>
      </w:r>
    </w:p>
    <w:p w:rsidR="001D511B" w:rsidRDefault="001F74F3">
      <w:pPr>
        <w:pStyle w:val="ListParagraph"/>
        <w:numPr>
          <w:ilvl w:val="1"/>
          <w:numId w:val="2"/>
        </w:numPr>
        <w:tabs>
          <w:tab w:val="left" w:pos="920"/>
        </w:tabs>
        <w:ind w:left="919" w:right="118"/>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records that relate to this endorsement to ensure compliance with the conditi</w:t>
      </w:r>
      <w:r>
        <w:t xml:space="preserve">ons  set forth herein, and not for the purposes of determining final premium.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22"/>
        </w:rPr>
        <w:t xml:space="preserve"> </w:t>
      </w:r>
      <w:r>
        <w:t>and</w:t>
      </w:r>
    </w:p>
    <w:p w:rsidR="001D511B" w:rsidRDefault="001F74F3">
      <w:pPr>
        <w:pStyle w:val="ListParagraph"/>
        <w:numPr>
          <w:ilvl w:val="1"/>
          <w:numId w:val="2"/>
        </w:numPr>
        <w:tabs>
          <w:tab w:val="left" w:pos="920"/>
        </w:tabs>
        <w:ind w:left="920" w:right="118"/>
        <w:jc w:val="both"/>
        <w:rPr>
          <w:b/>
        </w:rPr>
      </w:pPr>
      <w:r>
        <w:t xml:space="preserve">The </w:t>
      </w:r>
      <w:r>
        <w:rPr>
          <w:b/>
        </w:rPr>
        <w:t xml:space="preserve">named insured </w:t>
      </w:r>
      <w:r>
        <w:t xml:space="preserve">shall pay all additional premium under this endorsement when due. The </w:t>
      </w:r>
      <w:r>
        <w:rPr>
          <w:b/>
        </w:rPr>
        <w:t xml:space="preserve">named insured </w:t>
      </w:r>
      <w:r>
        <w:t xml:space="preserve">shall also act on behalf of each and every </w:t>
      </w:r>
      <w:r>
        <w:rPr>
          <w:b/>
        </w:rPr>
        <w:t xml:space="preserve">insured </w:t>
      </w:r>
      <w:r>
        <w:t>with respect to the giving and receiving of any notice under this endorsement, including, but not limited to, notice of a</w:t>
      </w:r>
      <w:r>
        <w:t xml:space="preserve"> </w:t>
      </w:r>
      <w:r>
        <w:rPr>
          <w:b/>
        </w:rPr>
        <w:t xml:space="preserve">personal identity event </w:t>
      </w:r>
      <w:r>
        <w:t xml:space="preserve">and any </w:t>
      </w:r>
      <w:r>
        <w:rPr>
          <w:b/>
        </w:rPr>
        <w:t xml:space="preserve">claim </w:t>
      </w:r>
      <w:r>
        <w:t xml:space="preserve">or  </w:t>
      </w:r>
      <w:r>
        <w:rPr>
          <w:b/>
        </w:rPr>
        <w:t xml:space="preserve">administrative action </w:t>
      </w:r>
      <w:r>
        <w:t xml:space="preserve">arising out of such </w:t>
      </w:r>
      <w:r>
        <w:rPr>
          <w:b/>
        </w:rPr>
        <w:t>personal identity</w:t>
      </w:r>
      <w:r>
        <w:rPr>
          <w:b/>
          <w:spacing w:val="-41"/>
        </w:rPr>
        <w:t xml:space="preserve"> </w:t>
      </w:r>
      <w:r>
        <w:rPr>
          <w:b/>
        </w:rPr>
        <w:t>event.</w:t>
      </w:r>
    </w:p>
    <w:p w:rsidR="001D511B" w:rsidRDefault="001D511B">
      <w:pPr>
        <w:pStyle w:val="BodyText"/>
        <w:spacing w:before="10"/>
        <w:rPr>
          <w:b/>
          <w:sz w:val="19"/>
        </w:rPr>
      </w:pPr>
    </w:p>
    <w:p w:rsidR="001D511B" w:rsidRDefault="001F74F3">
      <w:pPr>
        <w:pStyle w:val="ListParagraph"/>
        <w:numPr>
          <w:ilvl w:val="1"/>
          <w:numId w:val="2"/>
        </w:numPr>
        <w:tabs>
          <w:tab w:val="left" w:pos="921"/>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severally according to their respect</w:t>
      </w:r>
      <w:r>
        <w:t xml:space="preserve">ive interests, in the event and to the extent that such </w:t>
      </w:r>
      <w:r>
        <w:rPr>
          <w:b/>
        </w:rPr>
        <w:t xml:space="preserve">insureds </w:t>
      </w:r>
      <w:r>
        <w:t>shall not be entitled to such payment.</w:t>
      </w:r>
    </w:p>
    <w:p w:rsidR="001D511B" w:rsidRDefault="001D511B">
      <w:pPr>
        <w:jc w:val="both"/>
        <w:sectPr w:rsidR="001D511B">
          <w:pgSz w:w="12240" w:h="15840"/>
          <w:pgMar w:top="1360" w:right="1320" w:bottom="780" w:left="1240" w:header="0" w:footer="594" w:gutter="0"/>
          <w:cols w:space="720"/>
        </w:sectPr>
      </w:pPr>
    </w:p>
    <w:p w:rsidR="001D511B" w:rsidRDefault="001F74F3">
      <w:pPr>
        <w:pStyle w:val="Heading1"/>
        <w:numPr>
          <w:ilvl w:val="0"/>
          <w:numId w:val="2"/>
        </w:numPr>
        <w:tabs>
          <w:tab w:val="left" w:pos="549"/>
        </w:tabs>
        <w:spacing w:before="78"/>
        <w:ind w:left="548" w:hanging="438"/>
      </w:pPr>
      <w:r>
        <w:lastRenderedPageBreak/>
        <w:t>CIP</w:t>
      </w:r>
      <w:r>
        <w:rPr>
          <w:spacing w:val="-5"/>
        </w:rPr>
        <w:t xml:space="preserve"> </w:t>
      </w:r>
      <w:r>
        <w:t>EXCLUSIONS</w:t>
      </w:r>
    </w:p>
    <w:p w:rsidR="001D511B" w:rsidRDefault="001F74F3">
      <w:pPr>
        <w:pStyle w:val="BodyText"/>
        <w:ind w:left="560" w:right="118"/>
        <w:jc w:val="both"/>
      </w:pPr>
      <w:r>
        <w:t>The exclusions of the policy apply to this endorsement. However, solely with respect to the coverage afforded under this en</w:t>
      </w:r>
      <w:r>
        <w:t>dorsement, the following additional exclusions apply:</w:t>
      </w:r>
    </w:p>
    <w:p w:rsidR="001D511B" w:rsidRDefault="001F74F3">
      <w:pPr>
        <w:pStyle w:val="BodyText"/>
        <w:ind w:left="560"/>
        <w:jc w:val="both"/>
      </w:pPr>
      <w:r>
        <w:t>The coverage afforded under this endorsement shall not apply to:</w:t>
      </w:r>
    </w:p>
    <w:p w:rsidR="001D511B" w:rsidRDefault="001F74F3">
      <w:pPr>
        <w:pStyle w:val="ListParagraph"/>
        <w:numPr>
          <w:ilvl w:val="1"/>
          <w:numId w:val="2"/>
        </w:numPr>
        <w:tabs>
          <w:tab w:val="left" w:pos="920"/>
        </w:tabs>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 xml:space="preserve">post event services expenses </w:t>
      </w:r>
      <w:r>
        <w:t>arising out of</w:t>
      </w:r>
      <w:r>
        <w:t xml:space="preserve"> or resulting, directly or indirectly, from any dishonest, fraudulent, criminal or malicious act, error or omission, or any intentional or knowing violation of the law or the </w:t>
      </w:r>
      <w:r>
        <w:rPr>
          <w:b/>
        </w:rPr>
        <w:t xml:space="preserve">privacy policy </w:t>
      </w:r>
      <w:r>
        <w:t xml:space="preserve">of the </w:t>
      </w:r>
      <w:r>
        <w:rPr>
          <w:b/>
        </w:rPr>
        <w:t>named insured</w:t>
      </w:r>
      <w:r>
        <w:t>, or gaining of any profit or advantage to whi</w:t>
      </w:r>
      <w:r>
        <w:t xml:space="preserve">ch the </w:t>
      </w:r>
      <w:r>
        <w:rPr>
          <w:b/>
        </w:rPr>
        <w:t xml:space="preserve">insured </w:t>
      </w:r>
      <w:r>
        <w:t xml:space="preserve">is not legally entitled, if committed by any of the </w:t>
      </w:r>
      <w:r>
        <w:rPr>
          <w:b/>
        </w:rPr>
        <w:t>named</w:t>
      </w:r>
      <w:r>
        <w:rPr>
          <w:b/>
          <w:spacing w:val="-24"/>
        </w:rPr>
        <w:t xml:space="preserve"> </w:t>
      </w:r>
      <w:r>
        <w:rPr>
          <w:b/>
        </w:rPr>
        <w:t>insured’s</w:t>
      </w:r>
      <w:r>
        <w:t>:</w:t>
      </w:r>
    </w:p>
    <w:p w:rsidR="001D511B" w:rsidRDefault="001F74F3">
      <w:pPr>
        <w:pStyle w:val="ListParagraph"/>
        <w:numPr>
          <w:ilvl w:val="2"/>
          <w:numId w:val="2"/>
        </w:numPr>
        <w:tabs>
          <w:tab w:val="left" w:pos="1280"/>
        </w:tabs>
        <w:ind w:left="1280" w:right="120"/>
        <w:jc w:val="both"/>
      </w:pPr>
      <w:r>
        <w:t>directors, officers, trustees, governors, management committee members, members of the management board or partners (or the equivalent positions), whether acting alone or i</w:t>
      </w:r>
      <w:r>
        <w:t>n collusion with other persons;</w:t>
      </w:r>
      <w:r>
        <w:rPr>
          <w:spacing w:val="-34"/>
        </w:rPr>
        <w:t xml:space="preserve"> </w:t>
      </w:r>
      <w:r>
        <w:t>or</w:t>
      </w:r>
    </w:p>
    <w:p w:rsidR="001D511B" w:rsidRDefault="001F74F3">
      <w:pPr>
        <w:pStyle w:val="ListParagraph"/>
        <w:numPr>
          <w:ilvl w:val="2"/>
          <w:numId w:val="2"/>
        </w:numPr>
        <w:tabs>
          <w:tab w:val="left" w:pos="1280"/>
        </w:tabs>
        <w:ind w:left="12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1D511B" w:rsidRDefault="001F74F3">
      <w:pPr>
        <w:pStyle w:val="ListParagraph"/>
        <w:numPr>
          <w:ilvl w:val="0"/>
          <w:numId w:val="1"/>
        </w:numPr>
        <w:tabs>
          <w:tab w:val="left" w:pos="1641"/>
        </w:tabs>
        <w:ind w:hanging="360"/>
      </w:pPr>
      <w:r>
        <w:t>dishonest, fraudulent, criminal or malicious act, error or</w:t>
      </w:r>
      <w:r>
        <w:rPr>
          <w:spacing w:val="-40"/>
        </w:rPr>
        <w:t xml:space="preserve"> </w:t>
      </w:r>
      <w:r>
        <w:t>omission;</w:t>
      </w:r>
    </w:p>
    <w:p w:rsidR="001D511B" w:rsidRDefault="001F74F3">
      <w:pPr>
        <w:pStyle w:val="ListParagraph"/>
        <w:numPr>
          <w:ilvl w:val="0"/>
          <w:numId w:val="1"/>
        </w:numPr>
        <w:tabs>
          <w:tab w:val="left" w:pos="1640"/>
        </w:tabs>
        <w:ind w:left="16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1D511B" w:rsidRDefault="001F74F3">
      <w:pPr>
        <w:ind w:left="1640"/>
      </w:pPr>
      <w:r>
        <w:rPr>
          <w:b/>
        </w:rPr>
        <w:t>named insured</w:t>
      </w:r>
      <w:r>
        <w:t>; or</w:t>
      </w:r>
    </w:p>
    <w:p w:rsidR="001D511B" w:rsidRDefault="001F74F3">
      <w:pPr>
        <w:pStyle w:val="ListParagraph"/>
        <w:numPr>
          <w:ilvl w:val="0"/>
          <w:numId w:val="1"/>
        </w:numPr>
        <w:tabs>
          <w:tab w:val="left" w:pos="1640"/>
        </w:tabs>
        <w:spacing w:before="120"/>
        <w:ind w:right="119" w:hanging="360"/>
      </w:pPr>
      <w:r>
        <w:t xml:space="preserve">gaining of any profit or advantage to which the </w:t>
      </w:r>
      <w:r>
        <w:rPr>
          <w:b/>
        </w:rPr>
        <w:t xml:space="preserve">insured </w:t>
      </w:r>
      <w:r>
        <w:t>is  not  legally entitled,</w:t>
      </w:r>
    </w:p>
    <w:p w:rsidR="001D511B" w:rsidRDefault="001F74F3">
      <w:pPr>
        <w:pStyle w:val="BodyText"/>
        <w:ind w:left="1280"/>
      </w:pPr>
      <w:r>
        <w:t>prior to or at the time (a), (b) or (c) above were committed;</w:t>
      </w:r>
    </w:p>
    <w:p w:rsidR="001D511B" w:rsidRDefault="001F74F3">
      <w:pPr>
        <w:pStyle w:val="BodyText"/>
        <w:ind w:left="920" w:right="117" w:hanging="1"/>
        <w:jc w:val="both"/>
      </w:pPr>
      <w:r>
        <w:t xml:space="preserve">provided, however, we will defend </w:t>
      </w:r>
      <w:r>
        <w:rPr>
          <w:b/>
        </w:rPr>
        <w:t xml:space="preserve">suits </w:t>
      </w:r>
      <w:r>
        <w:t>all</w:t>
      </w:r>
      <w:r>
        <w:t xml:space="preserve">eging any of the foregoing conduct, until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 xml:space="preserve">as to such conduct, at which time the </w:t>
      </w:r>
      <w:r>
        <w:rPr>
          <w:b/>
        </w:rPr>
        <w:t>insured</w:t>
      </w:r>
      <w:r>
        <w:rPr>
          <w:b/>
        </w:rPr>
        <w:t xml:space="preserve"> </w:t>
      </w:r>
      <w:r>
        <w:t xml:space="preserve">shall reimburse </w:t>
      </w:r>
      <w:r>
        <w:rPr>
          <w:b/>
        </w:rPr>
        <w:t xml:space="preserve">us </w:t>
      </w:r>
      <w:r>
        <w:t xml:space="preserve">for </w:t>
      </w:r>
      <w:r>
        <w:rPr>
          <w:b/>
        </w:rPr>
        <w:t>defense</w:t>
      </w:r>
      <w:r>
        <w:rPr>
          <w:b/>
          <w:spacing w:val="-8"/>
        </w:rPr>
        <w:t xml:space="preserve"> </w:t>
      </w:r>
      <w:r>
        <w:rPr>
          <w:b/>
        </w:rPr>
        <w:t>costs</w:t>
      </w:r>
      <w:r>
        <w:t>;</w:t>
      </w:r>
    </w:p>
    <w:p w:rsidR="001D511B" w:rsidRDefault="001F74F3">
      <w:pPr>
        <w:pStyle w:val="ListParagraph"/>
        <w:numPr>
          <w:ilvl w:val="1"/>
          <w:numId w:val="2"/>
        </w:numPr>
        <w:tabs>
          <w:tab w:val="left" w:pos="921"/>
        </w:tabs>
        <w:ind w:left="920" w:right="118"/>
        <w:jc w:val="both"/>
      </w:pPr>
      <w:r>
        <w:t xml:space="preserve">any </w:t>
      </w:r>
      <w:r>
        <w:rPr>
          <w:b/>
        </w:rPr>
        <w:t xml:space="preserve">personal identity event </w:t>
      </w:r>
      <w:r>
        <w:t xml:space="preserve">that any of the </w:t>
      </w:r>
      <w:r>
        <w:rPr>
          <w:b/>
        </w:rPr>
        <w:t xml:space="preserve">named insured’s </w:t>
      </w:r>
      <w:r>
        <w:t>directors, officers, trustees, governors, management committee members, members of the management board or partners (or the equivalent positions) knew or rea</w:t>
      </w:r>
      <w:r>
        <w:t xml:space="preserve">sonably could have foreseen prior to the occurrence of that </w:t>
      </w:r>
      <w:r>
        <w:rPr>
          <w:b/>
        </w:rPr>
        <w:t>personal identity</w:t>
      </w:r>
      <w:r>
        <w:rPr>
          <w:b/>
          <w:spacing w:val="-44"/>
        </w:rPr>
        <w:t xml:space="preserve"> </w:t>
      </w:r>
      <w:r>
        <w:rPr>
          <w:b/>
        </w:rPr>
        <w:t>event</w:t>
      </w:r>
      <w:r>
        <w:t>;</w:t>
      </w:r>
    </w:p>
    <w:p w:rsidR="001D511B" w:rsidRDefault="001F74F3">
      <w:pPr>
        <w:pStyle w:val="ListParagraph"/>
        <w:numPr>
          <w:ilvl w:val="1"/>
          <w:numId w:val="2"/>
        </w:numPr>
        <w:tabs>
          <w:tab w:val="left" w:pos="920"/>
        </w:tabs>
        <w:ind w:left="9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w:t>
      </w:r>
      <w:r>
        <w:t>tly, from physical injury, sickness, disease, disability, shock or mental anguish sustained by any person, including without limitation, required care, loss of services or death at any time resulting</w:t>
      </w:r>
      <w:r>
        <w:rPr>
          <w:spacing w:val="-32"/>
        </w:rPr>
        <w:t xml:space="preserve"> </w:t>
      </w:r>
      <w:r>
        <w:t>therefrom;</w:t>
      </w:r>
    </w:p>
    <w:p w:rsidR="001D511B" w:rsidRDefault="001F74F3">
      <w:pPr>
        <w:pStyle w:val="ListParagraph"/>
        <w:numPr>
          <w:ilvl w:val="1"/>
          <w:numId w:val="2"/>
        </w:numPr>
        <w:tabs>
          <w:tab w:val="left" w:pos="921"/>
        </w:tabs>
        <w:ind w:left="920" w:right="118"/>
        <w:jc w:val="both"/>
        <w:rPr>
          <w:b/>
        </w:rPr>
      </w:pPr>
      <w:r>
        <w:t xml:space="preserve">any </w:t>
      </w:r>
      <w:r>
        <w:rPr>
          <w:b/>
        </w:rPr>
        <w:t>damages, defense costs, administrative ex</w:t>
      </w:r>
      <w:r>
        <w:rPr>
          <w:b/>
        </w:rPr>
        <w:t xml:space="preserve">penses, notification costs, crisis expenses, and post event services expenses </w:t>
      </w:r>
      <w:r>
        <w:t>arising out of or resulting, directly or indirectly, from any of the</w:t>
      </w:r>
      <w:r>
        <w:rPr>
          <w:spacing w:val="-12"/>
        </w:rPr>
        <w:t xml:space="preserve"> </w:t>
      </w:r>
      <w:r>
        <w:t>following</w:t>
      </w:r>
      <w:r>
        <w:rPr>
          <w:b/>
        </w:rPr>
        <w:t>:</w:t>
      </w:r>
    </w:p>
    <w:p w:rsidR="001D511B" w:rsidRDefault="001F74F3">
      <w:pPr>
        <w:pStyle w:val="ListParagraph"/>
        <w:numPr>
          <w:ilvl w:val="2"/>
          <w:numId w:val="2"/>
        </w:numPr>
        <w:tabs>
          <w:tab w:val="left" w:pos="1280"/>
        </w:tabs>
        <w:ind w:left="1280" w:right="118"/>
        <w:jc w:val="both"/>
      </w:pPr>
      <w:r>
        <w:t>fire, smoke, explosion, lightning, wind, water, flood, earthquake, volcanic eruption, tidal wave, landslide, hail, an act of God or any other physical event, however</w:t>
      </w:r>
      <w:r>
        <w:rPr>
          <w:spacing w:val="-4"/>
        </w:rPr>
        <w:t xml:space="preserve"> </w:t>
      </w:r>
      <w:r>
        <w:t>caused;</w:t>
      </w:r>
    </w:p>
    <w:p w:rsidR="001D511B" w:rsidRDefault="001D511B">
      <w:pPr>
        <w:jc w:val="both"/>
        <w:sectPr w:rsidR="001D511B">
          <w:pgSz w:w="12240" w:h="15840"/>
          <w:pgMar w:top="1360" w:right="1320" w:bottom="780" w:left="1240" w:header="0" w:footer="594" w:gutter="0"/>
          <w:cols w:space="720"/>
        </w:sectPr>
      </w:pPr>
    </w:p>
    <w:p w:rsidR="001D511B" w:rsidRDefault="001F74F3">
      <w:pPr>
        <w:pStyle w:val="ListParagraph"/>
        <w:numPr>
          <w:ilvl w:val="2"/>
          <w:numId w:val="2"/>
        </w:numPr>
        <w:tabs>
          <w:tab w:val="left" w:pos="1180"/>
        </w:tabs>
        <w:spacing w:before="78"/>
        <w:ind w:left="1180" w:right="98"/>
        <w:jc w:val="both"/>
      </w:pPr>
      <w:r>
        <w:lastRenderedPageBreak/>
        <w:t>strikes or similar labor action, war, invasion, act of foreign enemy</w:t>
      </w:r>
      <w:r>
        <w:t>, hostilities or warlike operations (whether declared or not), civil war, mutiny, civil commotion assuming the proportions of or amounting to a popular rising, military rising, insurrection, rebellion, revolution, military or usurped power, or any action t</w:t>
      </w:r>
      <w:r>
        <w:t>aken to hinder or defend against these actions;</w:t>
      </w:r>
      <w:r>
        <w:rPr>
          <w:spacing w:val="-9"/>
        </w:rPr>
        <w:t xml:space="preserve"> </w:t>
      </w:r>
      <w:r>
        <w:t>or</w:t>
      </w:r>
    </w:p>
    <w:p w:rsidR="001D511B" w:rsidRDefault="001F74F3">
      <w:pPr>
        <w:pStyle w:val="ListParagraph"/>
        <w:numPr>
          <w:ilvl w:val="2"/>
          <w:numId w:val="2"/>
        </w:numPr>
        <w:tabs>
          <w:tab w:val="left" w:pos="1180"/>
        </w:tabs>
        <w:spacing w:before="79"/>
        <w:ind w:left="1180" w:right="98"/>
        <w:jc w:val="both"/>
      </w:pPr>
      <w:r>
        <w:t xml:space="preserve">electrical or mechanical failures, including any electrical power interruption, surge, brownout or blackout; a failure of telephone lines, data transmission lines, satellites or other infrastructure comprising or supporting the Internet, unless such lines </w:t>
      </w:r>
      <w:r>
        <w:t xml:space="preserve">or infrastructure were under the </w:t>
      </w:r>
      <w:r>
        <w:rPr>
          <w:b/>
        </w:rPr>
        <w:t xml:space="preserve">insured’s </w:t>
      </w:r>
      <w:r>
        <w:t>operational</w:t>
      </w:r>
      <w:r>
        <w:rPr>
          <w:spacing w:val="-40"/>
        </w:rPr>
        <w:t xml:space="preserve"> </w:t>
      </w:r>
      <w:r>
        <w:t>control;</w:t>
      </w:r>
    </w:p>
    <w:p w:rsidR="001D511B" w:rsidRDefault="001F74F3">
      <w:pPr>
        <w:pStyle w:val="ListParagraph"/>
        <w:numPr>
          <w:ilvl w:val="1"/>
          <w:numId w:val="2"/>
        </w:numPr>
        <w:tabs>
          <w:tab w:val="left" w:pos="820"/>
        </w:tabs>
        <w:spacing w:before="198"/>
        <w:ind w:left="819" w:right="98" w:hanging="359"/>
        <w:jc w:val="both"/>
      </w:pPr>
      <w:r>
        <w:t xml:space="preserve">any </w:t>
      </w:r>
      <w:r>
        <w:rPr>
          <w:b/>
        </w:rPr>
        <w:t>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arising out of or resulting, directly or indirectly, from the presenc</w:t>
      </w:r>
      <w:r>
        <w:t xml:space="preserve">e of or the actual, alleged or threatened discharge, dispersal, release or escape of </w:t>
      </w:r>
      <w:r>
        <w:rPr>
          <w:b/>
        </w:rPr>
        <w:t xml:space="preserve">pollutants </w:t>
      </w:r>
      <w:r>
        <w:t xml:space="preserve">(including nuclear materials), or any direction or request to test for, monitor, clean up, remove, contain, treat, detoxify or neutralize </w:t>
      </w:r>
      <w:r>
        <w:rPr>
          <w:b/>
        </w:rPr>
        <w:t>pollutants</w:t>
      </w:r>
      <w:r>
        <w:t xml:space="preserve">, or in any </w:t>
      </w:r>
      <w:r>
        <w:t xml:space="preserve">way respond to or assess the effects of </w:t>
      </w:r>
      <w:r>
        <w:rPr>
          <w:b/>
        </w:rPr>
        <w:t>pollutants</w:t>
      </w:r>
      <w:r>
        <w:t>;</w:t>
      </w:r>
    </w:p>
    <w:p w:rsidR="001D511B" w:rsidRDefault="001F74F3">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1D511B" w:rsidRDefault="001F74F3">
      <w:pPr>
        <w:pStyle w:val="ListParagraph"/>
        <w:numPr>
          <w:ilvl w:val="1"/>
          <w:numId w:val="2"/>
        </w:numPr>
        <w:tabs>
          <w:tab w:val="left" w:pos="820"/>
        </w:tabs>
        <w:ind w:left="819" w:right="164"/>
        <w:jc w:val="both"/>
      </w:pPr>
      <w:r>
        <w:t xml:space="preserve">any </w:t>
      </w:r>
      <w:r>
        <w:rPr>
          <w:b/>
        </w:rPr>
        <w:t xml:space="preserve">claim </w:t>
      </w:r>
      <w:r>
        <w:t>seeking non-monetary relief, including without limitation, injunctive</w:t>
      </w:r>
      <w:r>
        <w:rPr>
          <w:spacing w:val="-41"/>
        </w:rPr>
        <w:t xml:space="preserve"> </w:t>
      </w:r>
      <w:r>
        <w:t>relief, declaratory relief, or ot</w:t>
      </w:r>
      <w:r>
        <w:t>her equitable</w:t>
      </w:r>
      <w:r>
        <w:rPr>
          <w:spacing w:val="-32"/>
        </w:rPr>
        <w:t xml:space="preserve"> </w:t>
      </w:r>
      <w:r>
        <w:t>remedies;</w:t>
      </w:r>
    </w:p>
    <w:p w:rsidR="001D511B" w:rsidRDefault="001F74F3">
      <w:pPr>
        <w:pStyle w:val="ListParagraph"/>
        <w:numPr>
          <w:ilvl w:val="1"/>
          <w:numId w:val="2"/>
        </w:numPr>
        <w:tabs>
          <w:tab w:val="left" w:pos="820"/>
        </w:tabs>
        <w:ind w:left="819" w:right="100"/>
        <w:jc w:val="both"/>
      </w:pPr>
      <w:r>
        <w:t>any expenses incurred as a result of regularly scheduled, recurring or routine regulatory examinations, inquiries or compliance</w:t>
      </w:r>
      <w:r>
        <w:rPr>
          <w:spacing w:val="-23"/>
        </w:rPr>
        <w:t xml:space="preserve"> </w:t>
      </w:r>
      <w:r>
        <w:t>activities;</w:t>
      </w:r>
    </w:p>
    <w:p w:rsidR="001D511B" w:rsidRDefault="001F74F3">
      <w:pPr>
        <w:pStyle w:val="ListParagraph"/>
        <w:numPr>
          <w:ilvl w:val="1"/>
          <w:numId w:val="2"/>
        </w:numPr>
        <w:tabs>
          <w:tab w:val="left" w:pos="820"/>
        </w:tabs>
        <w:ind w:left="819" w:right="98"/>
        <w:jc w:val="both"/>
      </w:pPr>
      <w:r>
        <w:t xml:space="preserve">any liability or obligation of any </w:t>
      </w:r>
      <w:r>
        <w:rPr>
          <w:b/>
        </w:rPr>
        <w:t xml:space="preserve">insured </w:t>
      </w:r>
      <w:r>
        <w:t>under any contract or agreement; however, this ex</w:t>
      </w:r>
      <w:r>
        <w:t xml:space="preserve">clusion shall not apply to liability the </w:t>
      </w:r>
      <w:r>
        <w:rPr>
          <w:b/>
        </w:rPr>
        <w:t xml:space="preserve">insured </w:t>
      </w:r>
      <w:r>
        <w:t>would have in the absence of such contract or</w:t>
      </w:r>
      <w:r>
        <w:rPr>
          <w:spacing w:val="-21"/>
        </w:rPr>
        <w:t xml:space="preserve"> </w:t>
      </w:r>
      <w:r>
        <w:t>agreement;</w:t>
      </w:r>
    </w:p>
    <w:p w:rsidR="001D511B" w:rsidRDefault="001F74F3">
      <w:pPr>
        <w:pStyle w:val="ListParagraph"/>
        <w:numPr>
          <w:ilvl w:val="1"/>
          <w:numId w:val="2"/>
        </w:numPr>
        <w:tabs>
          <w:tab w:val="left" w:pos="820"/>
        </w:tabs>
        <w:ind w:left="819" w:right="98"/>
        <w:jc w:val="both"/>
      </w:pPr>
      <w:r>
        <w:t xml:space="preserve">any </w:t>
      </w:r>
      <w:r>
        <w:rPr>
          <w:b/>
        </w:rPr>
        <w:t xml:space="preserve">claim </w:t>
      </w:r>
      <w:r>
        <w:t xml:space="preserve">alleging, arising out of or resulting, directly or indirectly, from any purchase, sale, or offer or solicitation of an offer to purchase or </w:t>
      </w:r>
      <w:r>
        <w:t xml:space="preserve">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1D511B" w:rsidRDefault="001F74F3">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1D511B" w:rsidRDefault="001F74F3">
      <w:pPr>
        <w:pStyle w:val="ListParagraph"/>
        <w:numPr>
          <w:ilvl w:val="2"/>
          <w:numId w:val="2"/>
        </w:numPr>
        <w:tabs>
          <w:tab w:val="left" w:pos="1180"/>
        </w:tabs>
        <w:ind w:left="1179" w:right="99"/>
        <w:jc w:val="both"/>
      </w:pPr>
      <w:r>
        <w:t>to use, maintain and update at a minimum every ninety (90</w:t>
      </w:r>
      <w:r>
        <w:t>) days, when necessary, anti-virus software, firewall software on all broadband or high-speed connections to the Internet and software security patches;</w:t>
      </w:r>
      <w:r>
        <w:rPr>
          <w:spacing w:val="-23"/>
        </w:rPr>
        <w:t xml:space="preserve"> </w:t>
      </w:r>
      <w:r>
        <w:t>or</w:t>
      </w:r>
    </w:p>
    <w:p w:rsidR="001D511B" w:rsidRDefault="001F74F3">
      <w:pPr>
        <w:pStyle w:val="ListParagraph"/>
        <w:numPr>
          <w:ilvl w:val="2"/>
          <w:numId w:val="2"/>
        </w:numPr>
        <w:tabs>
          <w:tab w:val="left" w:pos="1180"/>
        </w:tabs>
        <w:ind w:left="1179" w:right="99"/>
        <w:jc w:val="both"/>
      </w:pPr>
      <w:r>
        <w:t>to comply with all data security standards issued by credit card issuers or financial institutions w</w:t>
      </w:r>
      <w:r>
        <w:t xml:space="preserve">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1D511B" w:rsidRDefault="001F74F3">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w:t>
      </w:r>
      <w:r>
        <w:t>ting, directly or indirectly, from the infringement of copyright, patent, trademark, trade secret or other intellectual property</w:t>
      </w:r>
      <w:r>
        <w:rPr>
          <w:spacing w:val="-7"/>
        </w:rPr>
        <w:t xml:space="preserve"> </w:t>
      </w:r>
      <w:r>
        <w:t>rights;</w:t>
      </w:r>
    </w:p>
    <w:p w:rsidR="001D511B" w:rsidRDefault="001D511B">
      <w:pPr>
        <w:jc w:val="both"/>
        <w:sectPr w:rsidR="001D511B">
          <w:pgSz w:w="12240" w:h="15840"/>
          <w:pgMar w:top="1360" w:right="1340" w:bottom="780" w:left="1340" w:header="0" w:footer="594" w:gutter="0"/>
          <w:cols w:space="720"/>
        </w:sectPr>
      </w:pPr>
    </w:p>
    <w:p w:rsidR="001D511B" w:rsidRDefault="001F74F3">
      <w:pPr>
        <w:pStyle w:val="ListParagraph"/>
        <w:numPr>
          <w:ilvl w:val="1"/>
          <w:numId w:val="2"/>
        </w:numPr>
        <w:tabs>
          <w:tab w:val="left" w:pos="920"/>
        </w:tabs>
        <w:spacing w:before="78"/>
        <w:ind w:left="919" w:right="119" w:hanging="359"/>
        <w:jc w:val="both"/>
      </w:pPr>
      <w:r>
        <w:lastRenderedPageBreak/>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ethnic background, national origin, a</w:t>
      </w:r>
      <w:r>
        <w:t>ge, handicap, disability, sex, sexual orientation or pregnancy;</w:t>
      </w:r>
      <w:r>
        <w:rPr>
          <w:spacing w:val="-22"/>
        </w:rPr>
        <w:t xml:space="preserve"> </w:t>
      </w:r>
      <w:r>
        <w:t>or</w:t>
      </w:r>
    </w:p>
    <w:p w:rsidR="001D511B" w:rsidRDefault="001F74F3">
      <w:pPr>
        <w:pStyle w:val="ListParagraph"/>
        <w:numPr>
          <w:ilvl w:val="1"/>
          <w:numId w:val="2"/>
        </w:numPr>
        <w:tabs>
          <w:tab w:val="left" w:pos="920"/>
        </w:tabs>
        <w:ind w:left="919" w:right="120"/>
        <w:jc w:val="both"/>
      </w:pPr>
      <w:r>
        <w:t xml:space="preserve">any </w:t>
      </w:r>
      <w:r>
        <w:rPr>
          <w:b/>
        </w:rPr>
        <w:t xml:space="preserve">claim </w:t>
      </w:r>
      <w:r>
        <w:t xml:space="preserve">against an </w:t>
      </w:r>
      <w:r>
        <w:rPr>
          <w:b/>
        </w:rPr>
        <w:t xml:space="preserve">insured </w:t>
      </w:r>
      <w:r>
        <w:t>that is brought, directly or indirectly, by or on behalf of:</w:t>
      </w:r>
    </w:p>
    <w:p w:rsidR="001D511B" w:rsidRDefault="001F74F3">
      <w:pPr>
        <w:pStyle w:val="ListParagraph"/>
        <w:numPr>
          <w:ilvl w:val="2"/>
          <w:numId w:val="2"/>
        </w:numPr>
        <w:tabs>
          <w:tab w:val="left" w:pos="1280"/>
        </w:tabs>
        <w:ind w:left="1279"/>
        <w:jc w:val="both"/>
      </w:pPr>
      <w:r>
        <w:t>any</w:t>
      </w:r>
      <w:r>
        <w:rPr>
          <w:spacing w:val="-4"/>
        </w:rPr>
        <w:t xml:space="preserve"> </w:t>
      </w:r>
      <w:r>
        <w:rPr>
          <w:b/>
        </w:rPr>
        <w:t>insured</w:t>
      </w:r>
      <w:r>
        <w:t>;</w:t>
      </w:r>
    </w:p>
    <w:p w:rsidR="001D511B" w:rsidRDefault="001F74F3">
      <w:pPr>
        <w:pStyle w:val="ListParagraph"/>
        <w:numPr>
          <w:ilvl w:val="2"/>
          <w:numId w:val="2"/>
        </w:numPr>
        <w:tabs>
          <w:tab w:val="left" w:pos="1280"/>
        </w:tabs>
        <w:spacing w:before="80"/>
        <w:ind w:left="1279" w:right="121"/>
        <w:jc w:val="both"/>
      </w:pPr>
      <w:r>
        <w:t xml:space="preserve">any entity that is owned, managed or operated, directly or indirectly, in whole  or in part, by an </w:t>
      </w:r>
      <w:r>
        <w:rPr>
          <w:b/>
        </w:rPr>
        <w:t>insured</w:t>
      </w:r>
      <w:r>
        <w:t>;</w:t>
      </w:r>
      <w:r>
        <w:rPr>
          <w:spacing w:val="-16"/>
        </w:rPr>
        <w:t xml:space="preserve"> </w:t>
      </w:r>
      <w:r>
        <w:t>or</w:t>
      </w:r>
    </w:p>
    <w:p w:rsidR="001D511B" w:rsidRDefault="001F74F3">
      <w:pPr>
        <w:pStyle w:val="ListParagraph"/>
        <w:numPr>
          <w:ilvl w:val="2"/>
          <w:numId w:val="2"/>
        </w:numPr>
        <w:tabs>
          <w:tab w:val="left" w:pos="1280"/>
        </w:tabs>
        <w:spacing w:before="79"/>
        <w:ind w:left="1279"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w:t>
      </w:r>
      <w:r>
        <w:t xml:space="preserve"> such business entity through common majority ownership or</w:t>
      </w:r>
      <w:r>
        <w:rPr>
          <w:spacing w:val="-34"/>
        </w:rPr>
        <w:t xml:space="preserve"> </w:t>
      </w:r>
      <w:r>
        <w:t>control,</w:t>
      </w:r>
    </w:p>
    <w:p w:rsidR="001D511B" w:rsidRDefault="001F74F3">
      <w:pPr>
        <w:spacing w:before="80"/>
        <w:ind w:left="919" w:right="118"/>
        <w:jc w:val="both"/>
        <w:rPr>
          <w:b/>
        </w:rPr>
      </w:pPr>
      <w:r>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w:t>
      </w:r>
      <w:r>
        <w:rPr>
          <w:b/>
        </w:rPr>
        <w:t>al identity event</w:t>
      </w:r>
      <w:r>
        <w:t xml:space="preserve">. Notwithstanding the foregoing, there shall be no coverage for any counterclaims against such </w:t>
      </w:r>
      <w:r>
        <w:rPr>
          <w:b/>
        </w:rPr>
        <w:t>insured.</w:t>
      </w:r>
    </w:p>
    <w:p w:rsidR="001D511B" w:rsidRDefault="001F74F3">
      <w:pPr>
        <w:pStyle w:val="BodyText"/>
        <w:spacing w:before="120"/>
        <w:ind w:left="920" w:right="119"/>
        <w:jc w:val="both"/>
      </w:pPr>
      <w:r>
        <w:t xml:space="preserve">Provided further, however, this endorsement shall apply to </w:t>
      </w:r>
      <w:r>
        <w:rPr>
          <w:b/>
        </w:rPr>
        <w:t xml:space="preserve">defense costs </w:t>
      </w:r>
      <w:r>
        <w:t>incurred in connection with any cross claim for contribution o</w:t>
      </w:r>
      <w:r>
        <w:t xml:space="preserve">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1D511B" w:rsidRDefault="001D511B">
      <w:pPr>
        <w:pStyle w:val="BodyText"/>
        <w:spacing w:before="8"/>
        <w:rPr>
          <w:sz w:val="19"/>
        </w:rPr>
      </w:pPr>
    </w:p>
    <w:p w:rsidR="001D511B" w:rsidRDefault="001F74F3">
      <w:pPr>
        <w:pStyle w:val="Heading1"/>
        <w:numPr>
          <w:ilvl w:val="0"/>
          <w:numId w:val="2"/>
        </w:numPr>
        <w:tabs>
          <w:tab w:val="left" w:pos="538"/>
        </w:tabs>
        <w:spacing w:before="1"/>
        <w:ind w:left="537" w:hanging="427"/>
      </w:pPr>
      <w:r>
        <w:t>CIP SUBLIMITS OF</w:t>
      </w:r>
      <w:r>
        <w:rPr>
          <w:spacing w:val="-8"/>
        </w:rPr>
        <w:t xml:space="preserve"> </w:t>
      </w:r>
      <w:r>
        <w:t>INSURANCE</w:t>
      </w:r>
    </w:p>
    <w:p w:rsidR="001D511B" w:rsidRDefault="001F74F3">
      <w:pPr>
        <w:pStyle w:val="BodyText"/>
        <w:spacing w:before="120"/>
        <w:ind w:left="470" w:right="52"/>
      </w:pPr>
      <w:r>
        <w:t xml:space="preserve">The following </w:t>
      </w:r>
      <w:proofErr w:type="spellStart"/>
      <w:r>
        <w:t>Sublimits</w:t>
      </w:r>
      <w:proofErr w:type="spellEnd"/>
      <w:r>
        <w:t xml:space="preserve"> are subject to the aggregate Limit of Liability for the policy shown in the Declarations and described in the policy:</w:t>
      </w:r>
    </w:p>
    <w:p w:rsidR="001D511B" w:rsidRDefault="001F74F3">
      <w:pPr>
        <w:pStyle w:val="ListParagraph"/>
        <w:numPr>
          <w:ilvl w:val="1"/>
          <w:numId w:val="2"/>
        </w:numPr>
        <w:tabs>
          <w:tab w:val="left" w:pos="920"/>
        </w:tabs>
        <w:spacing w:before="120"/>
        <w:ind w:left="919" w:right="118" w:hanging="449"/>
        <w:jc w:val="both"/>
        <w:rPr>
          <w:b/>
        </w:rPr>
      </w:pPr>
      <w:r>
        <w:t xml:space="preserve">The CIP Coverage Sublimit of Insurance indicated in the Schedule of this endorsement will be the most </w:t>
      </w:r>
      <w:r>
        <w:rPr>
          <w:b/>
        </w:rPr>
        <w:t xml:space="preserve">we </w:t>
      </w:r>
      <w:r>
        <w:t>shall pay</w:t>
      </w:r>
      <w:r>
        <w:t xml:space="preserve"> for all coverages combined, regardless of the number of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w:t>
      </w:r>
      <w:r>
        <w:rPr>
          <w:b/>
        </w:rPr>
        <w:t>ges</w:t>
      </w:r>
      <w:r>
        <w:t xml:space="preserve">, </w:t>
      </w:r>
      <w:r>
        <w:rPr>
          <w:b/>
        </w:rPr>
        <w:t>defense costs</w:t>
      </w:r>
      <w:r>
        <w:t xml:space="preserve">, </w:t>
      </w:r>
      <w:r>
        <w:rPr>
          <w:b/>
        </w:rPr>
        <w:t>administrative expenses, notification costs</w:t>
      </w:r>
      <w:r>
        <w:t xml:space="preserve">, </w:t>
      </w:r>
      <w:r>
        <w:rPr>
          <w:b/>
        </w:rPr>
        <w:t xml:space="preserve">crisis 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2"/>
        </w:rPr>
        <w:t xml:space="preserve"> </w:t>
      </w:r>
      <w:r>
        <w:rPr>
          <w:b/>
        </w:rPr>
        <w:t>perio</w:t>
      </w:r>
      <w:r>
        <w:rPr>
          <w:b/>
        </w:rPr>
        <w:t>d.</w:t>
      </w:r>
    </w:p>
    <w:p w:rsidR="001D511B" w:rsidRDefault="001F74F3">
      <w:pPr>
        <w:pStyle w:val="ListParagraph"/>
        <w:numPr>
          <w:ilvl w:val="1"/>
          <w:numId w:val="2"/>
        </w:numPr>
        <w:tabs>
          <w:tab w:val="left" w:pos="920"/>
        </w:tabs>
        <w:spacing w:before="120"/>
        <w:ind w:left="919" w:right="117" w:hanging="449"/>
        <w:jc w:val="both"/>
      </w:pPr>
      <w:r>
        <w:t xml:space="preserve">All </w:t>
      </w:r>
      <w:r>
        <w:rPr>
          <w:b/>
        </w:rPr>
        <w:t>claims, administrative actions, 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 xml:space="preserve">shall be subject to the terms, conditions, exclusions and the CIP Coverage Sublimit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 xml:space="preserve">is first discovered by an </w:t>
      </w:r>
      <w:r>
        <w:rPr>
          <w:b/>
        </w:rPr>
        <w:t>insured</w:t>
      </w:r>
      <w:r>
        <w:t>.</w:t>
      </w:r>
    </w:p>
    <w:p w:rsidR="001D511B" w:rsidRDefault="001F74F3">
      <w:pPr>
        <w:pStyle w:val="ListParagraph"/>
        <w:numPr>
          <w:ilvl w:val="1"/>
          <w:numId w:val="2"/>
        </w:numPr>
        <w:tabs>
          <w:tab w:val="left" w:pos="919"/>
          <w:tab w:val="left" w:pos="920"/>
        </w:tabs>
        <w:spacing w:before="120"/>
        <w:ind w:left="919" w:hanging="450"/>
      </w:pPr>
      <w:r>
        <w:t xml:space="preserve">The most </w:t>
      </w:r>
      <w:r>
        <w:rPr>
          <w:b/>
        </w:rPr>
        <w:t xml:space="preserve">we </w:t>
      </w:r>
      <w:r>
        <w:t>shall pay for the total of</w:t>
      </w:r>
      <w:r>
        <w:rPr>
          <w:spacing w:val="-14"/>
        </w:rPr>
        <w:t xml:space="preserve"> </w:t>
      </w:r>
      <w:r>
        <w:t>all:</w:t>
      </w:r>
    </w:p>
    <w:p w:rsidR="001D511B" w:rsidRDefault="001F74F3">
      <w:pPr>
        <w:pStyle w:val="ListParagraph"/>
        <w:numPr>
          <w:ilvl w:val="2"/>
          <w:numId w:val="2"/>
        </w:numPr>
        <w:tabs>
          <w:tab w:val="left" w:pos="1280"/>
        </w:tabs>
        <w:spacing w:before="120"/>
        <w:ind w:left="1279" w:right="118"/>
        <w:jc w:val="both"/>
      </w:pPr>
      <w:r>
        <w:rPr>
          <w:b/>
        </w:rPr>
        <w:t xml:space="preserve">damages </w:t>
      </w:r>
      <w:r>
        <w:t xml:space="preserve">and </w:t>
      </w:r>
      <w:r>
        <w:rPr>
          <w:b/>
        </w:rPr>
        <w:t xml:space="preserve">defense costs </w:t>
      </w:r>
      <w:r>
        <w:t>is the Personal Identity Sublimit indicated in the Schedule;</w:t>
      </w:r>
    </w:p>
    <w:p w:rsidR="001D511B" w:rsidRDefault="001D511B">
      <w:pPr>
        <w:jc w:val="both"/>
        <w:sectPr w:rsidR="001D511B">
          <w:pgSz w:w="12240" w:h="15840"/>
          <w:pgMar w:top="1360" w:right="1320" w:bottom="780" w:left="1240" w:header="0" w:footer="594" w:gutter="0"/>
          <w:cols w:space="720"/>
        </w:sectPr>
      </w:pPr>
    </w:p>
    <w:p w:rsidR="001D511B" w:rsidRDefault="001F74F3">
      <w:pPr>
        <w:pStyle w:val="ListParagraph"/>
        <w:numPr>
          <w:ilvl w:val="2"/>
          <w:numId w:val="2"/>
        </w:numPr>
        <w:tabs>
          <w:tab w:val="left" w:pos="1380"/>
        </w:tabs>
        <w:spacing w:before="78"/>
        <w:ind w:left="1380" w:right="118"/>
      </w:pPr>
      <w:r>
        <w:rPr>
          <w:b/>
        </w:rPr>
        <w:lastRenderedPageBreak/>
        <w:t xml:space="preserve">administrative expenses </w:t>
      </w:r>
      <w:r>
        <w:t>is the Administrative Action Sublimit indicated in the Schedule;</w:t>
      </w:r>
      <w:r>
        <w:rPr>
          <w:spacing w:val="-7"/>
        </w:rPr>
        <w:t xml:space="preserve"> </w:t>
      </w:r>
      <w:r>
        <w:t>and</w:t>
      </w:r>
    </w:p>
    <w:p w:rsidR="001D511B" w:rsidRDefault="001F74F3">
      <w:pPr>
        <w:pStyle w:val="ListParagraph"/>
        <w:numPr>
          <w:ilvl w:val="2"/>
          <w:numId w:val="2"/>
        </w:numPr>
        <w:tabs>
          <w:tab w:val="left" w:pos="1380"/>
        </w:tabs>
        <w:ind w:left="1379" w:right="118" w:hanging="359"/>
      </w:pPr>
      <w:r>
        <w:rPr>
          <w:b/>
        </w:rPr>
        <w:t>notification costs</w:t>
      </w:r>
      <w:r>
        <w:rPr>
          <w:b/>
        </w:rPr>
        <w:t xml:space="preserve">,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1D511B" w:rsidRDefault="001F74F3">
      <w:pPr>
        <w:spacing w:before="119"/>
        <w:ind w:left="1020"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within the</w:t>
      </w:r>
      <w:r>
        <w:t xml:space="preserve"> </w:t>
      </w:r>
      <w:r>
        <w:rPr>
          <w:b/>
        </w:rPr>
        <w:t xml:space="preserve">notice period. </w:t>
      </w:r>
      <w:r>
        <w:t xml:space="preserve">The above enumerated </w:t>
      </w:r>
      <w:proofErr w:type="spellStart"/>
      <w:r>
        <w:t>Sublimits</w:t>
      </w:r>
      <w:proofErr w:type="spellEnd"/>
      <w:r>
        <w:t xml:space="preserve"> shall be part of, and not in addition to the CIP Coverage Sublimit, and shall be excess of the CIP Retention</w:t>
      </w:r>
      <w:r>
        <w:rPr>
          <w:b/>
        </w:rPr>
        <w:t>.</w:t>
      </w:r>
    </w:p>
    <w:p w:rsidR="001D511B" w:rsidRDefault="001F74F3">
      <w:pPr>
        <w:pStyle w:val="ListParagraph"/>
        <w:numPr>
          <w:ilvl w:val="1"/>
          <w:numId w:val="2"/>
        </w:numPr>
        <w:tabs>
          <w:tab w:val="left" w:pos="1020"/>
        </w:tabs>
        <w:ind w:left="1020" w:right="117" w:hanging="450"/>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1D511B" w:rsidRDefault="001F74F3">
      <w:pPr>
        <w:pStyle w:val="ListParagraph"/>
        <w:numPr>
          <w:ilvl w:val="2"/>
          <w:numId w:val="2"/>
        </w:numPr>
        <w:tabs>
          <w:tab w:val="left" w:pos="1380"/>
        </w:tabs>
        <w:ind w:left="1380"/>
      </w:pPr>
      <w:r>
        <w:rPr>
          <w:spacing w:val="-3"/>
        </w:rPr>
        <w:t xml:space="preserve">which accrues after entry </w:t>
      </w:r>
      <w:r>
        <w:t xml:space="preserve">of </w:t>
      </w:r>
      <w:r>
        <w:rPr>
          <w:spacing w:val="-3"/>
        </w:rPr>
        <w:t>judgment;</w:t>
      </w:r>
      <w:r>
        <w:rPr>
          <w:spacing w:val="-25"/>
        </w:rPr>
        <w:t xml:space="preserve"> </w:t>
      </w:r>
      <w:r>
        <w:rPr>
          <w:spacing w:val="-3"/>
        </w:rPr>
        <w:t>and</w:t>
      </w:r>
    </w:p>
    <w:p w:rsidR="001D511B" w:rsidRDefault="001F74F3">
      <w:pPr>
        <w:pStyle w:val="ListParagraph"/>
        <w:numPr>
          <w:ilvl w:val="2"/>
          <w:numId w:val="2"/>
        </w:numPr>
        <w:tabs>
          <w:tab w:val="left" w:pos="1380"/>
        </w:tabs>
        <w:ind w:left="1380"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1D511B" w:rsidRDefault="001F74F3">
      <w:pPr>
        <w:pStyle w:val="BodyText"/>
        <w:ind w:left="1020"/>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1D511B" w:rsidRDefault="001D511B">
      <w:pPr>
        <w:pStyle w:val="BodyText"/>
        <w:spacing w:before="8"/>
        <w:rPr>
          <w:sz w:val="19"/>
        </w:rPr>
      </w:pPr>
    </w:p>
    <w:p w:rsidR="001D511B" w:rsidRDefault="001F74F3">
      <w:pPr>
        <w:pStyle w:val="ListParagraph"/>
        <w:numPr>
          <w:ilvl w:val="1"/>
          <w:numId w:val="2"/>
        </w:numPr>
        <w:tabs>
          <w:tab w:val="left" w:pos="1020"/>
        </w:tabs>
        <w:spacing w:before="0"/>
        <w:ind w:left="1019" w:right="117" w:hanging="449"/>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shall als</w:t>
      </w:r>
      <w:r>
        <w:rPr>
          <w:spacing w:val="-3"/>
        </w:rPr>
        <w:t xml:space="preserve">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1D511B" w:rsidRDefault="001F74F3">
      <w:pPr>
        <w:pStyle w:val="ListParagraph"/>
        <w:numPr>
          <w:ilvl w:val="2"/>
          <w:numId w:val="2"/>
        </w:numPr>
        <w:tabs>
          <w:tab w:val="left" w:pos="1380"/>
        </w:tabs>
        <w:ind w:left="1379"/>
      </w:pPr>
      <w:r>
        <w:rPr>
          <w:spacing w:val="-3"/>
        </w:rPr>
        <w:t xml:space="preserve">which accrues before entry </w:t>
      </w:r>
      <w:r>
        <w:t xml:space="preserve">of </w:t>
      </w:r>
      <w:r>
        <w:rPr>
          <w:spacing w:val="-3"/>
        </w:rPr>
        <w:t>judgment;</w:t>
      </w:r>
      <w:r>
        <w:rPr>
          <w:spacing w:val="-23"/>
        </w:rPr>
        <w:t xml:space="preserve"> </w:t>
      </w:r>
      <w:r>
        <w:rPr>
          <w:spacing w:val="-3"/>
        </w:rPr>
        <w:t>and</w:t>
      </w:r>
    </w:p>
    <w:p w:rsidR="001D511B" w:rsidRDefault="001F74F3">
      <w:pPr>
        <w:pStyle w:val="ListParagraph"/>
        <w:numPr>
          <w:ilvl w:val="2"/>
          <w:numId w:val="2"/>
        </w:numPr>
        <w:tabs>
          <w:tab w:val="left" w:pos="1380"/>
        </w:tabs>
        <w:ind w:left="1379"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court that par</w:t>
      </w:r>
      <w:r>
        <w:rPr>
          <w:spacing w:val="-3"/>
        </w:rPr>
        <w:t xml:space="preserve">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1D511B" w:rsidRDefault="001F74F3">
      <w:pPr>
        <w:pStyle w:val="BodyText"/>
        <w:ind w:left="1019"/>
      </w:pPr>
      <w:r>
        <w:t>Any such payment will be in addition to the CIP Coverage Sublimit.</w:t>
      </w:r>
    </w:p>
    <w:p w:rsidR="001D511B" w:rsidRDefault="001D511B">
      <w:pPr>
        <w:pStyle w:val="BodyText"/>
        <w:spacing w:before="8"/>
        <w:rPr>
          <w:sz w:val="19"/>
        </w:rPr>
      </w:pPr>
    </w:p>
    <w:p w:rsidR="001D511B" w:rsidRDefault="001F74F3">
      <w:pPr>
        <w:pStyle w:val="Heading1"/>
        <w:numPr>
          <w:ilvl w:val="0"/>
          <w:numId w:val="2"/>
        </w:numPr>
        <w:tabs>
          <w:tab w:val="left" w:pos="608"/>
        </w:tabs>
        <w:ind w:left="607" w:hanging="488"/>
      </w:pPr>
      <w:r>
        <w:t>CIP</w:t>
      </w:r>
      <w:r>
        <w:rPr>
          <w:spacing w:val="-3"/>
        </w:rPr>
        <w:t xml:space="preserve"> </w:t>
      </w:r>
      <w:r>
        <w:t>RETENTION</w:t>
      </w:r>
    </w:p>
    <w:p w:rsidR="001D511B" w:rsidRDefault="001F74F3">
      <w:pPr>
        <w:pStyle w:val="BodyText"/>
        <w:ind w:left="569" w:right="118"/>
        <w:jc w:val="both"/>
      </w:pPr>
      <w:r>
        <w:t xml:space="preserve">The </w:t>
      </w:r>
      <w:r>
        <w:rPr>
          <w:b/>
        </w:rPr>
        <w:t xml:space="preserve">insured </w:t>
      </w:r>
      <w:r>
        <w:t xml:space="preserve">shall be responsible for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 xml:space="preserve">we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1D511B" w:rsidRDefault="001D511B">
      <w:pPr>
        <w:pStyle w:val="BodyText"/>
        <w:spacing w:before="0"/>
        <w:rPr>
          <w:sz w:val="26"/>
        </w:rPr>
      </w:pPr>
    </w:p>
    <w:p w:rsidR="001D511B" w:rsidRDefault="001F74F3">
      <w:pPr>
        <w:pStyle w:val="BodyText"/>
        <w:spacing w:before="190"/>
        <w:ind w:left="1817" w:right="1639"/>
        <w:jc w:val="center"/>
      </w:pPr>
      <w:r>
        <w:t>All other terms and conditions of the policy remain the same.</w:t>
      </w:r>
    </w:p>
    <w:p w:rsidR="001D511B" w:rsidRDefault="001F74F3">
      <w:pPr>
        <w:pStyle w:val="BodyText"/>
        <w:ind w:left="1817" w:right="1637"/>
        <w:jc w:val="center"/>
      </w:pPr>
      <w:r>
        <w:t xml:space="preserve">© </w:t>
      </w:r>
      <w:proofErr w:type="spellStart"/>
      <w:r>
        <w:t>Chartis</w:t>
      </w:r>
      <w:proofErr w:type="spellEnd"/>
      <w:r>
        <w:t xml:space="preserve"> Inc.  All rights reserved.</w:t>
      </w:r>
    </w:p>
    <w:p w:rsidR="001D511B" w:rsidRDefault="001D511B">
      <w:pPr>
        <w:pStyle w:val="BodyText"/>
        <w:spacing w:before="0"/>
        <w:rPr>
          <w:sz w:val="20"/>
        </w:rPr>
      </w:pPr>
    </w:p>
    <w:p w:rsidR="001D511B" w:rsidRDefault="001D511B">
      <w:pPr>
        <w:pStyle w:val="BodyText"/>
        <w:spacing w:before="0"/>
        <w:rPr>
          <w:sz w:val="20"/>
        </w:rPr>
      </w:pPr>
    </w:p>
    <w:p w:rsidR="001D511B" w:rsidRDefault="001D511B">
      <w:pPr>
        <w:pStyle w:val="BodyText"/>
        <w:spacing w:before="0"/>
        <w:rPr>
          <w:sz w:val="20"/>
        </w:rPr>
      </w:pPr>
    </w:p>
    <w:p w:rsidR="001D511B" w:rsidRDefault="001D511B">
      <w:pPr>
        <w:pStyle w:val="BodyText"/>
        <w:spacing w:before="0"/>
        <w:rPr>
          <w:sz w:val="20"/>
        </w:rPr>
      </w:pPr>
    </w:p>
    <w:p w:rsidR="001D511B" w:rsidRDefault="001D511B">
      <w:pPr>
        <w:pStyle w:val="BodyText"/>
        <w:spacing w:before="0"/>
        <w:rPr>
          <w:sz w:val="20"/>
        </w:rPr>
      </w:pPr>
    </w:p>
    <w:p w:rsidR="001D511B" w:rsidRDefault="001D511B">
      <w:pPr>
        <w:pStyle w:val="BodyText"/>
        <w:spacing w:before="0"/>
        <w:rPr>
          <w:sz w:val="20"/>
        </w:rPr>
      </w:pPr>
    </w:p>
    <w:p w:rsidR="001D511B" w:rsidRDefault="001F74F3">
      <w:pPr>
        <w:pStyle w:val="BodyText"/>
        <w:spacing w:before="8"/>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1D511B" w:rsidRDefault="001F74F3">
      <w:pPr>
        <w:pStyle w:val="BodyText"/>
        <w:spacing w:before="0" w:line="238" w:lineRule="exact"/>
        <w:ind w:left="6059"/>
      </w:pPr>
      <w:r>
        <w:t>A</w:t>
      </w:r>
      <w:r>
        <w:t>uthorized Signature</w:t>
      </w:r>
    </w:p>
    <w:sectPr w:rsidR="001D511B">
      <w:pgSz w:w="12240" w:h="15840"/>
      <w:pgMar w:top="136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F74F3">
      <w:r>
        <w:separator/>
      </w:r>
    </w:p>
  </w:endnote>
  <w:endnote w:type="continuationSeparator" w:id="0">
    <w:p w:rsidR="00000000" w:rsidRDefault="001F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1B" w:rsidRDefault="001F74F3">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8.25pt;height:14.2pt;z-index:-7984;mso-position-horizontal-relative:page;mso-position-vertical-relative:page" filled="f" stroked="f">
          <v:textbox inset="0,0,0,0">
            <w:txbxContent>
              <w:p w:rsidR="001D511B" w:rsidRDefault="001F74F3">
                <w:pPr>
                  <w:spacing w:before="20"/>
                  <w:ind w:left="20"/>
                  <w:rPr>
                    <w:sz w:val="20"/>
                  </w:rPr>
                </w:pPr>
                <w:r>
                  <w:rPr>
                    <w:sz w:val="20"/>
                  </w:rPr>
                  <w:t>109968 (10/11)</w:t>
                </w:r>
              </w:p>
            </w:txbxContent>
          </v:textbox>
          <w10:wrap anchorx="page" anchory="page"/>
        </v:shape>
      </w:pict>
    </w:r>
    <w:r>
      <w:pict>
        <v:shape id="_x0000_s1025" type="#_x0000_t202" style="position:absolute;margin-left:287pt;margin-top:751.3pt;width:68.95pt;height:14.2pt;z-index:-7960;mso-position-horizontal-relative:page;mso-position-vertical-relative:page" filled="f" stroked="f">
          <v:textbox inset="0,0,0,0">
            <w:txbxContent>
              <w:p w:rsidR="001D511B" w:rsidRDefault="001F74F3">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3</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F74F3">
      <w:r>
        <w:separator/>
      </w:r>
    </w:p>
  </w:footnote>
  <w:footnote w:type="continuationSeparator" w:id="0">
    <w:p w:rsidR="00000000" w:rsidRDefault="001F74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E0985"/>
    <w:multiLevelType w:val="hybridMultilevel"/>
    <w:tmpl w:val="DD7A47F4"/>
    <w:lvl w:ilvl="0" w:tplc="B04AAE3C">
      <w:start w:val="1"/>
      <w:numFmt w:val="lowerLetter"/>
      <w:lvlText w:val="%1)"/>
      <w:lvlJc w:val="left"/>
      <w:pPr>
        <w:ind w:left="1640" w:hanging="361"/>
        <w:jc w:val="left"/>
      </w:pPr>
      <w:rPr>
        <w:rFonts w:ascii="Univers ATT" w:eastAsia="Univers ATT" w:hAnsi="Univers ATT" w:cs="Univers ATT" w:hint="default"/>
        <w:w w:val="99"/>
        <w:sz w:val="22"/>
        <w:szCs w:val="22"/>
      </w:rPr>
    </w:lvl>
    <w:lvl w:ilvl="1" w:tplc="B0BEF4BC">
      <w:numFmt w:val="bullet"/>
      <w:lvlText w:val="•"/>
      <w:lvlJc w:val="left"/>
      <w:pPr>
        <w:ind w:left="2444" w:hanging="361"/>
      </w:pPr>
      <w:rPr>
        <w:rFonts w:hint="default"/>
      </w:rPr>
    </w:lvl>
    <w:lvl w:ilvl="2" w:tplc="82046978">
      <w:numFmt w:val="bullet"/>
      <w:lvlText w:val="•"/>
      <w:lvlJc w:val="left"/>
      <w:pPr>
        <w:ind w:left="3248" w:hanging="361"/>
      </w:pPr>
      <w:rPr>
        <w:rFonts w:hint="default"/>
      </w:rPr>
    </w:lvl>
    <w:lvl w:ilvl="3" w:tplc="A5D44EF0">
      <w:numFmt w:val="bullet"/>
      <w:lvlText w:val="•"/>
      <w:lvlJc w:val="left"/>
      <w:pPr>
        <w:ind w:left="4052" w:hanging="361"/>
      </w:pPr>
      <w:rPr>
        <w:rFonts w:hint="default"/>
      </w:rPr>
    </w:lvl>
    <w:lvl w:ilvl="4" w:tplc="C8F6160C">
      <w:numFmt w:val="bullet"/>
      <w:lvlText w:val="•"/>
      <w:lvlJc w:val="left"/>
      <w:pPr>
        <w:ind w:left="4856" w:hanging="361"/>
      </w:pPr>
      <w:rPr>
        <w:rFonts w:hint="default"/>
      </w:rPr>
    </w:lvl>
    <w:lvl w:ilvl="5" w:tplc="4F04B4E0">
      <w:numFmt w:val="bullet"/>
      <w:lvlText w:val="•"/>
      <w:lvlJc w:val="left"/>
      <w:pPr>
        <w:ind w:left="5660" w:hanging="361"/>
      </w:pPr>
      <w:rPr>
        <w:rFonts w:hint="default"/>
      </w:rPr>
    </w:lvl>
    <w:lvl w:ilvl="6" w:tplc="894A67A4">
      <w:numFmt w:val="bullet"/>
      <w:lvlText w:val="•"/>
      <w:lvlJc w:val="left"/>
      <w:pPr>
        <w:ind w:left="6464" w:hanging="361"/>
      </w:pPr>
      <w:rPr>
        <w:rFonts w:hint="default"/>
      </w:rPr>
    </w:lvl>
    <w:lvl w:ilvl="7" w:tplc="991C4D20">
      <w:numFmt w:val="bullet"/>
      <w:lvlText w:val="•"/>
      <w:lvlJc w:val="left"/>
      <w:pPr>
        <w:ind w:left="7268" w:hanging="361"/>
      </w:pPr>
      <w:rPr>
        <w:rFonts w:hint="default"/>
      </w:rPr>
    </w:lvl>
    <w:lvl w:ilvl="8" w:tplc="5C48CDB0">
      <w:numFmt w:val="bullet"/>
      <w:lvlText w:val="•"/>
      <w:lvlJc w:val="left"/>
      <w:pPr>
        <w:ind w:left="8072" w:hanging="361"/>
      </w:pPr>
      <w:rPr>
        <w:rFonts w:hint="default"/>
      </w:rPr>
    </w:lvl>
  </w:abstractNum>
  <w:abstractNum w:abstractNumId="1">
    <w:nsid w:val="4C477313"/>
    <w:multiLevelType w:val="hybridMultilevel"/>
    <w:tmpl w:val="D048DB80"/>
    <w:lvl w:ilvl="0" w:tplc="3EE4026A">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0890CD14">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F482A2A4">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0EBEEBDE">
      <w:start w:val="1"/>
      <w:numFmt w:val="lowerRoman"/>
      <w:lvlText w:val="(%4)"/>
      <w:lvlJc w:val="left"/>
      <w:pPr>
        <w:ind w:left="1739" w:hanging="360"/>
        <w:jc w:val="left"/>
      </w:pPr>
      <w:rPr>
        <w:rFonts w:ascii="Univers ATT" w:eastAsia="Univers ATT" w:hAnsi="Univers ATT" w:cs="Univers ATT" w:hint="default"/>
        <w:spacing w:val="-1"/>
        <w:w w:val="99"/>
        <w:sz w:val="22"/>
        <w:szCs w:val="22"/>
      </w:rPr>
    </w:lvl>
    <w:lvl w:ilvl="4" w:tplc="22BE39D8">
      <w:numFmt w:val="bullet"/>
      <w:lvlText w:val="•"/>
      <w:lvlJc w:val="left"/>
      <w:pPr>
        <w:ind w:left="1160" w:hanging="360"/>
      </w:pPr>
      <w:rPr>
        <w:rFonts w:hint="default"/>
      </w:rPr>
    </w:lvl>
    <w:lvl w:ilvl="5" w:tplc="7338A41E">
      <w:numFmt w:val="bullet"/>
      <w:lvlText w:val="•"/>
      <w:lvlJc w:val="left"/>
      <w:pPr>
        <w:ind w:left="1180" w:hanging="360"/>
      </w:pPr>
      <w:rPr>
        <w:rFonts w:hint="default"/>
      </w:rPr>
    </w:lvl>
    <w:lvl w:ilvl="6" w:tplc="92684E22">
      <w:numFmt w:val="bullet"/>
      <w:lvlText w:val="•"/>
      <w:lvlJc w:val="left"/>
      <w:pPr>
        <w:ind w:left="1200" w:hanging="360"/>
      </w:pPr>
      <w:rPr>
        <w:rFonts w:hint="default"/>
      </w:rPr>
    </w:lvl>
    <w:lvl w:ilvl="7" w:tplc="BDD2CC2A">
      <w:numFmt w:val="bullet"/>
      <w:lvlText w:val="•"/>
      <w:lvlJc w:val="left"/>
      <w:pPr>
        <w:ind w:left="1280" w:hanging="360"/>
      </w:pPr>
      <w:rPr>
        <w:rFonts w:hint="default"/>
      </w:rPr>
    </w:lvl>
    <w:lvl w:ilvl="8" w:tplc="01685B88">
      <w:numFmt w:val="bullet"/>
      <w:lvlText w:val="•"/>
      <w:lvlJc w:val="left"/>
      <w:pPr>
        <w:ind w:left="13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1D511B"/>
    <w:rsid w:val="001D511B"/>
    <w:rsid w:val="001F7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4331</Words>
  <Characters>24692</Characters>
  <Application>Microsoft Office Word</Application>
  <DocSecurity>0</DocSecurity>
  <Lines>205</Lines>
  <Paragraphs>57</Paragraphs>
  <ScaleCrop>false</ScaleCrop>
  <Company>AIG</Company>
  <LinksUpToDate>false</LinksUpToDate>
  <CharactersWithSpaces>28966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MN-CIP Coverage Extension Endt-109968_10-11_ _2_.doc</dc:title>
  <dc:creator>mharry</dc:creator>
  <cp:lastModifiedBy>Martell, Elaine</cp:lastModifiedBy>
  <cp:revision>2</cp:revision>
  <dcterms:created xsi:type="dcterms:W3CDTF">2017-09-01T11:33:00Z</dcterms:created>
  <dcterms:modified xsi:type="dcterms:W3CDTF">2017-09-01T15:34:00Z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2011-10-19T00:00:00Z</vt:filetime>
  </property>
  <property fmtid="{D5CDD505-2E9C-101B-9397-08002B2CF9AE}" pid="3" name="Creator">
    <vt:lpwstr>PScript5.dll Version 5.2.2</vt:lpwstr>
  </property>
  <property fmtid="{D5CDD505-2E9C-101B-9397-08002B2CF9AE}" pid="4" name="LastSaved">
    <vt:filetime>2017-09-01T00:00:00Z</vt:filetime>
  </property>
</Properties>
</file>