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69"/>
        <w:ind w:left="3469" w:right="2568" w:hanging="1"/>
        <w:jc w:val="center"/>
      </w:pPr>
      <w:r>
        <w:rPr/>
        <w:pict>
          <v:line style="position:absolute;mso-position-horizontal-relative:page;mso-position-vertical-relative:page;z-index:-18160" from="309.059998pt,475.73999pt" to="309.059998pt,488.99999pt" stroked="true" strokeweight=".47998pt" strokecolor="#000000">
            <v:stroke dashstyle="solid"/>
            <w10:wrap type="none"/>
          </v:line>
        </w:pict>
      </w:r>
      <w:r>
        <w:rPr/>
        <w:t>AMERICAN HOME ASSURANCE COMPANY COMMERCE AND INDUSTRY INSURANCE COMPANY PSYCHOANALYSTS PROFESSIONAL LIABILITY VIRGINIA</w:t>
      </w: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spacing w:before="11"/>
        <w:rPr>
          <w:b/>
          <w:sz w:val="25"/>
        </w:rPr>
      </w:pPr>
    </w:p>
    <w:p>
      <w:pPr>
        <w:tabs>
          <w:tab w:pos="5860" w:val="left" w:leader="none"/>
          <w:tab w:pos="6581" w:val="left" w:leader="none"/>
        </w:tabs>
        <w:spacing w:before="0"/>
        <w:ind w:left="1540" w:right="870" w:hanging="720"/>
        <w:jc w:val="left"/>
        <w:rPr>
          <w:b/>
          <w:sz w:val="16"/>
        </w:rPr>
      </w:pPr>
      <w:r>
        <w:rPr>
          <w:b/>
          <w:sz w:val="16"/>
        </w:rPr>
        <w:t>I.</w:t>
      </w:r>
      <w:r>
        <w:rPr>
          <w:b/>
          <w:spacing w:val="-2"/>
          <w:sz w:val="16"/>
        </w:rPr>
        <w:t> </w:t>
      </w:r>
      <w:r>
        <w:rPr>
          <w:b/>
          <w:sz w:val="16"/>
        </w:rPr>
        <w:t>PSYCHOANALYSTS</w:t>
      </w:r>
      <w:r>
        <w:rPr>
          <w:b/>
          <w:spacing w:val="-2"/>
          <w:sz w:val="16"/>
        </w:rPr>
        <w:t> </w:t>
      </w:r>
      <w:r>
        <w:rPr>
          <w:b/>
          <w:sz w:val="16"/>
        </w:rPr>
        <w:t>PROFESSIONAL</w:t>
        <w:tab/>
        <w:t>II. SOCIAL WORKERS AND</w:t>
      </w:r>
      <w:r>
        <w:rPr>
          <w:b/>
          <w:spacing w:val="-7"/>
          <w:sz w:val="16"/>
        </w:rPr>
        <w:t> </w:t>
      </w:r>
      <w:r>
        <w:rPr>
          <w:b/>
          <w:sz w:val="16"/>
        </w:rPr>
        <w:t>OTHER</w:t>
      </w:r>
      <w:r>
        <w:rPr>
          <w:b/>
          <w:spacing w:val="-3"/>
          <w:sz w:val="16"/>
        </w:rPr>
        <w:t> </w:t>
      </w:r>
      <w:r>
        <w:rPr>
          <w:b/>
          <w:sz w:val="16"/>
        </w:rPr>
        <w:t>MENTAL</w:t>
      </w:r>
      <w:r>
        <w:rPr>
          <w:b/>
          <w:w w:val="99"/>
          <w:sz w:val="16"/>
        </w:rPr>
        <w:t> </w:t>
      </w:r>
      <w:r>
        <w:rPr>
          <w:b/>
          <w:sz w:val="16"/>
        </w:rPr>
        <w:t>LIABILITY</w:t>
      </w:r>
      <w:r>
        <w:rPr>
          <w:b/>
          <w:spacing w:val="-2"/>
          <w:sz w:val="16"/>
        </w:rPr>
        <w:t> </w:t>
      </w:r>
      <w:r>
        <w:rPr>
          <w:b/>
          <w:sz w:val="16"/>
        </w:rPr>
        <w:t>RATES</w:t>
        <w:tab/>
        <w:tab/>
        <w:t>HEALTH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PROFESSIONALS</w:t>
      </w:r>
    </w:p>
    <w:p>
      <w:pPr>
        <w:pStyle w:val="BodyText"/>
        <w:spacing w:before="9"/>
        <w:rPr>
          <w:b/>
          <w:sz w:val="12"/>
        </w:rPr>
      </w:pPr>
      <w:r>
        <w:rPr/>
        <w:pict>
          <v:shape style="position:absolute;margin-left:57.360001pt;margin-top:9.39885pt;width:221.35pt;height:447.75pt;mso-position-horizontal-relative:page;mso-position-vertical-relative:paragraph;z-index: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730"/>
                    <w:gridCol w:w="1682"/>
                  </w:tblGrid>
                  <w:tr>
                    <w:trPr>
                      <w:trHeight w:val="265" w:hRule="exact"/>
                    </w:trPr>
                    <w:tc>
                      <w:tcPr>
                        <w:tcW w:w="2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500" w:right="585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LIMITS OF LIABILITY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583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RATE</w:t>
                        </w:r>
                      </w:p>
                    </w:tc>
                  </w:tr>
                  <w:tr>
                    <w:trPr>
                      <w:trHeight w:val="296" w:hRule="exact"/>
                    </w:trPr>
                    <w:tc>
                      <w:tcPr>
                        <w:tcW w:w="2730" w:type="dxa"/>
                        <w:tcBorders>
                          <w:top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481"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$200,000\$600,000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2,476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$1,000,000\$1,000,000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3,368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$1,000,000\$3,000,000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3,689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$2,000,000\$2,000,000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3,986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$2,000,000\$3,000,000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4,096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$2,000,000\$4,000,000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4,207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$2,000,000\$5,000,000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4,318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$2,000,000\$6,000,000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4,428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$2,050,000\$6,150,000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4,452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$2,100,000\$6,300,000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4,473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$2,150,000\$6,450,000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4,491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$2,200,000\$6,600,000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4,512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$2,250,000\$6,750,000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4,530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$2,300,000\$6,900,000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4,547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$2,350,000\$7,050,000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4,565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$2,400,000\$7,200,000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4,583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$2,450,000\$7,350,000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4,597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$2,500,000\$7,500,000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4,611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$2,550,000\$7,650,000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4,625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$2,600,000\$7,800,000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4,639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$2,650,000\$7,950,000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4,653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$2,700,000\$8,100,000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4,667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$2,750,000\$8,250,000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4,678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$2,800,000\$8,400,000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4,689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$2,850,000\$8,550,000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4,703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$2,900,000\$8,700,000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4,713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$2,950,000\$8,850,000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4,724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$3,000,000\$3,000,000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4,426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$3,000,000\$4,000,000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4,537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$3,000,000\$5,000,000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4,647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$3,000,000\$9,000,000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4,734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$4,000,000\$4,000,000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4,772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$4,000,000\$5,000,000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4,883</w:t>
                        </w:r>
                      </w:p>
                    </w:tc>
                  </w:tr>
                  <w:tr>
                    <w:trPr>
                      <w:trHeight w:val="224" w:hRule="exact"/>
                    </w:trPr>
                    <w:tc>
                      <w:tcPr>
                        <w:tcW w:w="2730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$5,000,000\$5,000,000</w:t>
                        </w:r>
                      </w:p>
                    </w:tc>
                    <w:tc>
                      <w:tcPr>
                        <w:tcW w:w="1682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left="5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5,072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308.819977pt;margin-top:9.338851pt;width:221.35pt;height:333pt;mso-position-horizontal-relative:page;mso-position-vertical-relative:paragraph;z-index: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730"/>
                    <w:gridCol w:w="1682"/>
                  </w:tblGrid>
                  <w:tr>
                    <w:trPr>
                      <w:trHeight w:val="265" w:hRule="exact"/>
                    </w:trPr>
                    <w:tc>
                      <w:tcPr>
                        <w:tcW w:w="2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500" w:right="585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LIMITS OF LIABILITY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563" w:right="637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RATE</w:t>
                        </w:r>
                      </w:p>
                    </w:tc>
                  </w:tr>
                  <w:tr>
                    <w:trPr>
                      <w:trHeight w:val="296" w:hRule="exact"/>
                    </w:trPr>
                    <w:tc>
                      <w:tcPr>
                        <w:tcW w:w="2730" w:type="dxa"/>
                        <w:tcBorders>
                          <w:top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$1,000,000\$1,000,000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262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$1,000,000\$3,000,000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299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$1,000,000\$4,000,000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311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$2,000,000\$2,000,000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305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$2,000,000\$4,000,000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318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$2,050,000\$6,150,000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325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$2,100,000\$6,300,000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327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$2,150,000\$6,450,000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328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$2,200,000\$6,600,000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330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$2,250,000\$6,750,000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331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$2,300,000\$6,900,000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332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$2,350,000\$7,050,000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334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$2,400,000\$7,200,000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335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$2,450,000\$7,350,000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336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$2,500,000\$7,500,000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337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$2,550,000\$7,650,000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338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$2,600,000\$7,800,000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339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$2,650,000\$7,950,000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340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$2,700,000\$8,100,000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341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$2,750,000\$8,250,000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342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$2,800,000\$8,400,000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343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$2,850,000\$8,550,000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344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$2,900,000\$8,700,000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spacing w:before="33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345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2730" w:type="dxa"/>
                      </w:tcPr>
                      <w:p>
                        <w:pPr>
                          <w:pStyle w:val="TableParagraph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$2,950,000\$8,850,000</w:t>
                        </w:r>
                      </w:p>
                    </w:tc>
                    <w:tc>
                      <w:tcPr>
                        <w:tcW w:w="1682" w:type="dxa"/>
                      </w:tcPr>
                      <w:p>
                        <w:pPr>
                          <w:pStyle w:val="TableParagraph"/>
                          <w:ind w:left="647" w:right="7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345</w:t>
                        </w:r>
                      </w:p>
                    </w:tc>
                  </w:tr>
                  <w:tr>
                    <w:trPr>
                      <w:trHeight w:val="225" w:hRule="exact"/>
                    </w:trPr>
                    <w:tc>
                      <w:tcPr>
                        <w:tcW w:w="2730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5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$3,000,000\$9,000,000</w:t>
                        </w:r>
                      </w:p>
                    </w:tc>
                    <w:tc>
                      <w:tcPr>
                        <w:tcW w:w="1682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left="562" w:right="63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346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</w:p>
    <w:p>
      <w:pPr>
        <w:spacing w:after="0"/>
        <w:rPr>
          <w:sz w:val="12"/>
        </w:rPr>
        <w:sectPr>
          <w:footerReference w:type="default" r:id="rId5"/>
          <w:type w:val="continuous"/>
          <w:pgSz w:w="12240" w:h="15840"/>
          <w:pgMar w:footer="739" w:top="840" w:bottom="920" w:left="620" w:right="152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879" w:val="left" w:leader="none"/>
          <w:tab w:pos="881" w:val="left" w:leader="none"/>
        </w:tabs>
        <w:spacing w:line="184" w:lineRule="exact" w:before="77" w:after="0"/>
        <w:ind w:left="880" w:right="0" w:hanging="720"/>
        <w:jc w:val="left"/>
        <w:rPr>
          <w:b/>
          <w:sz w:val="16"/>
        </w:rPr>
      </w:pPr>
      <w:r>
        <w:rPr>
          <w:b/>
          <w:sz w:val="16"/>
        </w:rPr>
        <w:t>SCHOOL/INSTITUTE/SOCIETY</w:t>
      </w:r>
      <w:r>
        <w:rPr>
          <w:b/>
          <w:spacing w:val="-5"/>
          <w:sz w:val="16"/>
        </w:rPr>
        <w:t> </w:t>
      </w:r>
      <w:r>
        <w:rPr>
          <w:b/>
          <w:sz w:val="16"/>
        </w:rPr>
        <w:t>RATES</w:t>
      </w:r>
    </w:p>
    <w:p>
      <w:pPr>
        <w:pStyle w:val="ListParagraph"/>
        <w:numPr>
          <w:ilvl w:val="1"/>
          <w:numId w:val="1"/>
        </w:numPr>
        <w:tabs>
          <w:tab w:pos="879" w:val="left" w:leader="none"/>
          <w:tab w:pos="880" w:val="left" w:leader="none"/>
        </w:tabs>
        <w:spacing w:line="240" w:lineRule="auto" w:before="0" w:after="4"/>
        <w:ind w:left="880" w:right="0" w:hanging="360"/>
        <w:jc w:val="left"/>
        <w:rPr>
          <w:b/>
          <w:sz w:val="16"/>
        </w:rPr>
      </w:pPr>
      <w:r>
        <w:rPr>
          <w:b/>
          <w:sz w:val="16"/>
        </w:rPr>
        <w:t>SCHOOL/INSTITUTE</w:t>
      </w:r>
    </w:p>
    <w:tbl>
      <w:tblPr>
        <w:tblW w:w="0" w:type="auto"/>
        <w:jc w:val="left"/>
        <w:tblInd w:w="2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00"/>
        <w:gridCol w:w="3649"/>
      </w:tblGrid>
      <w:tr>
        <w:trPr>
          <w:trHeight w:val="520" w:hRule="exact"/>
        </w:trPr>
        <w:tc>
          <w:tcPr>
            <w:tcW w:w="2900" w:type="dxa"/>
          </w:tcPr>
          <w:p>
            <w:pPr>
              <w:pStyle w:val="TableParagraph"/>
              <w:spacing w:before="69"/>
              <w:ind w:left="645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3649" w:type="dxa"/>
          </w:tcPr>
          <w:p>
            <w:pPr>
              <w:pStyle w:val="TableParagraph"/>
              <w:spacing w:line="331" w:lineRule="auto" w:before="69"/>
              <w:ind w:left="1033" w:right="1013" w:firstLine="73"/>
              <w:rPr>
                <w:b/>
                <w:sz w:val="16"/>
              </w:rPr>
            </w:pPr>
            <w:r>
              <w:rPr>
                <w:b/>
                <w:sz w:val="16"/>
              </w:rPr>
              <w:t>RATES BASED ON OUTPATIENT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spacing w:before="69"/>
              <w:ind w:left="755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4"/>
              <w:rPr>
                <w:sz w:val="16"/>
              </w:rPr>
            </w:pPr>
            <w:r>
              <w:rPr>
                <w:sz w:val="16"/>
              </w:rPr>
              <w:t>0.509 first 5,000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0.407 next 3,000 visits</w:t>
            </w:r>
          </w:p>
        </w:tc>
      </w:tr>
      <w:tr>
        <w:trPr>
          <w:trHeight w:val="264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0.367 next 8000 visits and over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spacing w:before="69"/>
              <w:ind w:left="755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4"/>
              <w:rPr>
                <w:sz w:val="16"/>
              </w:rPr>
            </w:pPr>
            <w:r>
              <w:rPr>
                <w:sz w:val="16"/>
              </w:rPr>
              <w:t>0.652 first 5,000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0.521 next 3,000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0.469 next 8000 visits and over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spacing w:before="69"/>
              <w:ind w:left="622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4"/>
              <w:rPr>
                <w:sz w:val="16"/>
              </w:rPr>
            </w:pPr>
            <w:r>
              <w:rPr>
                <w:sz w:val="16"/>
              </w:rPr>
              <w:t>0.754 first 5,000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0.603 next 3,000 visits</w:t>
            </w:r>
          </w:p>
        </w:tc>
      </w:tr>
      <w:tr>
        <w:trPr>
          <w:trHeight w:val="264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0.543 next 8000 visits and over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spacing w:before="69"/>
              <w:ind w:left="622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4"/>
              <w:rPr>
                <w:sz w:val="16"/>
              </w:rPr>
            </w:pPr>
            <w:r>
              <w:rPr>
                <w:sz w:val="16"/>
              </w:rPr>
              <w:t>1.240 first 5,000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0.992 next 3,000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0.893 next 8000 visits and over</w:t>
            </w:r>
          </w:p>
        </w:tc>
      </w:tr>
    </w:tbl>
    <w:p>
      <w:pPr>
        <w:pStyle w:val="BodyText"/>
        <w:spacing w:before="9"/>
        <w:rPr>
          <w:b/>
          <w:sz w:val="15"/>
        </w:rPr>
      </w:pPr>
    </w:p>
    <w:p>
      <w:pPr>
        <w:pStyle w:val="BodyText"/>
        <w:tabs>
          <w:tab w:pos="3396" w:val="left" w:leader="none"/>
        </w:tabs>
        <w:spacing w:line="184" w:lineRule="exact" w:before="1"/>
        <w:ind w:left="880"/>
      </w:pPr>
      <w:r>
        <w:rPr/>
        <w:t>Minimum Policy</w:t>
      </w:r>
      <w:r>
        <w:rPr>
          <w:spacing w:val="-4"/>
        </w:rPr>
        <w:t> </w:t>
      </w:r>
      <w:r>
        <w:rPr/>
        <w:t>Premium</w:t>
      </w:r>
      <w:r>
        <w:rPr>
          <w:spacing w:val="-1"/>
        </w:rPr>
        <w:t> </w:t>
      </w:r>
      <w:r>
        <w:rPr/>
        <w:t>-</w:t>
        <w:tab/>
        <w:t>$750 for</w:t>
      </w:r>
      <w:r>
        <w:rPr>
          <w:spacing w:val="-3"/>
        </w:rPr>
        <w:t> </w:t>
      </w:r>
      <w:r>
        <w:rPr/>
        <w:t>$1,000,000/$1,000,000</w:t>
      </w:r>
    </w:p>
    <w:p>
      <w:pPr>
        <w:pStyle w:val="BodyText"/>
        <w:ind w:left="3400"/>
      </w:pPr>
      <w:r>
        <w:rPr/>
        <w:t>$1,000 for $1,000,000/$3,000,000</w:t>
      </w:r>
    </w:p>
    <w:p>
      <w:pPr>
        <w:pStyle w:val="BodyText"/>
      </w:pPr>
    </w:p>
    <w:p>
      <w:pPr>
        <w:pStyle w:val="Heading1"/>
        <w:numPr>
          <w:ilvl w:val="1"/>
          <w:numId w:val="1"/>
        </w:numPr>
        <w:tabs>
          <w:tab w:pos="880" w:val="left" w:leader="none"/>
          <w:tab w:pos="881" w:val="left" w:leader="none"/>
        </w:tabs>
        <w:spacing w:line="240" w:lineRule="auto" w:before="0" w:after="0"/>
        <w:ind w:left="880" w:right="0" w:hanging="360"/>
        <w:jc w:val="left"/>
      </w:pPr>
      <w:r>
        <w:rPr/>
        <w:t>SOCIETIES</w:t>
      </w:r>
    </w:p>
    <w:p>
      <w:pPr>
        <w:pStyle w:val="BodyText"/>
        <w:ind w:left="3655"/>
        <w:rPr>
          <w:sz w:val="20"/>
        </w:rPr>
      </w:pPr>
      <w:r>
        <w:rPr>
          <w:sz w:val="20"/>
        </w:rPr>
        <w:pict>
          <v:group style="width:190.4pt;height:53pt;mso-position-horizontal-relative:char;mso-position-vertical-relative:line" coordorigin="0,0" coordsize="3808,1060">
            <v:line style="position:absolute" from="5,10" to="3803,10" stroked="true" strokeweight=".47998pt" strokecolor="#000000">
              <v:stroke dashstyle="solid"/>
            </v:line>
            <v:line style="position:absolute" from="5,275" to="3803,275" stroked="true" strokeweight=".47998pt" strokecolor="#000000">
              <v:stroke dashstyle="solid"/>
            </v:line>
            <v:line style="position:absolute" from="10,5" to="10,1055" stroked="true" strokeweight=".48pt" strokecolor="#000000">
              <v:stroke dashstyle="solid"/>
            </v:line>
            <v:line style="position:absolute" from="5,1050" to="2512,1050" stroked="true" strokeweight=".47998pt" strokecolor="#000000">
              <v:stroke dashstyle="solid"/>
            </v:line>
            <v:line style="position:absolute" from="2497,1050" to="3793,1050" stroked="true" strokeweight=".47998pt" strokecolor="#000000">
              <v:stroke dashstyle="solid"/>
            </v:line>
            <v:line style="position:absolute" from="3798,5" to="3798,1055" stroked="true" strokeweight=".48001pt" strokecolor="#000000">
              <v:stroke dashstyle="solid"/>
            </v:line>
            <v:shape style="position:absolute;left:461;top:90;width:1621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LIMITS OF LIABILITY</w:t>
                    </w:r>
                  </w:p>
                </w:txbxContent>
              </v:textbox>
              <w10:wrap type="none"/>
            </v:shape>
            <v:shape style="position:absolute;left:2780;top:90;width:77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PREMIUM</w:t>
                    </w:r>
                  </w:p>
                </w:txbxContent>
              </v:textbox>
              <w10:wrap type="none"/>
            </v:shape>
            <v:shape style="position:absolute;left:438;top:355;width:1666;height:688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22" w:right="4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$500,000/$500,000</w:t>
                    </w:r>
                  </w:p>
                  <w:p>
                    <w:pPr>
                      <w:spacing w:before="70"/>
                      <w:ind w:left="22" w:right="4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$1,000,000/$1,000,000</w:t>
                    </w:r>
                  </w:p>
                  <w:p>
                    <w:pPr>
                      <w:spacing w:before="70"/>
                      <w:ind w:left="22" w:right="4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$1,000,000/$3,000,000</w:t>
                    </w:r>
                  </w:p>
                </w:txbxContent>
              </v:textbox>
              <w10:wrap type="none"/>
            </v:shape>
            <v:shape style="position:absolute;left:3021;top:355;width:287;height:688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345</w:t>
                    </w:r>
                  </w:p>
                  <w:p>
                    <w:pPr>
                      <w:spacing w:before="7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530</w:t>
                    </w:r>
                  </w:p>
                  <w:p>
                    <w:pPr>
                      <w:spacing w:before="7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796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2"/>
        <w:rPr>
          <w:b/>
          <w:sz w:val="20"/>
        </w:rPr>
      </w:pPr>
    </w:p>
    <w:p>
      <w:pPr>
        <w:pStyle w:val="ListParagraph"/>
        <w:numPr>
          <w:ilvl w:val="0"/>
          <w:numId w:val="1"/>
        </w:numPr>
        <w:tabs>
          <w:tab w:pos="880" w:val="left" w:leader="none"/>
          <w:tab w:pos="881" w:val="left" w:leader="none"/>
        </w:tabs>
        <w:spacing w:line="184" w:lineRule="exact" w:before="95" w:after="0"/>
        <w:ind w:left="880" w:right="0" w:hanging="720"/>
        <w:jc w:val="left"/>
        <w:rPr>
          <w:b/>
          <w:sz w:val="16"/>
        </w:rPr>
      </w:pPr>
      <w:r>
        <w:rPr>
          <w:b/>
          <w:sz w:val="16"/>
        </w:rPr>
        <w:t>ADDITIONAL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COVERAGES</w:t>
      </w:r>
    </w:p>
    <w:p>
      <w:pPr>
        <w:pStyle w:val="BodyText"/>
        <w:spacing w:line="184" w:lineRule="exact"/>
        <w:ind w:left="1600"/>
      </w:pPr>
      <w:r>
        <w:rPr/>
        <w:t>ECT - Electroconvulsive Therapy Coverage - An additional charge of 25%</w:t>
      </w:r>
    </w:p>
    <w:p>
      <w:pPr>
        <w:pStyle w:val="BodyText"/>
        <w:ind w:left="1600"/>
      </w:pPr>
      <w:r>
        <w:rPr/>
        <w:t>Part-Time Psychoanalysts- 50% for psychoanalysts practicing 20 hours or less per week</w:t>
      </w: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879" w:val="left" w:leader="none"/>
          <w:tab w:pos="880" w:val="left" w:leader="none"/>
        </w:tabs>
        <w:spacing w:line="184" w:lineRule="exact" w:before="0" w:after="0"/>
        <w:ind w:left="879" w:right="0" w:hanging="719"/>
        <w:jc w:val="left"/>
      </w:pPr>
      <w:r>
        <w:rPr/>
        <w:t>ADDITONAL INSURED</w:t>
      </w:r>
      <w:r>
        <w:rPr>
          <w:spacing w:val="-8"/>
        </w:rPr>
        <w:t> </w:t>
      </w:r>
      <w:r>
        <w:rPr/>
        <w:t>CHARGES:</w:t>
      </w:r>
    </w:p>
    <w:p>
      <w:pPr>
        <w:pStyle w:val="BodyText"/>
        <w:spacing w:line="184" w:lineRule="exact"/>
        <w:ind w:left="1600"/>
      </w:pPr>
      <w:r>
        <w:rPr/>
        <w:t>Landlord: 20% of the policy premium</w:t>
      </w:r>
    </w:p>
    <w:p>
      <w:pPr>
        <w:pStyle w:val="BodyText"/>
        <w:ind w:left="1600"/>
      </w:pPr>
      <w:r>
        <w:rPr/>
        <w:t>Corporation with Other Employees: 40% of the policy premium</w:t>
      </w:r>
    </w:p>
    <w:p>
      <w:pPr>
        <w:pStyle w:val="BodyText"/>
        <w:ind w:left="1600"/>
      </w:pPr>
      <w:r>
        <w:rPr/>
        <w:t>Additional Insured: 20% of the policy premium. Only applies to School/Institute/Society</w:t>
      </w:r>
    </w:p>
    <w:p>
      <w:pPr>
        <w:pStyle w:val="BodyText"/>
        <w:spacing w:before="10"/>
        <w:rPr>
          <w:sz w:val="15"/>
        </w:rPr>
      </w:pPr>
    </w:p>
    <w:p>
      <w:pPr>
        <w:pStyle w:val="Heading1"/>
        <w:numPr>
          <w:ilvl w:val="0"/>
          <w:numId w:val="1"/>
        </w:numPr>
        <w:tabs>
          <w:tab w:pos="880" w:val="left" w:leader="none"/>
          <w:tab w:pos="881" w:val="left" w:leader="none"/>
        </w:tabs>
        <w:spacing w:line="240" w:lineRule="auto" w:before="0" w:after="6"/>
        <w:ind w:left="880" w:right="0" w:hanging="720"/>
        <w:jc w:val="left"/>
      </w:pPr>
      <w:r>
        <w:rPr/>
        <w:t>ADMINISTRATIVE</w:t>
      </w:r>
      <w:r>
        <w:rPr>
          <w:spacing w:val="-9"/>
        </w:rPr>
        <w:t> </w:t>
      </w:r>
      <w:r>
        <w:rPr/>
        <w:t>HEARING</w:t>
      </w:r>
    </w:p>
    <w:tbl>
      <w:tblPr>
        <w:tblW w:w="0" w:type="auto"/>
        <w:jc w:val="left"/>
        <w:tblInd w:w="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00"/>
        <w:gridCol w:w="840"/>
        <w:gridCol w:w="4668"/>
      </w:tblGrid>
      <w:tr>
        <w:trPr>
          <w:trHeight w:val="181" w:hRule="exact"/>
        </w:trPr>
        <w:tc>
          <w:tcPr>
            <w:tcW w:w="4700" w:type="dxa"/>
          </w:tcPr>
          <w:p>
            <w:pPr>
              <w:pStyle w:val="TableParagraph"/>
              <w:spacing w:line="178" w:lineRule="exact" w:before="0"/>
              <w:ind w:left="2209"/>
              <w:rPr>
                <w:b/>
                <w:sz w:val="16"/>
              </w:rPr>
            </w:pPr>
            <w:r>
              <w:rPr>
                <w:b/>
                <w:sz w:val="16"/>
              </w:rPr>
              <w:t>INCREASED LIMITS</w:t>
            </w:r>
          </w:p>
        </w:tc>
        <w:tc>
          <w:tcPr>
            <w:tcW w:w="5508" w:type="dxa"/>
            <w:gridSpan w:val="2"/>
          </w:tcPr>
          <w:p>
            <w:pPr>
              <w:pStyle w:val="TableParagraph"/>
              <w:spacing w:line="178" w:lineRule="exact" w:before="0"/>
              <w:ind w:left="1830"/>
              <w:rPr>
                <w:b/>
                <w:sz w:val="16"/>
              </w:rPr>
            </w:pPr>
            <w:r>
              <w:rPr>
                <w:b/>
                <w:sz w:val="16"/>
              </w:rPr>
              <w:t>RATE</w:t>
            </w:r>
          </w:p>
        </w:tc>
      </w:tr>
      <w:tr>
        <w:trPr>
          <w:trHeight w:val="184" w:hRule="exact"/>
        </w:trPr>
        <w:tc>
          <w:tcPr>
            <w:tcW w:w="4700" w:type="dxa"/>
          </w:tcPr>
          <w:p>
            <w:pPr>
              <w:pStyle w:val="TableParagraph"/>
              <w:spacing w:line="181" w:lineRule="exact" w:before="0"/>
              <w:ind w:left="2822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5508" w:type="dxa"/>
            <w:gridSpan w:val="2"/>
          </w:tcPr>
          <w:p>
            <w:pPr>
              <w:pStyle w:val="TableParagraph"/>
              <w:spacing w:line="181" w:lineRule="exact" w:before="0"/>
              <w:ind w:left="1830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184" w:hRule="exact"/>
        </w:trPr>
        <w:tc>
          <w:tcPr>
            <w:tcW w:w="4700" w:type="dxa"/>
          </w:tcPr>
          <w:p>
            <w:pPr>
              <w:pStyle w:val="TableParagraph"/>
              <w:spacing w:line="181" w:lineRule="exact" w:before="0"/>
              <w:ind w:left="2822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5508" w:type="dxa"/>
            <w:gridSpan w:val="2"/>
          </w:tcPr>
          <w:p>
            <w:pPr>
              <w:pStyle w:val="TableParagraph"/>
              <w:spacing w:line="181" w:lineRule="exact" w:before="0"/>
              <w:ind w:left="1830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  <w:tr>
        <w:trPr>
          <w:trHeight w:val="276" w:hRule="exact"/>
        </w:trPr>
        <w:tc>
          <w:tcPr>
            <w:tcW w:w="4700" w:type="dxa"/>
          </w:tcPr>
          <w:p>
            <w:pPr>
              <w:pStyle w:val="TableParagraph"/>
              <w:spacing w:line="182" w:lineRule="exact" w:before="0"/>
              <w:ind w:left="2820"/>
              <w:rPr>
                <w:sz w:val="16"/>
              </w:rPr>
            </w:pPr>
            <w:r>
              <w:rPr>
                <w:sz w:val="16"/>
              </w:rPr>
              <w:t>$50,000</w:t>
            </w:r>
          </w:p>
        </w:tc>
        <w:tc>
          <w:tcPr>
            <w:tcW w:w="5508" w:type="dxa"/>
            <w:gridSpan w:val="2"/>
          </w:tcPr>
          <w:p>
            <w:pPr>
              <w:pStyle w:val="TableParagraph"/>
              <w:spacing w:line="182" w:lineRule="exact" w:before="0"/>
              <w:ind w:left="1830"/>
              <w:rPr>
                <w:sz w:val="16"/>
              </w:rPr>
            </w:pPr>
            <w:r>
              <w:rPr>
                <w:sz w:val="16"/>
              </w:rPr>
              <w:t>$835</w:t>
            </w:r>
          </w:p>
        </w:tc>
      </w:tr>
      <w:tr>
        <w:trPr>
          <w:trHeight w:val="794" w:hRule="exact"/>
        </w:trPr>
        <w:tc>
          <w:tcPr>
            <w:tcW w:w="4700" w:type="dxa"/>
          </w:tcPr>
          <w:p>
            <w:pPr>
              <w:pStyle w:val="TableParagraph"/>
              <w:tabs>
                <w:tab w:pos="769" w:val="left" w:leader="none"/>
              </w:tabs>
              <w:spacing w:line="319" w:lineRule="auto" w:before="89"/>
              <w:ind w:left="770" w:right="79" w:hanging="720"/>
              <w:rPr>
                <w:b/>
                <w:sz w:val="16"/>
              </w:rPr>
            </w:pPr>
            <w:r>
              <w:rPr>
                <w:b/>
                <w:sz w:val="16"/>
              </w:rPr>
              <w:t>VII.</w:t>
              <w:tab/>
              <w:t>CORPORATE IDENTITY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z w:val="16"/>
              </w:rPr>
              <w:t>PROTECTION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COVERAGE</w:t>
            </w:r>
            <w:r>
              <w:rPr>
                <w:b/>
                <w:w w:val="99"/>
                <w:sz w:val="16"/>
              </w:rPr>
              <w:t> </w:t>
            </w:r>
            <w:r>
              <w:rPr>
                <w:b/>
                <w:sz w:val="16"/>
              </w:rPr>
              <w:t>Increased Limit Option</w:t>
            </w:r>
            <w:r>
              <w:rPr>
                <w:b/>
                <w:spacing w:val="-19"/>
                <w:sz w:val="16"/>
              </w:rPr>
              <w:t> </w:t>
            </w:r>
            <w:r>
              <w:rPr>
                <w:b/>
                <w:sz w:val="16"/>
              </w:rPr>
              <w:t>1:</w:t>
            </w:r>
          </w:p>
          <w:p>
            <w:pPr>
              <w:pStyle w:val="TableParagraph"/>
              <w:spacing w:before="0"/>
              <w:ind w:left="770"/>
              <w:rPr>
                <w:sz w:val="16"/>
              </w:rPr>
            </w:pPr>
            <w:r>
              <w:rPr>
                <w:sz w:val="16"/>
              </w:rPr>
              <w:t>CIP Coverage Sublimit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ind w:left="0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0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ind w:left="0"/>
              <w:rPr>
                <w:b/>
                <w:sz w:val="14"/>
              </w:rPr>
            </w:pPr>
          </w:p>
          <w:p>
            <w:pPr>
              <w:pStyle w:val="TableParagraph"/>
              <w:spacing w:before="0"/>
              <w:ind w:left="0" w:right="8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668" w:type="dxa"/>
          </w:tcPr>
          <w:p>
            <w:pPr/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spacing w:before="27"/>
              <w:ind w:left="1490"/>
              <w:rPr>
                <w:sz w:val="16"/>
              </w:rPr>
            </w:pPr>
            <w:r>
              <w:rPr>
                <w:sz w:val="16"/>
              </w:rPr>
              <w:t>a. Personal Identity Liability Sublimit</w:t>
            </w:r>
          </w:p>
        </w:tc>
        <w:tc>
          <w:tcPr>
            <w:tcW w:w="840" w:type="dxa"/>
          </w:tcPr>
          <w:p>
            <w:pPr>
              <w:pStyle w:val="TableParagraph"/>
              <w:spacing w:before="27"/>
              <w:ind w:left="0"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668" w:type="dxa"/>
          </w:tcPr>
          <w:p>
            <w:pPr>
              <w:pStyle w:val="TableParagraph"/>
              <w:spacing w:before="27"/>
              <w:ind w:left="90"/>
              <w:rPr>
                <w:sz w:val="16"/>
              </w:rPr>
            </w:pPr>
            <w:r>
              <w:rPr>
                <w:sz w:val="16"/>
              </w:rPr>
              <w:t>for all personal identity events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spacing w:before="27"/>
              <w:ind w:left="1490"/>
              <w:rPr>
                <w:sz w:val="16"/>
              </w:rPr>
            </w:pPr>
            <w:r>
              <w:rPr>
                <w:sz w:val="16"/>
              </w:rPr>
              <w:t>b. Administrative Action Sublimit</w:t>
            </w:r>
          </w:p>
        </w:tc>
        <w:tc>
          <w:tcPr>
            <w:tcW w:w="840" w:type="dxa"/>
          </w:tcPr>
          <w:p>
            <w:pPr>
              <w:pStyle w:val="TableParagraph"/>
              <w:spacing w:before="27"/>
              <w:ind w:left="0"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668" w:type="dxa"/>
          </w:tcPr>
          <w:p>
            <w:pPr>
              <w:pStyle w:val="TableParagraph"/>
              <w:spacing w:before="27"/>
              <w:ind w:left="90"/>
              <w:rPr>
                <w:sz w:val="16"/>
              </w:rPr>
            </w:pPr>
            <w:r>
              <w:rPr>
                <w:sz w:val="16"/>
              </w:rPr>
              <w:t>for all administrative expenses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spacing w:before="27"/>
              <w:ind w:left="1490"/>
              <w:rPr>
                <w:sz w:val="16"/>
              </w:rPr>
            </w:pPr>
            <w:r>
              <w:rPr>
                <w:sz w:val="16"/>
              </w:rPr>
              <w:t>c. Identity Event Services Sublimit</w:t>
            </w:r>
          </w:p>
        </w:tc>
        <w:tc>
          <w:tcPr>
            <w:tcW w:w="840" w:type="dxa"/>
          </w:tcPr>
          <w:p>
            <w:pPr>
              <w:pStyle w:val="TableParagraph"/>
              <w:spacing w:before="27"/>
              <w:ind w:left="0"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668" w:type="dxa"/>
          </w:tcPr>
          <w:p>
            <w:pPr>
              <w:pStyle w:val="TableParagraph"/>
              <w:spacing w:before="27"/>
              <w:ind w:left="90"/>
              <w:rPr>
                <w:sz w:val="16"/>
              </w:rPr>
            </w:pPr>
            <w:r>
              <w:rPr>
                <w:sz w:val="16"/>
              </w:rPr>
              <w:t>for all notification costs, crisis expenses and post event services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spacing w:before="27"/>
              <w:ind w:left="1490"/>
              <w:rPr>
                <w:sz w:val="16"/>
              </w:rPr>
            </w:pPr>
            <w:r>
              <w:rPr>
                <w:sz w:val="16"/>
              </w:rPr>
              <w:t>CIP Retention</w:t>
            </w:r>
          </w:p>
        </w:tc>
        <w:tc>
          <w:tcPr>
            <w:tcW w:w="840" w:type="dxa"/>
          </w:tcPr>
          <w:p>
            <w:pPr>
              <w:pStyle w:val="TableParagraph"/>
              <w:spacing w:before="27"/>
              <w:ind w:left="0"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$500</w:t>
            </w:r>
          </w:p>
        </w:tc>
        <w:tc>
          <w:tcPr>
            <w:tcW w:w="4668" w:type="dxa"/>
          </w:tcPr>
          <w:p>
            <w:pPr>
              <w:pStyle w:val="TableParagraph"/>
              <w:spacing w:before="27"/>
              <w:ind w:left="90"/>
              <w:rPr>
                <w:sz w:val="16"/>
              </w:rPr>
            </w:pPr>
            <w:r>
              <w:rPr>
                <w:sz w:val="16"/>
              </w:rPr>
              <w:t>each personal identity event</w:t>
            </w:r>
          </w:p>
        </w:tc>
      </w:tr>
      <w:tr>
        <w:trPr>
          <w:trHeight w:val="732" w:hRule="exact"/>
        </w:trPr>
        <w:tc>
          <w:tcPr>
            <w:tcW w:w="4700" w:type="dxa"/>
          </w:tcPr>
          <w:p>
            <w:pPr>
              <w:pStyle w:val="TableParagraph"/>
              <w:spacing w:line="316" w:lineRule="auto" w:before="27"/>
              <w:ind w:left="770" w:right="1989"/>
              <w:rPr>
                <w:sz w:val="16"/>
              </w:rPr>
            </w:pPr>
            <w:r>
              <w:rPr>
                <w:sz w:val="16"/>
              </w:rPr>
              <w:t>CIP Additional Premium </w:t>
            </w:r>
            <w:r>
              <w:rPr>
                <w:b/>
                <w:sz w:val="16"/>
              </w:rPr>
              <w:t>Increased Limit Option 2: </w:t>
            </w:r>
            <w:r>
              <w:rPr>
                <w:sz w:val="16"/>
              </w:rPr>
              <w:t>CIP Coverage Sublimit</w:t>
            </w:r>
          </w:p>
        </w:tc>
        <w:tc>
          <w:tcPr>
            <w:tcW w:w="840" w:type="dxa"/>
          </w:tcPr>
          <w:p>
            <w:pPr>
              <w:pStyle w:val="TableParagraph"/>
              <w:spacing w:before="27"/>
              <w:ind w:left="394"/>
              <w:rPr>
                <w:sz w:val="16"/>
              </w:rPr>
            </w:pPr>
            <w:r>
              <w:rPr>
                <w:sz w:val="16"/>
              </w:rPr>
              <w:t>$150</w:t>
            </w:r>
          </w:p>
          <w:p>
            <w:pPr>
              <w:pStyle w:val="TableParagraph"/>
              <w:spacing w:before="3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left="172"/>
              <w:rPr>
                <w:sz w:val="16"/>
              </w:rPr>
            </w:pPr>
            <w:r>
              <w:rPr>
                <w:sz w:val="16"/>
              </w:rPr>
              <w:t>$50,000</w:t>
            </w:r>
          </w:p>
        </w:tc>
        <w:tc>
          <w:tcPr>
            <w:tcW w:w="4668" w:type="dxa"/>
          </w:tcPr>
          <w:p>
            <w:pPr/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spacing w:before="27"/>
              <w:ind w:left="1490"/>
              <w:rPr>
                <w:sz w:val="16"/>
              </w:rPr>
            </w:pPr>
            <w:r>
              <w:rPr>
                <w:sz w:val="16"/>
              </w:rPr>
              <w:t>a. Personal Identity Liability Sublimit</w:t>
            </w:r>
          </w:p>
        </w:tc>
        <w:tc>
          <w:tcPr>
            <w:tcW w:w="840" w:type="dxa"/>
          </w:tcPr>
          <w:p>
            <w:pPr>
              <w:pStyle w:val="TableParagraph"/>
              <w:spacing w:before="27"/>
              <w:ind w:left="0"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$50,000</w:t>
            </w:r>
          </w:p>
        </w:tc>
        <w:tc>
          <w:tcPr>
            <w:tcW w:w="4668" w:type="dxa"/>
          </w:tcPr>
          <w:p>
            <w:pPr>
              <w:pStyle w:val="TableParagraph"/>
              <w:spacing w:before="27"/>
              <w:ind w:left="90"/>
              <w:rPr>
                <w:sz w:val="16"/>
              </w:rPr>
            </w:pPr>
            <w:r>
              <w:rPr>
                <w:sz w:val="16"/>
              </w:rPr>
              <w:t>for all personal identity events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spacing w:before="27"/>
              <w:ind w:left="1490"/>
              <w:rPr>
                <w:sz w:val="16"/>
              </w:rPr>
            </w:pPr>
            <w:r>
              <w:rPr>
                <w:sz w:val="16"/>
              </w:rPr>
              <w:t>b. Administrative Action Sublimit</w:t>
            </w:r>
          </w:p>
        </w:tc>
        <w:tc>
          <w:tcPr>
            <w:tcW w:w="840" w:type="dxa"/>
          </w:tcPr>
          <w:p>
            <w:pPr>
              <w:pStyle w:val="TableParagraph"/>
              <w:spacing w:before="27"/>
              <w:ind w:left="0"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$50,000</w:t>
            </w:r>
          </w:p>
        </w:tc>
        <w:tc>
          <w:tcPr>
            <w:tcW w:w="4668" w:type="dxa"/>
          </w:tcPr>
          <w:p>
            <w:pPr>
              <w:pStyle w:val="TableParagraph"/>
              <w:spacing w:before="27"/>
              <w:ind w:left="90"/>
              <w:rPr>
                <w:sz w:val="16"/>
              </w:rPr>
            </w:pPr>
            <w:r>
              <w:rPr>
                <w:sz w:val="16"/>
              </w:rPr>
              <w:t>for all administrative expenses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spacing w:before="27"/>
              <w:ind w:left="1490"/>
              <w:rPr>
                <w:sz w:val="16"/>
              </w:rPr>
            </w:pPr>
            <w:r>
              <w:rPr>
                <w:sz w:val="16"/>
              </w:rPr>
              <w:t>c. Identity Event Services Sublimit</w:t>
            </w:r>
          </w:p>
        </w:tc>
        <w:tc>
          <w:tcPr>
            <w:tcW w:w="840" w:type="dxa"/>
          </w:tcPr>
          <w:p>
            <w:pPr>
              <w:pStyle w:val="TableParagraph"/>
              <w:spacing w:before="27"/>
              <w:ind w:left="0"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$50,000</w:t>
            </w:r>
          </w:p>
        </w:tc>
        <w:tc>
          <w:tcPr>
            <w:tcW w:w="4668" w:type="dxa"/>
          </w:tcPr>
          <w:p>
            <w:pPr>
              <w:pStyle w:val="TableParagraph"/>
              <w:spacing w:before="27"/>
              <w:ind w:left="90"/>
              <w:rPr>
                <w:sz w:val="16"/>
              </w:rPr>
            </w:pPr>
            <w:r>
              <w:rPr>
                <w:sz w:val="16"/>
              </w:rPr>
              <w:t>for all notification costs, crisis expenses and post event services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spacing w:before="27"/>
              <w:ind w:left="1490"/>
              <w:rPr>
                <w:sz w:val="16"/>
              </w:rPr>
            </w:pPr>
            <w:r>
              <w:rPr>
                <w:sz w:val="16"/>
              </w:rPr>
              <w:t>CIP Retention</w:t>
            </w:r>
          </w:p>
        </w:tc>
        <w:tc>
          <w:tcPr>
            <w:tcW w:w="840" w:type="dxa"/>
          </w:tcPr>
          <w:p>
            <w:pPr>
              <w:pStyle w:val="TableParagraph"/>
              <w:spacing w:before="27"/>
              <w:ind w:left="0"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$500</w:t>
            </w:r>
          </w:p>
        </w:tc>
        <w:tc>
          <w:tcPr>
            <w:tcW w:w="4668" w:type="dxa"/>
          </w:tcPr>
          <w:p>
            <w:pPr>
              <w:pStyle w:val="TableParagraph"/>
              <w:spacing w:before="27"/>
              <w:ind w:left="90"/>
              <w:rPr>
                <w:sz w:val="16"/>
              </w:rPr>
            </w:pPr>
            <w:r>
              <w:rPr>
                <w:sz w:val="16"/>
              </w:rPr>
              <w:t>each personal identity event</w:t>
            </w:r>
          </w:p>
        </w:tc>
      </w:tr>
      <w:tr>
        <w:trPr>
          <w:trHeight w:val="731" w:hRule="exact"/>
        </w:trPr>
        <w:tc>
          <w:tcPr>
            <w:tcW w:w="4700" w:type="dxa"/>
          </w:tcPr>
          <w:p>
            <w:pPr>
              <w:pStyle w:val="TableParagraph"/>
              <w:spacing w:line="316" w:lineRule="auto" w:before="27"/>
              <w:ind w:left="770" w:right="1989"/>
              <w:rPr>
                <w:sz w:val="16"/>
              </w:rPr>
            </w:pPr>
            <w:r>
              <w:rPr>
                <w:sz w:val="16"/>
              </w:rPr>
              <w:t>CIP Additional Premium </w:t>
            </w:r>
            <w:r>
              <w:rPr>
                <w:b/>
                <w:sz w:val="16"/>
              </w:rPr>
              <w:t>Increased Limit Option 3: </w:t>
            </w:r>
            <w:r>
              <w:rPr>
                <w:sz w:val="16"/>
              </w:rPr>
              <w:t>CIP Coverage Sublimit</w:t>
            </w:r>
          </w:p>
        </w:tc>
        <w:tc>
          <w:tcPr>
            <w:tcW w:w="840" w:type="dxa"/>
          </w:tcPr>
          <w:p>
            <w:pPr>
              <w:pStyle w:val="TableParagraph"/>
              <w:spacing w:before="27"/>
              <w:ind w:left="394"/>
              <w:rPr>
                <w:sz w:val="16"/>
              </w:rPr>
            </w:pPr>
            <w:r>
              <w:rPr>
                <w:sz w:val="16"/>
              </w:rPr>
              <w:t>$300</w:t>
            </w:r>
          </w:p>
          <w:p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left="83"/>
              <w:rPr>
                <w:sz w:val="16"/>
              </w:rPr>
            </w:pPr>
            <w:r>
              <w:rPr>
                <w:sz w:val="16"/>
              </w:rPr>
              <w:t>$100,000</w:t>
            </w:r>
          </w:p>
        </w:tc>
        <w:tc>
          <w:tcPr>
            <w:tcW w:w="4668" w:type="dxa"/>
          </w:tcPr>
          <w:p>
            <w:pPr/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spacing w:before="27"/>
              <w:ind w:left="1490"/>
              <w:rPr>
                <w:sz w:val="16"/>
              </w:rPr>
            </w:pPr>
            <w:r>
              <w:rPr>
                <w:sz w:val="16"/>
              </w:rPr>
              <w:t>a. Personal Identity Liability Sublimit</w:t>
            </w:r>
          </w:p>
        </w:tc>
        <w:tc>
          <w:tcPr>
            <w:tcW w:w="840" w:type="dxa"/>
          </w:tcPr>
          <w:p>
            <w:pPr>
              <w:pStyle w:val="TableParagraph"/>
              <w:spacing w:before="27"/>
              <w:ind w:left="0"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$100,000</w:t>
            </w:r>
          </w:p>
        </w:tc>
        <w:tc>
          <w:tcPr>
            <w:tcW w:w="4668" w:type="dxa"/>
          </w:tcPr>
          <w:p>
            <w:pPr>
              <w:pStyle w:val="TableParagraph"/>
              <w:spacing w:before="27"/>
              <w:ind w:left="90"/>
              <w:rPr>
                <w:sz w:val="16"/>
              </w:rPr>
            </w:pPr>
            <w:r>
              <w:rPr>
                <w:sz w:val="16"/>
              </w:rPr>
              <w:t>for all personal identity events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spacing w:before="27"/>
              <w:ind w:left="1490"/>
              <w:rPr>
                <w:sz w:val="16"/>
              </w:rPr>
            </w:pPr>
            <w:r>
              <w:rPr>
                <w:sz w:val="16"/>
              </w:rPr>
              <w:t>b. Administrative Action Sublimit</w:t>
            </w:r>
          </w:p>
        </w:tc>
        <w:tc>
          <w:tcPr>
            <w:tcW w:w="840" w:type="dxa"/>
          </w:tcPr>
          <w:p>
            <w:pPr>
              <w:pStyle w:val="TableParagraph"/>
              <w:spacing w:before="27"/>
              <w:ind w:left="0"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$100,000</w:t>
            </w:r>
          </w:p>
        </w:tc>
        <w:tc>
          <w:tcPr>
            <w:tcW w:w="4668" w:type="dxa"/>
          </w:tcPr>
          <w:p>
            <w:pPr>
              <w:pStyle w:val="TableParagraph"/>
              <w:spacing w:before="27"/>
              <w:ind w:left="90"/>
              <w:rPr>
                <w:sz w:val="16"/>
              </w:rPr>
            </w:pPr>
            <w:r>
              <w:rPr>
                <w:sz w:val="16"/>
              </w:rPr>
              <w:t>for all administrative expenses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spacing w:before="27"/>
              <w:ind w:left="1490"/>
              <w:rPr>
                <w:sz w:val="16"/>
              </w:rPr>
            </w:pPr>
            <w:r>
              <w:rPr>
                <w:sz w:val="16"/>
              </w:rPr>
              <w:t>c. Identity Event Services Sublimit</w:t>
            </w:r>
          </w:p>
        </w:tc>
        <w:tc>
          <w:tcPr>
            <w:tcW w:w="840" w:type="dxa"/>
          </w:tcPr>
          <w:p>
            <w:pPr>
              <w:pStyle w:val="TableParagraph"/>
              <w:spacing w:before="27"/>
              <w:ind w:left="0"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$100,000</w:t>
            </w:r>
          </w:p>
        </w:tc>
        <w:tc>
          <w:tcPr>
            <w:tcW w:w="4668" w:type="dxa"/>
          </w:tcPr>
          <w:p>
            <w:pPr>
              <w:pStyle w:val="TableParagraph"/>
              <w:spacing w:before="27"/>
              <w:ind w:left="89"/>
              <w:rPr>
                <w:sz w:val="16"/>
              </w:rPr>
            </w:pPr>
            <w:r>
              <w:rPr>
                <w:sz w:val="16"/>
              </w:rPr>
              <w:t>for all notification costs, crisis expenses and post event services</w:t>
            </w:r>
          </w:p>
        </w:tc>
      </w:tr>
      <w:tr>
        <w:trPr>
          <w:trHeight w:val="212" w:hRule="exact"/>
        </w:trPr>
        <w:tc>
          <w:tcPr>
            <w:tcW w:w="4700" w:type="dxa"/>
          </w:tcPr>
          <w:p>
            <w:pPr>
              <w:pStyle w:val="TableParagraph"/>
              <w:spacing w:before="27"/>
              <w:ind w:left="1490"/>
              <w:rPr>
                <w:sz w:val="16"/>
              </w:rPr>
            </w:pPr>
            <w:r>
              <w:rPr>
                <w:sz w:val="16"/>
              </w:rPr>
              <w:t>CIP Retention</w:t>
            </w:r>
          </w:p>
        </w:tc>
        <w:tc>
          <w:tcPr>
            <w:tcW w:w="840" w:type="dxa"/>
          </w:tcPr>
          <w:p>
            <w:pPr>
              <w:pStyle w:val="TableParagraph"/>
              <w:spacing w:before="27"/>
              <w:ind w:left="0"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$500</w:t>
            </w:r>
          </w:p>
        </w:tc>
        <w:tc>
          <w:tcPr>
            <w:tcW w:w="4668" w:type="dxa"/>
          </w:tcPr>
          <w:p>
            <w:pPr>
              <w:pStyle w:val="TableParagraph"/>
              <w:spacing w:before="27"/>
              <w:ind w:left="90"/>
              <w:rPr>
                <w:sz w:val="16"/>
              </w:rPr>
            </w:pPr>
            <w:r>
              <w:rPr>
                <w:sz w:val="16"/>
              </w:rPr>
              <w:t>each personal identity event</w:t>
            </w:r>
          </w:p>
        </w:tc>
      </w:tr>
    </w:tbl>
    <w:p>
      <w:pPr>
        <w:pStyle w:val="BodyText"/>
        <w:tabs>
          <w:tab w:pos="5204" w:val="left" w:leader="none"/>
        </w:tabs>
        <w:spacing w:before="59"/>
        <w:ind w:left="880"/>
      </w:pPr>
      <w:r>
        <w:rPr/>
        <w:t>CIP</w:t>
      </w:r>
      <w:r>
        <w:rPr>
          <w:spacing w:val="-2"/>
        </w:rPr>
        <w:t> </w:t>
      </w:r>
      <w:r>
        <w:rPr/>
        <w:t>Additional</w:t>
      </w:r>
      <w:r>
        <w:rPr>
          <w:spacing w:val="-2"/>
        </w:rPr>
        <w:t> </w:t>
      </w:r>
      <w:r>
        <w:rPr/>
        <w:t>Premium</w:t>
        <w:tab/>
        <w:t>$600</w:t>
      </w:r>
    </w:p>
    <w:sectPr>
      <w:pgSz w:w="12240" w:h="15840"/>
      <w:pgMar w:header="0" w:footer="739" w:top="280" w:bottom="920" w:left="56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43.730957pt;width:19.8pt;height:13.1pt;mso-position-horizontal-relative:page;mso-position-vertical-relative:page;z-index:-1816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2/12</w:t>
                </w:r>
              </w:p>
            </w:txbxContent>
          </v:textbox>
          <w10:wrap type="none"/>
        </v:shape>
      </w:pict>
    </w:r>
    <w:r>
      <w:rPr/>
      <w:pict>
        <v:shape style="position:absolute;margin-left:228.370972pt;margin-top:743.730957pt;width:47.35pt;height:13.1pt;mso-position-horizontal-relative:page;mso-position-vertical-relative:page;z-index:-1813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Page </w:t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20"/>
                  </w:rPr>
                  <w:t> of 2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3"/>
      <w:numFmt w:val="upperRoman"/>
      <w:lvlText w:val="%1."/>
      <w:lvlJc w:val="left"/>
      <w:pPr>
        <w:ind w:left="880" w:hanging="721"/>
        <w:jc w:val="left"/>
      </w:pPr>
      <w:rPr>
        <w:rFonts w:hint="default" w:ascii="Arial" w:hAnsi="Arial" w:eastAsia="Arial" w:cs="Arial"/>
        <w:b/>
        <w:bCs/>
        <w:w w:val="99"/>
        <w:sz w:val="16"/>
        <w:szCs w:val="16"/>
      </w:rPr>
    </w:lvl>
    <w:lvl w:ilvl="1">
      <w:start w:val="1"/>
      <w:numFmt w:val="upperLetter"/>
      <w:lvlText w:val="%2."/>
      <w:lvlJc w:val="left"/>
      <w:pPr>
        <w:ind w:left="880" w:hanging="361"/>
        <w:jc w:val="left"/>
      </w:pPr>
      <w:rPr>
        <w:rFonts w:hint="default" w:ascii="Arial" w:hAnsi="Arial" w:eastAsia="Arial" w:cs="Arial"/>
        <w:b/>
        <w:bCs/>
        <w:spacing w:val="-3"/>
        <w:w w:val="99"/>
        <w:sz w:val="16"/>
        <w:szCs w:val="16"/>
      </w:rPr>
    </w:lvl>
    <w:lvl w:ilvl="2">
      <w:start w:val="0"/>
      <w:numFmt w:val="bullet"/>
      <w:lvlText w:val="•"/>
      <w:lvlJc w:val="left"/>
      <w:pPr>
        <w:ind w:left="2788" w:hanging="36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42" w:hanging="3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96" w:hanging="3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50" w:hanging="3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04" w:hanging="3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8" w:hanging="3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12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6"/>
      <w:szCs w:val="16"/>
    </w:rPr>
  </w:style>
  <w:style w:styleId="Heading1" w:type="paragraph">
    <w:name w:val="Heading 1"/>
    <w:basedOn w:val="Normal"/>
    <w:uiPriority w:val="1"/>
    <w:qFormat/>
    <w:pPr>
      <w:ind w:left="880" w:hanging="720"/>
      <w:outlineLvl w:val="1"/>
    </w:pPr>
    <w:rPr>
      <w:rFonts w:ascii="Arial" w:hAnsi="Arial" w:eastAsia="Arial" w:cs="Arial"/>
      <w:b/>
      <w:bCs/>
      <w:sz w:val="16"/>
      <w:szCs w:val="16"/>
    </w:rPr>
  </w:style>
  <w:style w:styleId="ListParagraph" w:type="paragraph">
    <w:name w:val="List Paragraph"/>
    <w:basedOn w:val="Normal"/>
    <w:uiPriority w:val="1"/>
    <w:qFormat/>
    <w:pPr>
      <w:ind w:left="880" w:hanging="720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>
      <w:spacing w:before="32"/>
      <w:ind w:left="482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mharry</dc:creator>
  <dc:title>Microsoft Word - VA Rates-New ILFs _4_.doc</dc:title>
  <dcterms:created xsi:type="dcterms:W3CDTF">2017-09-05T12:10:25Z</dcterms:created>
  <dcterms:modified xsi:type="dcterms:W3CDTF">2017-09-05T12:10:25Z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2017-09-05T00:00:00Z</vt:filetime>
  </property>
</Properties>
</file>