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 xml:space="preserve">ENDORSEMENT </w:t>
      </w:r>
    </w:p>
    <w:p w:rsidR="00AA148F" w:rsidRPr="00AA148F" w:rsidRDefault="00AA148F" w:rsidP="00AA148F">
      <w:pPr>
        <w:jc w:val="center"/>
        <w:rPr>
          <w:rFonts w:cs="Arial"/>
          <w:b/>
          <w:bCs/>
        </w:rPr>
      </w:pPr>
    </w:p>
    <w:p w:rsidR="00AA148F" w:rsidRPr="00AA148F" w:rsidRDefault="00AA148F" w:rsidP="00AA148F">
      <w:pPr>
        <w:jc w:val="center"/>
        <w:rPr>
          <w:rFonts w:cs="Arial"/>
          <w:b/>
          <w:bCs/>
        </w:rPr>
      </w:pPr>
      <w:r w:rsidRPr="00AA148F">
        <w:rPr>
          <w:rFonts w:cs="Arial"/>
          <w:b/>
          <w:bCs/>
        </w:rPr>
        <w:t>THIS ENDORSEMENT CHANGES THE POLICY. PLEASE READ IT CAREFULLY.</w:t>
      </w:r>
    </w:p>
    <w:p w:rsidR="00AA148F" w:rsidRPr="00AA148F" w:rsidRDefault="00AA148F" w:rsidP="00AA148F">
      <w:pPr>
        <w:jc w:val="center"/>
        <w:rPr>
          <w:rFonts w:cs="Arial"/>
        </w:rPr>
      </w:pPr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proofErr w:type="gramStart"/>
      <w:r w:rsidRPr="00AA148F">
        <w:rPr>
          <w:rFonts w:ascii="Arial" w:hAnsi="Arial" w:cs="Arial"/>
          <w:sz w:val="20"/>
        </w:rPr>
        <w:t>This endorsement, effective 12:01 A.M.,</w:t>
      </w:r>
      <w:proofErr w:type="gramEnd"/>
    </w:p>
    <w:p w:rsidR="00AA148F" w:rsidRPr="00AA148F" w:rsidRDefault="00AA148F" w:rsidP="00AA148F">
      <w:pPr>
        <w:pStyle w:val="Title"/>
        <w:jc w:val="left"/>
        <w:rPr>
          <w:rFonts w:ascii="Arial" w:hAnsi="Arial" w:cs="Arial"/>
          <w:sz w:val="20"/>
        </w:rPr>
      </w:pPr>
      <w:r w:rsidRPr="00AA148F">
        <w:rPr>
          <w:rFonts w:ascii="Arial" w:hAnsi="Arial" w:cs="Arial"/>
          <w:sz w:val="20"/>
        </w:rPr>
        <w:t>Forms a part of Policy No.:</w:t>
      </w:r>
    </w:p>
    <w:p w:rsidR="00AA148F" w:rsidRDefault="00AA148F" w:rsidP="00546BBB">
      <w:pPr>
        <w:spacing w:before="200"/>
        <w:jc w:val="center"/>
        <w:rPr>
          <w:rFonts w:cs="Arial"/>
          <w:b/>
          <w:sz w:val="28"/>
          <w:szCs w:val="28"/>
        </w:rPr>
      </w:pPr>
    </w:p>
    <w:p w:rsidR="00813510" w:rsidRDefault="00E0448D" w:rsidP="00546BBB">
      <w:pPr>
        <w:spacing w:before="20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DEFENSE </w:t>
      </w:r>
      <w:r w:rsidR="003E4EC2">
        <w:rPr>
          <w:rFonts w:cs="Arial"/>
          <w:b/>
          <w:sz w:val="28"/>
          <w:szCs w:val="28"/>
        </w:rPr>
        <w:t xml:space="preserve">ONLY </w:t>
      </w:r>
      <w:r w:rsidR="004875A0">
        <w:rPr>
          <w:rFonts w:cs="Arial"/>
          <w:b/>
          <w:sz w:val="28"/>
          <w:szCs w:val="28"/>
        </w:rPr>
        <w:t xml:space="preserve">COVERAGE </w:t>
      </w:r>
      <w:r w:rsidR="00573C26">
        <w:rPr>
          <w:rFonts w:cs="Arial"/>
          <w:b/>
          <w:sz w:val="28"/>
          <w:szCs w:val="28"/>
        </w:rPr>
        <w:t xml:space="preserve">FOR </w:t>
      </w:r>
      <w:r w:rsidR="004875A0">
        <w:rPr>
          <w:rFonts w:cs="Arial"/>
          <w:b/>
          <w:sz w:val="28"/>
          <w:szCs w:val="28"/>
        </w:rPr>
        <w:t xml:space="preserve">CERTAIN </w:t>
      </w:r>
      <w:r w:rsidR="000A0E06">
        <w:rPr>
          <w:rFonts w:cs="Arial"/>
          <w:b/>
          <w:sz w:val="28"/>
          <w:szCs w:val="28"/>
        </w:rPr>
        <w:t xml:space="preserve">ATF </w:t>
      </w:r>
      <w:r w:rsidR="008271A5">
        <w:rPr>
          <w:rFonts w:cs="Arial"/>
          <w:b/>
          <w:sz w:val="28"/>
          <w:szCs w:val="28"/>
        </w:rPr>
        <w:t xml:space="preserve">PROCEEDINGS </w:t>
      </w:r>
      <w:r w:rsidR="00CE6768">
        <w:rPr>
          <w:rFonts w:cs="Arial"/>
          <w:b/>
          <w:sz w:val="28"/>
          <w:szCs w:val="28"/>
        </w:rPr>
        <w:t>ENDORSEMENT</w:t>
      </w:r>
    </w:p>
    <w:p w:rsidR="00526B64" w:rsidRDefault="00526B64" w:rsidP="00292C3F">
      <w:pPr>
        <w:spacing w:before="200"/>
        <w:jc w:val="both"/>
        <w:rPr>
          <w:rFonts w:cs="Arial"/>
          <w:b/>
        </w:rPr>
      </w:pPr>
      <w:r w:rsidRPr="00FA5844">
        <w:rPr>
          <w:rFonts w:cs="Arial"/>
          <w:b/>
        </w:rPr>
        <w:t>NOTICE</w:t>
      </w:r>
      <w:r>
        <w:rPr>
          <w:rFonts w:cs="Arial"/>
          <w:b/>
        </w:rPr>
        <w:t xml:space="preserve">:  THIS ENDORSEMENT PROVIDES COVERAGE FOR </w:t>
      </w:r>
      <w:r w:rsidR="005444EE">
        <w:rPr>
          <w:rFonts w:cs="Arial"/>
          <w:b/>
        </w:rPr>
        <w:t>“</w:t>
      </w:r>
      <w:r>
        <w:rPr>
          <w:rFonts w:cs="Arial"/>
          <w:b/>
        </w:rPr>
        <w:t>DEFENSE COSTS</w:t>
      </w:r>
      <w:r w:rsidR="005444EE">
        <w:rPr>
          <w:rFonts w:cs="Arial"/>
          <w:b/>
        </w:rPr>
        <w:t>”</w:t>
      </w:r>
      <w:r>
        <w:rPr>
          <w:rFonts w:cs="Arial"/>
          <w:b/>
        </w:rPr>
        <w:t xml:space="preserve"> ONLY.</w:t>
      </w:r>
    </w:p>
    <w:p w:rsidR="003A2C19" w:rsidRDefault="003A2C19" w:rsidP="00292C3F">
      <w:pPr>
        <w:spacing w:before="200"/>
        <w:jc w:val="both"/>
        <w:rPr>
          <w:rFonts w:cs="Arial"/>
          <w:b/>
        </w:rPr>
      </w:pPr>
      <w:r w:rsidRPr="009E5C31">
        <w:rPr>
          <w:rFonts w:cs="Arial"/>
          <w:b/>
        </w:rPr>
        <w:t>NOTICE:  THE LIMIT</w:t>
      </w:r>
      <w:r>
        <w:rPr>
          <w:rFonts w:cs="Arial"/>
          <w:b/>
        </w:rPr>
        <w:t>S</w:t>
      </w:r>
      <w:r w:rsidRPr="009E5C31">
        <w:rPr>
          <w:rFonts w:cs="Arial"/>
          <w:b/>
        </w:rPr>
        <w:t xml:space="preserve"> OF INSURANCE PROVIDED HEREIN </w:t>
      </w:r>
      <w:r>
        <w:rPr>
          <w:rFonts w:cs="Arial"/>
          <w:b/>
        </w:rPr>
        <w:t>ARE</w:t>
      </w:r>
      <w:r w:rsidRPr="009E5C31">
        <w:rPr>
          <w:rFonts w:cs="Arial"/>
          <w:b/>
        </w:rPr>
        <w:t xml:space="preserve"> </w:t>
      </w:r>
      <w:r>
        <w:rPr>
          <w:rFonts w:cs="Arial"/>
          <w:b/>
        </w:rPr>
        <w:t>IN ADDITION TO THE LIMITS OF INSURANCE FOR ALL OTHER COVERAGE</w:t>
      </w:r>
      <w:r w:rsidR="00DC380A">
        <w:rPr>
          <w:rFonts w:cs="Arial"/>
          <w:b/>
        </w:rPr>
        <w:t>S</w:t>
      </w:r>
      <w:r>
        <w:rPr>
          <w:rFonts w:cs="Arial"/>
          <w:b/>
        </w:rPr>
        <w:t xml:space="preserve"> UNDER THIS POLICY.  </w:t>
      </w:r>
    </w:p>
    <w:p w:rsidR="007F283E" w:rsidRPr="0087124E" w:rsidRDefault="007F283E" w:rsidP="00292C3F">
      <w:pPr>
        <w:spacing w:before="200"/>
        <w:jc w:val="both"/>
        <w:rPr>
          <w:rFonts w:cs="Arial"/>
        </w:rPr>
      </w:pPr>
      <w:r w:rsidRPr="0087124E">
        <w:rPr>
          <w:rFonts w:cs="Arial"/>
        </w:rPr>
        <w:t>This endorsement modifies insurance provided under the following:</w:t>
      </w:r>
    </w:p>
    <w:p w:rsidR="007F283E" w:rsidRDefault="007F283E" w:rsidP="00292C3F">
      <w:pPr>
        <w:pStyle w:val="Heading2"/>
        <w:spacing w:before="200"/>
        <w:ind w:firstLine="360"/>
        <w:jc w:val="both"/>
        <w:rPr>
          <w:rFonts w:cs="Arial"/>
          <w:b w:val="0"/>
        </w:rPr>
      </w:pPr>
      <w:r w:rsidRPr="0087124E">
        <w:rPr>
          <w:rFonts w:cs="Arial"/>
          <w:b w:val="0"/>
        </w:rPr>
        <w:t xml:space="preserve">COMMERCIAL GENERAL LIABILITY </w:t>
      </w:r>
      <w:r w:rsidR="0021436D" w:rsidRPr="0087124E">
        <w:rPr>
          <w:rFonts w:cs="Arial"/>
          <w:b w:val="0"/>
        </w:rPr>
        <w:t>COVERAGE FORM</w:t>
      </w:r>
    </w:p>
    <w:p w:rsidR="00744464" w:rsidRDefault="00744464" w:rsidP="00546BBB">
      <w:pPr>
        <w:spacing w:before="200"/>
        <w:jc w:val="center"/>
        <w:rPr>
          <w:rFonts w:cs="Arial"/>
          <w:b/>
        </w:rPr>
      </w:pPr>
      <w:r>
        <w:rPr>
          <w:rFonts w:cs="Arial"/>
          <w:b/>
        </w:rPr>
        <w:t>SCHEDULE</w:t>
      </w:r>
    </w:p>
    <w:p w:rsidR="00744464" w:rsidRDefault="00744464" w:rsidP="00292C3F">
      <w:pPr>
        <w:spacing w:before="200"/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2"/>
        <w:gridCol w:w="4764"/>
      </w:tblGrid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AGGREGATE </w:t>
            </w:r>
            <w:r w:rsidR="004F45A9" w:rsidRPr="00AB22BA">
              <w:rPr>
                <w:rFonts w:cs="Arial"/>
                <w:b/>
              </w:rPr>
              <w:t xml:space="preserve">PROCEEDING </w:t>
            </w:r>
            <w:r w:rsidR="00744464" w:rsidRPr="00AB22BA">
              <w:rPr>
                <w:rFonts w:cs="Arial"/>
                <w:b/>
              </w:rPr>
              <w:t>DEFENSE LIMIT</w:t>
            </w:r>
            <w:r w:rsidR="003A3C8F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  <w:tr w:rsidR="00744464" w:rsidRPr="00AB22BA" w:rsidTr="00AB22BA">
        <w:tc>
          <w:tcPr>
            <w:tcW w:w="5292" w:type="dxa"/>
          </w:tcPr>
          <w:p w:rsidR="00816A8B" w:rsidRPr="00AB22BA" w:rsidRDefault="008271A5" w:rsidP="00AB22BA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 xml:space="preserve">EACH </w:t>
            </w:r>
            <w:r w:rsidR="00744464" w:rsidRPr="00AB22BA">
              <w:rPr>
                <w:rFonts w:cs="Arial"/>
                <w:b/>
              </w:rPr>
              <w:t>PROCEEDING DEFENSE LIMIT</w:t>
            </w:r>
            <w:r w:rsidR="00816A8B" w:rsidRPr="00AB22BA">
              <w:rPr>
                <w:rFonts w:cs="Arial"/>
                <w:b/>
              </w:rPr>
              <w:t xml:space="preserve"> </w:t>
            </w:r>
          </w:p>
        </w:tc>
        <w:tc>
          <w:tcPr>
            <w:tcW w:w="5292" w:type="dxa"/>
          </w:tcPr>
          <w:p w:rsidR="00744464" w:rsidRPr="00AB22BA" w:rsidRDefault="00744464" w:rsidP="007C5894">
            <w:pPr>
              <w:spacing w:before="120"/>
              <w:jc w:val="both"/>
              <w:rPr>
                <w:rFonts w:cs="Arial"/>
                <w:b/>
              </w:rPr>
            </w:pPr>
            <w:r w:rsidRPr="00AB22BA">
              <w:rPr>
                <w:rFonts w:cs="Arial"/>
                <w:b/>
              </w:rPr>
              <w:t>$</w:t>
            </w:r>
            <w:r w:rsidR="00292C3F" w:rsidRPr="00AB22BA">
              <w:rPr>
                <w:rFonts w:cs="Arial"/>
                <w:b/>
              </w:rPr>
              <w:t xml:space="preserve"> Each “Licensed Location”</w:t>
            </w:r>
          </w:p>
        </w:tc>
      </w:tr>
    </w:tbl>
    <w:p w:rsidR="007F283E" w:rsidRPr="0087124E" w:rsidRDefault="005B38F3" w:rsidP="00292C3F">
      <w:pPr>
        <w:tabs>
          <w:tab w:val="left" w:pos="360"/>
        </w:tabs>
        <w:spacing w:before="200"/>
        <w:jc w:val="both"/>
        <w:rPr>
          <w:rFonts w:cs="Arial"/>
          <w:b/>
        </w:rPr>
      </w:pPr>
      <w:r w:rsidRPr="0087124E">
        <w:rPr>
          <w:rFonts w:cs="Arial"/>
          <w:b/>
        </w:rPr>
        <w:t>1.</w:t>
      </w:r>
      <w:r w:rsidRPr="0087124E">
        <w:rPr>
          <w:rFonts w:cs="Arial"/>
          <w:b/>
        </w:rPr>
        <w:tab/>
        <w:t xml:space="preserve">Insuring Agreement </w:t>
      </w:r>
    </w:p>
    <w:p w:rsidR="00E01BC8" w:rsidRDefault="00E82EEA" w:rsidP="00292C3F">
      <w:pPr>
        <w:tabs>
          <w:tab w:val="left" w:pos="-1080"/>
          <w:tab w:val="left" w:pos="-720"/>
          <w:tab w:val="left" w:pos="0"/>
          <w:tab w:val="left" w:pos="720"/>
          <w:tab w:val="left" w:pos="2160"/>
          <w:tab w:val="left" w:pos="2520"/>
        </w:tabs>
        <w:spacing w:before="200"/>
        <w:ind w:left="720" w:hanging="360"/>
        <w:jc w:val="both"/>
        <w:rPr>
          <w:rFonts w:cs="Arial"/>
        </w:rPr>
      </w:pPr>
      <w:r w:rsidRPr="00E82EEA">
        <w:rPr>
          <w:rFonts w:cs="Arial"/>
          <w:b/>
        </w:rPr>
        <w:t>a.</w:t>
      </w:r>
      <w:r>
        <w:rPr>
          <w:rFonts w:cs="Arial"/>
        </w:rPr>
        <w:tab/>
      </w:r>
      <w:r w:rsidR="007F283E" w:rsidRPr="0087124E">
        <w:rPr>
          <w:rFonts w:cs="Arial"/>
        </w:rPr>
        <w:t xml:space="preserve">We will pay </w:t>
      </w:r>
      <w:r w:rsidR="005B38F3" w:rsidRPr="0087124E">
        <w:rPr>
          <w:rFonts w:cs="Arial"/>
        </w:rPr>
        <w:t xml:space="preserve">reasonable and necessary “defense </w:t>
      </w:r>
      <w:r w:rsidR="005B38F3" w:rsidRPr="008F2534">
        <w:rPr>
          <w:rFonts w:cs="Arial"/>
        </w:rPr>
        <w:t>costs</w:t>
      </w:r>
      <w:r w:rsidR="008F2534" w:rsidRPr="008F2534">
        <w:rPr>
          <w:rFonts w:cs="Arial"/>
        </w:rPr>
        <w:t xml:space="preserve">” </w:t>
      </w:r>
      <w:r w:rsidR="00C3370B">
        <w:rPr>
          <w:rFonts w:cs="Arial"/>
        </w:rPr>
        <w:t xml:space="preserve">to defend you in a “proceeding” </w:t>
      </w:r>
      <w:r w:rsidR="008F2534" w:rsidRPr="008F2534">
        <w:rPr>
          <w:rFonts w:cs="Arial"/>
        </w:rPr>
        <w:t xml:space="preserve">arising from </w:t>
      </w:r>
      <w:r w:rsidR="00292C3F">
        <w:rPr>
          <w:rFonts w:cs="Arial"/>
        </w:rPr>
        <w:t xml:space="preserve">your </w:t>
      </w:r>
      <w:r w:rsidR="008F2534" w:rsidRPr="008F2534">
        <w:rPr>
          <w:rFonts w:cs="Arial"/>
        </w:rPr>
        <w:t xml:space="preserve">“violation” of 27 CFR 478 et seq., </w:t>
      </w:r>
      <w:r w:rsidR="003A3C8F" w:rsidRPr="003A3C8F">
        <w:rPr>
          <w:rFonts w:cs="Arial"/>
        </w:rPr>
        <w:t xml:space="preserve">as may be amended from time to time, </w:t>
      </w:r>
      <w:r w:rsidR="00486643">
        <w:rPr>
          <w:rFonts w:cs="Arial"/>
        </w:rPr>
        <w:t xml:space="preserve">or any similar state law or regulation </w:t>
      </w:r>
      <w:r w:rsidR="008E2961">
        <w:rPr>
          <w:rFonts w:cs="Arial"/>
          <w:snapToGrid w:val="0"/>
        </w:rPr>
        <w:t>governing the administrative and recordkeeping procedures of firearms dealers</w:t>
      </w:r>
      <w:r w:rsidR="00546BBB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provided that</w:t>
      </w:r>
      <w:r w:rsidR="00ED3368">
        <w:rPr>
          <w:rFonts w:cs="Arial"/>
          <w:snapToGrid w:val="0"/>
        </w:rPr>
        <w:t>,</w:t>
      </w:r>
      <w:r w:rsidR="00292C3F">
        <w:rPr>
          <w:rFonts w:cs="Arial"/>
          <w:snapToGrid w:val="0"/>
        </w:rPr>
        <w:t xml:space="preserve"> you are </w:t>
      </w:r>
      <w:r w:rsidR="008E2961">
        <w:rPr>
          <w:rFonts w:cs="Arial"/>
          <w:snapToGrid w:val="0"/>
        </w:rPr>
        <w:t>in the business of selling firearms at wholesale or retail</w:t>
      </w:r>
      <w:r w:rsidR="003A3C8F">
        <w:rPr>
          <w:rFonts w:cs="Arial"/>
          <w:snapToGrid w:val="0"/>
        </w:rPr>
        <w:t>,</w:t>
      </w:r>
      <w:r w:rsidR="003A3C8F" w:rsidRPr="003A3C8F">
        <w:rPr>
          <w:rFonts w:cs="Arial"/>
        </w:rPr>
        <w:t xml:space="preserve"> </w:t>
      </w:r>
      <w:r w:rsidR="00E01BC8">
        <w:rPr>
          <w:rFonts w:cs="Arial"/>
        </w:rPr>
        <w:t xml:space="preserve">and </w:t>
      </w:r>
      <w:r w:rsidR="003A3C8F" w:rsidRPr="003A3C8F">
        <w:rPr>
          <w:rFonts w:cs="Arial"/>
        </w:rPr>
        <w:t xml:space="preserve">to </w:t>
      </w:r>
      <w:proofErr w:type="gramStart"/>
      <w:r w:rsidR="003A3C8F" w:rsidRPr="003A3C8F">
        <w:rPr>
          <w:rFonts w:cs="Arial"/>
        </w:rPr>
        <w:t>which</w:t>
      </w:r>
      <w:proofErr w:type="gramEnd"/>
      <w:r w:rsidR="003A3C8F" w:rsidRPr="003A3C8F">
        <w:rPr>
          <w:rFonts w:cs="Arial"/>
        </w:rPr>
        <w:t xml:space="preserve"> this insurance applies.  </w:t>
      </w:r>
    </w:p>
    <w:p w:rsidR="00F4010F" w:rsidRDefault="00E01BC8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r w:rsidR="00F4010F" w:rsidRPr="0087124E">
        <w:rPr>
          <w:rFonts w:cs="Arial"/>
        </w:rPr>
        <w:t xml:space="preserve">We will have the right and the duty to defend </w:t>
      </w:r>
      <w:r w:rsidR="008E2961">
        <w:rPr>
          <w:rFonts w:cs="Arial"/>
        </w:rPr>
        <w:t>you</w:t>
      </w:r>
      <w:r w:rsidR="00F4010F" w:rsidRPr="0087124E">
        <w:rPr>
          <w:rFonts w:cs="Arial"/>
        </w:rPr>
        <w:t xml:space="preserve"> against any “proceeding” to which this insurance applies.  </w:t>
      </w:r>
      <w:r w:rsidR="00C3370B">
        <w:rPr>
          <w:rFonts w:cs="Arial"/>
        </w:rPr>
        <w:t>At our sole discretion, w</w:t>
      </w:r>
      <w:r w:rsidR="00E4444C">
        <w:rPr>
          <w:rFonts w:cs="Arial"/>
        </w:rPr>
        <w:t xml:space="preserve">e </w:t>
      </w:r>
      <w:r w:rsidR="001769EB">
        <w:rPr>
          <w:rFonts w:cs="Arial"/>
        </w:rPr>
        <w:t xml:space="preserve">shall have the right to </w:t>
      </w:r>
      <w:r w:rsidR="00C3370B">
        <w:rPr>
          <w:rFonts w:cs="Arial"/>
        </w:rPr>
        <w:t xml:space="preserve">select </w:t>
      </w:r>
      <w:r w:rsidR="003555EC">
        <w:rPr>
          <w:rFonts w:cs="Arial"/>
        </w:rPr>
        <w:t>an</w:t>
      </w:r>
      <w:r w:rsidR="001769EB">
        <w:rPr>
          <w:rFonts w:cs="Arial"/>
        </w:rPr>
        <w:t xml:space="preserve"> </w:t>
      </w:r>
      <w:r w:rsidR="001769EB" w:rsidRPr="00586194">
        <w:rPr>
          <w:rFonts w:cs="Arial"/>
        </w:rPr>
        <w:t>attorney, certified public</w:t>
      </w:r>
      <w:r w:rsidR="001769EB" w:rsidRPr="008F5223">
        <w:rPr>
          <w:rFonts w:cs="Arial"/>
        </w:rPr>
        <w:t xml:space="preserve"> accountant or other person recognized to practice before the </w:t>
      </w:r>
      <w:r w:rsidR="001769EB">
        <w:rPr>
          <w:rFonts w:cs="Arial"/>
        </w:rPr>
        <w:t>“ATF” to defend you against any “proceeding”</w:t>
      </w:r>
      <w:r w:rsidR="00767342" w:rsidRPr="00767342">
        <w:rPr>
          <w:rFonts w:cs="Arial"/>
        </w:rPr>
        <w:t xml:space="preserve"> </w:t>
      </w:r>
      <w:r w:rsidR="00767342" w:rsidRPr="008F5223">
        <w:rPr>
          <w:rFonts w:cs="Arial"/>
        </w:rPr>
        <w:t xml:space="preserve">as provided </w:t>
      </w:r>
      <w:r w:rsidR="00767342">
        <w:rPr>
          <w:rFonts w:cs="Arial"/>
        </w:rPr>
        <w:t xml:space="preserve">by </w:t>
      </w:r>
      <w:r w:rsidR="00767342" w:rsidRPr="008F5223">
        <w:rPr>
          <w:rFonts w:cs="Arial"/>
        </w:rPr>
        <w:t>27 CFR 478.76</w:t>
      </w:r>
      <w:r w:rsidR="00767342">
        <w:rPr>
          <w:rFonts w:cs="Arial"/>
        </w:rPr>
        <w:t>,</w:t>
      </w:r>
      <w:r w:rsidR="00767342" w:rsidRPr="008F5223">
        <w:rPr>
          <w:rFonts w:cs="Arial"/>
        </w:rPr>
        <w:t xml:space="preserve"> </w:t>
      </w:r>
      <w:r w:rsidR="00767342"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 xml:space="preserve">procedure </w:t>
      </w:r>
      <w:r w:rsidR="006B1467">
        <w:rPr>
          <w:rFonts w:cs="Arial"/>
          <w:snapToGrid w:val="0"/>
        </w:rPr>
        <w:t>permitted by the “ATF”</w:t>
      </w:r>
      <w:r w:rsidR="00767342">
        <w:rPr>
          <w:rFonts w:cs="Arial"/>
          <w:snapToGrid w:val="0"/>
        </w:rPr>
        <w:t xml:space="preserve"> governing the requirements for representing a firearms licensee at a </w:t>
      </w:r>
      <w:r w:rsidR="00C3370B">
        <w:rPr>
          <w:rFonts w:cs="Arial"/>
          <w:snapToGrid w:val="0"/>
        </w:rPr>
        <w:t>“</w:t>
      </w:r>
      <w:r w:rsidR="00767342">
        <w:rPr>
          <w:rFonts w:cs="Arial"/>
          <w:snapToGrid w:val="0"/>
        </w:rPr>
        <w:t>proceeding”</w:t>
      </w:r>
      <w:r w:rsidR="003555EC">
        <w:rPr>
          <w:rFonts w:cs="Arial"/>
          <w:snapToGrid w:val="0"/>
        </w:rPr>
        <w:t>.</w:t>
      </w:r>
      <w:r w:rsidR="00767342">
        <w:rPr>
          <w:rFonts w:cs="Arial"/>
          <w:snapToGrid w:val="0"/>
        </w:rPr>
        <w:t xml:space="preserve"> </w:t>
      </w:r>
      <w:r w:rsidR="00C3370B">
        <w:rPr>
          <w:rFonts w:cs="Arial"/>
          <w:snapToGrid w:val="0"/>
        </w:rPr>
        <w:t xml:space="preserve"> </w:t>
      </w:r>
      <w:r w:rsidR="00F4010F" w:rsidRPr="0087124E">
        <w:rPr>
          <w:rFonts w:cs="Arial"/>
        </w:rPr>
        <w:t xml:space="preserve">However, we will have no duty to defend </w:t>
      </w:r>
      <w:r w:rsidR="008E2961">
        <w:rPr>
          <w:rFonts w:cs="Arial"/>
        </w:rPr>
        <w:t>you</w:t>
      </w:r>
      <w:r w:rsidR="002E3C5B">
        <w:rPr>
          <w:rFonts w:cs="Arial"/>
        </w:rPr>
        <w:t xml:space="preserve"> </w:t>
      </w:r>
      <w:r w:rsidR="00F4010F" w:rsidRPr="0087124E">
        <w:rPr>
          <w:rFonts w:cs="Arial"/>
        </w:rPr>
        <w:t xml:space="preserve">against any “proceeding” to which this insurance does not apply.  The amount we will pay for “defense costs” is limited as described in Paragraph </w:t>
      </w:r>
      <w:r w:rsidR="00F4010F" w:rsidRPr="0087124E">
        <w:rPr>
          <w:rFonts w:cs="Arial"/>
          <w:b/>
        </w:rPr>
        <w:t>3. Limits of Insurance</w:t>
      </w:r>
      <w:r w:rsidR="00F4010F" w:rsidRPr="0087124E">
        <w:rPr>
          <w:rFonts w:cs="Arial"/>
        </w:rPr>
        <w:t xml:space="preserve"> as shown below.  </w:t>
      </w:r>
    </w:p>
    <w:p w:rsidR="008F2534" w:rsidRDefault="008F253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 w:rsidR="00D32997">
        <w:rPr>
          <w:rFonts w:cs="Arial"/>
          <w:b/>
        </w:rPr>
        <w:t>b.</w:t>
      </w:r>
      <w:r w:rsidR="00D32997">
        <w:rPr>
          <w:rFonts w:cs="Arial"/>
          <w:b/>
        </w:rPr>
        <w:tab/>
      </w:r>
      <w:r w:rsidR="00D32997">
        <w:rPr>
          <w:rFonts w:cs="Arial"/>
        </w:rPr>
        <w:t xml:space="preserve">The insurance applies only if the </w:t>
      </w:r>
      <w:r w:rsidR="000A0E06">
        <w:rPr>
          <w:rFonts w:cs="Arial"/>
        </w:rPr>
        <w:t xml:space="preserve">“ATF” </w:t>
      </w:r>
      <w:r w:rsidR="00E4444C">
        <w:rPr>
          <w:rFonts w:cs="Arial"/>
        </w:rPr>
        <w:t xml:space="preserve">first </w:t>
      </w:r>
      <w:r w:rsidR="00D32997">
        <w:rPr>
          <w:rFonts w:cs="Arial"/>
        </w:rPr>
        <w:t xml:space="preserve">notifies </w:t>
      </w:r>
      <w:r w:rsidR="00C3257A">
        <w:rPr>
          <w:rFonts w:cs="Arial"/>
        </w:rPr>
        <w:t>you</w:t>
      </w:r>
      <w:r w:rsidR="00D32997">
        <w:rPr>
          <w:rFonts w:cs="Arial"/>
        </w:rPr>
        <w:t xml:space="preserve"> in writing during the policy period of the “proceeding”.</w:t>
      </w:r>
      <w:r w:rsidR="00C3370B">
        <w:rPr>
          <w:rFonts w:cs="Arial"/>
        </w:rPr>
        <w:t xml:space="preserve">  You shall report such notification to us as soon as practicable.</w:t>
      </w:r>
    </w:p>
    <w:p w:rsidR="00A10FE1" w:rsidRPr="00A10FE1" w:rsidRDefault="00A10FE1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  <w:b/>
        </w:rPr>
        <w:t>c.</w:t>
      </w:r>
      <w:r>
        <w:rPr>
          <w:rFonts w:cs="Arial"/>
          <w:b/>
        </w:rPr>
        <w:tab/>
      </w:r>
      <w:r>
        <w:rPr>
          <w:rFonts w:cs="Arial"/>
        </w:rPr>
        <w:t>This insurance applies only if, p</w:t>
      </w:r>
      <w:r w:rsidRPr="00A10FE1">
        <w:t xml:space="preserve">rior to the </w:t>
      </w:r>
      <w:r w:rsidR="00E4444C">
        <w:t xml:space="preserve">first </w:t>
      </w:r>
      <w:r w:rsidR="00C3370B">
        <w:t>effective date of this “Defense Only Coverage for Certain ATF Proceedings Endorsement” which is continuously renewed with us</w:t>
      </w:r>
      <w:r w:rsidRPr="00A10FE1">
        <w:t xml:space="preserve">, </w:t>
      </w:r>
      <w:r w:rsidR="00C86E97">
        <w:t xml:space="preserve">neither </w:t>
      </w:r>
      <w:r>
        <w:t xml:space="preserve">you </w:t>
      </w:r>
      <w:r w:rsidR="00C86E97">
        <w:t>n</w:t>
      </w:r>
      <w:r>
        <w:t>or</w:t>
      </w:r>
      <w:r w:rsidR="00C86E97">
        <w:t xml:space="preserve"> any </w:t>
      </w:r>
      <w:r w:rsidR="003555EC">
        <w:t>of your “employees”</w:t>
      </w:r>
      <w:r w:rsidRPr="00A10FE1">
        <w:t xml:space="preserve"> receive</w:t>
      </w:r>
      <w:r w:rsidR="00546BBB">
        <w:t>d</w:t>
      </w:r>
      <w:r w:rsidRPr="00A10FE1">
        <w:t xml:space="preserve"> notice of a "</w:t>
      </w:r>
      <w:r w:rsidR="00C86E97">
        <w:t>violation</w:t>
      </w:r>
      <w:r w:rsidR="003555EC">
        <w:t>" or</w:t>
      </w:r>
      <w:r w:rsidRPr="00A10FE1">
        <w:t xml:space="preserve"> knew that the "</w:t>
      </w:r>
      <w:r w:rsidR="00C86E97">
        <w:t>violation”</w:t>
      </w:r>
      <w:r w:rsidRPr="00A10FE1">
        <w:t xml:space="preserve"> had occurred, in whole or in part. If </w:t>
      </w:r>
      <w:r w:rsidR="00C86E97">
        <w:t xml:space="preserve">you or </w:t>
      </w:r>
      <w:r w:rsidR="003555EC">
        <w:t>your “employees”</w:t>
      </w:r>
      <w:r w:rsidRPr="00A10FE1">
        <w:t xml:space="preserve"> </w:t>
      </w:r>
      <w:r w:rsidR="003555EC">
        <w:t xml:space="preserve">received notice of a “violation” or </w:t>
      </w:r>
      <w:r w:rsidRPr="00A10FE1">
        <w:t xml:space="preserve">knew, prior to </w:t>
      </w:r>
      <w:r w:rsidR="00C3370B">
        <w:t>such effective date</w:t>
      </w:r>
      <w:r w:rsidRPr="00A10FE1">
        <w:t>, that the "</w:t>
      </w:r>
      <w:r w:rsidR="00C86E97">
        <w:t>violation</w:t>
      </w:r>
      <w:r w:rsidRPr="00A10FE1">
        <w:t>"</w:t>
      </w:r>
      <w:r w:rsidR="00C86E97">
        <w:t xml:space="preserve"> </w:t>
      </w:r>
      <w:r w:rsidRPr="00A10FE1">
        <w:t>occurred, then any continuation, change or resumption of such "</w:t>
      </w:r>
      <w:r w:rsidR="00C86E97">
        <w:t>violation</w:t>
      </w:r>
      <w:r w:rsidR="003555EC">
        <w:t>”</w:t>
      </w:r>
      <w:r w:rsidRPr="00A10FE1">
        <w:t xml:space="preserve"> during or after the policy period will be deemed to have been known prior to the policy period</w:t>
      </w:r>
      <w:r w:rsidR="003555EC">
        <w:t xml:space="preserve"> and notification of a “proceeding” arising out of such “violation(s)” shall not be covered under this endorsement</w:t>
      </w:r>
      <w:r w:rsidR="00C86E97">
        <w:t>.</w:t>
      </w:r>
    </w:p>
    <w:p w:rsidR="00F4010F" w:rsidRPr="0087124E" w:rsidRDefault="00E877CD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 w:rsidRPr="00E877CD">
        <w:rPr>
          <w:rFonts w:cs="Arial"/>
          <w:b/>
        </w:rPr>
        <w:lastRenderedPageBreak/>
        <w:t>2.</w:t>
      </w:r>
      <w:r>
        <w:rPr>
          <w:rFonts w:cs="Arial"/>
        </w:rPr>
        <w:tab/>
      </w:r>
      <w:r w:rsidR="00F4010F" w:rsidRPr="0087124E">
        <w:rPr>
          <w:rFonts w:cs="Arial"/>
          <w:b/>
        </w:rPr>
        <w:t>Exclusions</w:t>
      </w:r>
    </w:p>
    <w:p w:rsidR="007F283E" w:rsidRPr="0087124E" w:rsidRDefault="007F283E" w:rsidP="00292C3F">
      <w:pPr>
        <w:tabs>
          <w:tab w:val="left" w:pos="-1080"/>
          <w:tab w:val="left" w:pos="-720"/>
          <w:tab w:val="left" w:pos="0"/>
          <w:tab w:val="left" w:pos="450"/>
          <w:tab w:val="left" w:pos="1080"/>
          <w:tab w:val="left" w:pos="1440"/>
          <w:tab w:val="left" w:pos="1800"/>
          <w:tab w:val="left" w:pos="2160"/>
          <w:tab w:val="left" w:pos="2520"/>
        </w:tabs>
        <w:spacing w:before="200"/>
        <w:ind w:left="360"/>
        <w:jc w:val="both"/>
        <w:rPr>
          <w:rFonts w:cs="Arial"/>
        </w:rPr>
      </w:pPr>
      <w:r w:rsidRPr="0087124E">
        <w:rPr>
          <w:rFonts w:cs="Arial"/>
        </w:rPr>
        <w:t xml:space="preserve">This </w:t>
      </w:r>
      <w:r w:rsidR="00F4010F" w:rsidRPr="0087124E">
        <w:rPr>
          <w:rFonts w:cs="Arial"/>
        </w:rPr>
        <w:t>insurance d</w:t>
      </w:r>
      <w:r w:rsidRPr="0087124E">
        <w:rPr>
          <w:rFonts w:cs="Arial"/>
        </w:rPr>
        <w:t xml:space="preserve">oes not apply </w:t>
      </w:r>
      <w:r w:rsidR="00D76FF2">
        <w:rPr>
          <w:rFonts w:cs="Arial"/>
        </w:rPr>
        <w:t>to, and we will not defend or pay any “defense costs”</w:t>
      </w:r>
      <w:r w:rsidRPr="0087124E">
        <w:rPr>
          <w:rFonts w:cs="Arial"/>
        </w:rPr>
        <w:t>:</w:t>
      </w:r>
    </w:p>
    <w:p w:rsidR="004C7854" w:rsidRDefault="00366986" w:rsidP="00E4444C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 w:hanging="720"/>
        <w:jc w:val="both"/>
        <w:rPr>
          <w:rFonts w:cs="Arial"/>
          <w:b/>
        </w:rPr>
      </w:pPr>
      <w:r>
        <w:rPr>
          <w:rFonts w:cs="Arial"/>
        </w:rPr>
        <w:tab/>
      </w:r>
      <w:proofErr w:type="gramStart"/>
      <w:r w:rsidR="003D6F78" w:rsidRPr="003D6F78">
        <w:rPr>
          <w:rFonts w:cs="Arial"/>
          <w:b/>
        </w:rPr>
        <w:t>a</w:t>
      </w:r>
      <w:proofErr w:type="gramEnd"/>
      <w:r w:rsidR="00461BC2" w:rsidRPr="00461BC2">
        <w:rPr>
          <w:rFonts w:cs="Arial"/>
          <w:b/>
        </w:rPr>
        <w:t>.</w:t>
      </w:r>
      <w:r w:rsidR="00461BC2">
        <w:rPr>
          <w:rFonts w:cs="Arial"/>
        </w:rPr>
        <w:tab/>
      </w:r>
      <w:r w:rsidR="003555EC">
        <w:rPr>
          <w:rFonts w:cs="Arial"/>
          <w:b/>
        </w:rPr>
        <w:t xml:space="preserve">After </w:t>
      </w:r>
      <w:r w:rsidR="00C3370B">
        <w:rPr>
          <w:rFonts w:cs="Arial"/>
          <w:b/>
        </w:rPr>
        <w:t>Adjudication by De Novo Judicial Review</w:t>
      </w:r>
    </w:p>
    <w:p w:rsidR="00461BC2" w:rsidRPr="00461BC2" w:rsidRDefault="003555EC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bookmarkStart w:id="0" w:name="OLE_LINK1"/>
      <w:bookmarkStart w:id="1" w:name="OLE_LINK2"/>
      <w:proofErr w:type="gramStart"/>
      <w:r>
        <w:rPr>
          <w:rFonts w:cs="Arial"/>
        </w:rPr>
        <w:t xml:space="preserve">After </w:t>
      </w:r>
      <w:bookmarkEnd w:id="0"/>
      <w:bookmarkEnd w:id="1"/>
      <w:r w:rsidR="00C3370B">
        <w:rPr>
          <w:rFonts w:cs="Arial"/>
        </w:rPr>
        <w:t>adjudication by de novo judicial review of a final denial of a renewal, suspension or revocation of a firearms license.</w:t>
      </w:r>
      <w:proofErr w:type="gramEnd"/>
    </w:p>
    <w:p w:rsidR="00366986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b</w:t>
      </w:r>
      <w:r w:rsidR="00366986">
        <w:rPr>
          <w:rFonts w:cs="Arial"/>
          <w:b/>
        </w:rPr>
        <w:t>.</w:t>
      </w:r>
      <w:r w:rsidR="00366986">
        <w:rPr>
          <w:rFonts w:cs="Arial"/>
        </w:rPr>
        <w:tab/>
      </w:r>
      <w:r w:rsidR="00366986">
        <w:rPr>
          <w:rFonts w:cs="Arial"/>
          <w:b/>
        </w:rPr>
        <w:t>Criminal Acts</w:t>
      </w:r>
    </w:p>
    <w:p w:rsidR="003E3375" w:rsidRDefault="003555EC" w:rsidP="00292C3F">
      <w:pPr>
        <w:pStyle w:val="blocktext3"/>
        <w:spacing w:before="200" w:line="240" w:lineRule="auto"/>
        <w:ind w:left="720"/>
      </w:pPr>
      <w:r>
        <w:rPr>
          <w:rFonts w:cs="Arial"/>
        </w:rPr>
        <w:t>Arising out of a</w:t>
      </w:r>
      <w:r w:rsidR="00366986">
        <w:rPr>
          <w:rFonts w:cs="Arial"/>
        </w:rPr>
        <w:t>ny “violation” which results in a</w:t>
      </w:r>
      <w:r w:rsidR="003E3375">
        <w:rPr>
          <w:rFonts w:cs="Arial"/>
        </w:rPr>
        <w:t xml:space="preserve">ny criminal </w:t>
      </w:r>
      <w:r w:rsidR="00C3370B">
        <w:rPr>
          <w:rFonts w:cs="Arial"/>
        </w:rPr>
        <w:t>indictments or charges</w:t>
      </w:r>
      <w:r w:rsidR="003E3375">
        <w:rPr>
          <w:rFonts w:cs="Arial"/>
        </w:rPr>
        <w:t xml:space="preserve"> or </w:t>
      </w:r>
      <w:r w:rsidR="003E3375">
        <w:t xml:space="preserve">arises out of a criminal act committed by or at the direction of </w:t>
      </w:r>
      <w:r>
        <w:t>any</w:t>
      </w:r>
      <w:r w:rsidR="003E3375">
        <w:t xml:space="preserve"> insured.</w:t>
      </w:r>
    </w:p>
    <w:p w:rsidR="00F4010F" w:rsidRPr="0087124E" w:rsidRDefault="004C7854" w:rsidP="00292C3F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="003D6F78">
        <w:rPr>
          <w:rFonts w:cs="Arial"/>
          <w:b/>
        </w:rPr>
        <w:t>c</w:t>
      </w:r>
      <w:r w:rsidR="00366986">
        <w:rPr>
          <w:rFonts w:cs="Arial"/>
          <w:b/>
        </w:rPr>
        <w:t>.</w:t>
      </w:r>
      <w:r w:rsidR="00366986">
        <w:rPr>
          <w:rFonts w:cs="Arial"/>
          <w:b/>
        </w:rPr>
        <w:tab/>
      </w:r>
      <w:r w:rsidR="00F4010F" w:rsidRPr="0087124E">
        <w:rPr>
          <w:rFonts w:cs="Arial"/>
          <w:b/>
        </w:rPr>
        <w:t xml:space="preserve">Other </w:t>
      </w:r>
      <w:proofErr w:type="spellStart"/>
      <w:r w:rsidR="00F4010F" w:rsidRPr="0087124E">
        <w:rPr>
          <w:rFonts w:cs="Arial"/>
          <w:b/>
        </w:rPr>
        <w:t>Coverages</w:t>
      </w:r>
      <w:proofErr w:type="spellEnd"/>
      <w:r w:rsidR="00F4010F" w:rsidRPr="0087124E">
        <w:rPr>
          <w:rFonts w:cs="Arial"/>
          <w:b/>
        </w:rPr>
        <w:t xml:space="preserve"> </w:t>
      </w:r>
    </w:p>
    <w:p w:rsidR="00F4010F" w:rsidRDefault="003555EC" w:rsidP="00292C3F">
      <w:pPr>
        <w:tabs>
          <w:tab w:val="left" w:pos="-1080"/>
          <w:tab w:val="left" w:pos="-720"/>
          <w:tab w:val="left" w:pos="0"/>
          <w:tab w:val="left" w:pos="450"/>
          <w:tab w:val="left" w:pos="720"/>
          <w:tab w:val="left" w:pos="1800"/>
          <w:tab w:val="left" w:pos="2160"/>
          <w:tab w:val="left" w:pos="2520"/>
        </w:tabs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Arising out of a</w:t>
      </w:r>
      <w:r w:rsidR="00F4010F" w:rsidRPr="0087124E">
        <w:rPr>
          <w:rFonts w:cs="Arial"/>
        </w:rPr>
        <w:t>ny “</w:t>
      </w:r>
      <w:r w:rsidR="00427B30">
        <w:rPr>
          <w:rFonts w:cs="Arial"/>
        </w:rPr>
        <w:t>violation</w:t>
      </w:r>
      <w:r w:rsidR="00F4010F" w:rsidRPr="0087124E">
        <w:rPr>
          <w:rFonts w:cs="Arial"/>
        </w:rPr>
        <w:t xml:space="preserve">” that is covered under </w:t>
      </w:r>
      <w:proofErr w:type="spellStart"/>
      <w:r w:rsidR="0087124E">
        <w:rPr>
          <w:rFonts w:cs="Arial"/>
        </w:rPr>
        <w:t>Coverage</w:t>
      </w:r>
      <w:r w:rsidR="00385DF9">
        <w:rPr>
          <w:rFonts w:cs="Arial"/>
        </w:rPr>
        <w:t>s</w:t>
      </w:r>
      <w:proofErr w:type="spellEnd"/>
      <w:r w:rsidR="004A2870">
        <w:rPr>
          <w:rFonts w:cs="Arial"/>
        </w:rPr>
        <w:t xml:space="preserve"> A</w:t>
      </w:r>
      <w:r w:rsidR="00C3370B">
        <w:rPr>
          <w:rFonts w:cs="Arial"/>
        </w:rPr>
        <w:t xml:space="preserve"> or</w:t>
      </w:r>
      <w:r w:rsidR="004A2870">
        <w:rPr>
          <w:rFonts w:cs="Arial"/>
        </w:rPr>
        <w:t xml:space="preserve"> B of</w:t>
      </w:r>
      <w:r w:rsidR="0087124E">
        <w:rPr>
          <w:rFonts w:cs="Arial"/>
        </w:rPr>
        <w:t xml:space="preserve"> </w:t>
      </w:r>
      <w:r w:rsidR="00F4010F" w:rsidRPr="0087124E">
        <w:rPr>
          <w:rFonts w:cs="Arial"/>
        </w:rPr>
        <w:t>this policy.</w:t>
      </w:r>
      <w:proofErr w:type="gramEnd"/>
      <w:r w:rsidR="00F4010F" w:rsidRPr="0087124E">
        <w:rPr>
          <w:rFonts w:cs="Arial"/>
        </w:rPr>
        <w:t xml:space="preserve">  </w:t>
      </w:r>
    </w:p>
    <w:p w:rsidR="006710D8" w:rsidRDefault="00E15826" w:rsidP="00E15826">
      <w:pPr>
        <w:tabs>
          <w:tab w:val="left" w:pos="360"/>
        </w:tabs>
        <w:autoSpaceDE w:val="0"/>
        <w:autoSpaceDN w:val="0"/>
        <w:adjustRightInd w:val="0"/>
        <w:spacing w:before="200"/>
        <w:jc w:val="both"/>
        <w:rPr>
          <w:rFonts w:cs="Arial"/>
          <w:b/>
        </w:rPr>
      </w:pPr>
      <w:r>
        <w:rPr>
          <w:rFonts w:cs="Arial"/>
        </w:rPr>
        <w:tab/>
      </w:r>
      <w:r w:rsidRPr="00E15826">
        <w:rPr>
          <w:rFonts w:cs="Arial"/>
          <w:b/>
        </w:rPr>
        <w:t>d</w:t>
      </w:r>
      <w:r w:rsidR="006710D8">
        <w:rPr>
          <w:rFonts w:cs="Arial"/>
          <w:b/>
        </w:rPr>
        <w:t>.</w:t>
      </w:r>
      <w:r w:rsidR="006710D8">
        <w:rPr>
          <w:rFonts w:cs="Arial"/>
          <w:b/>
        </w:rPr>
        <w:tab/>
      </w:r>
      <w:r w:rsidR="00AE660E">
        <w:rPr>
          <w:rFonts w:cs="Arial"/>
          <w:b/>
        </w:rPr>
        <w:t xml:space="preserve">Participating in </w:t>
      </w:r>
      <w:r w:rsidR="006710D8">
        <w:rPr>
          <w:rFonts w:cs="Arial"/>
          <w:b/>
        </w:rPr>
        <w:t xml:space="preserve">Compliance Reviews, </w:t>
      </w:r>
      <w:r w:rsidR="006710D8" w:rsidRPr="000B3234">
        <w:rPr>
          <w:rFonts w:cs="Arial"/>
          <w:b/>
        </w:rPr>
        <w:t>Audits</w:t>
      </w:r>
      <w:r w:rsidR="006710D8">
        <w:rPr>
          <w:rFonts w:cs="Arial"/>
          <w:b/>
        </w:rPr>
        <w:t xml:space="preserve"> or Inspections</w:t>
      </w:r>
    </w:p>
    <w:p w:rsidR="003A3C8F" w:rsidRPr="002F1E80" w:rsidRDefault="00C3370B" w:rsidP="00292C3F">
      <w:pPr>
        <w:spacing w:before="200"/>
        <w:ind w:left="720"/>
        <w:jc w:val="both"/>
        <w:rPr>
          <w:rFonts w:cs="Arial"/>
        </w:rPr>
      </w:pPr>
      <w:proofErr w:type="gramStart"/>
      <w:r>
        <w:rPr>
          <w:rFonts w:cs="Arial"/>
        </w:rPr>
        <w:t>I</w:t>
      </w:r>
      <w:r w:rsidR="00AE660E">
        <w:rPr>
          <w:rFonts w:cs="Arial"/>
        </w:rPr>
        <w:t xml:space="preserve">ncurred by you to participate in any </w:t>
      </w:r>
      <w:r w:rsidR="003A3C8F">
        <w:rPr>
          <w:rFonts w:cs="Arial"/>
        </w:rPr>
        <w:t xml:space="preserve">compliance reviews, audits or inspections, whether or not requested by the </w:t>
      </w:r>
      <w:r w:rsidR="000A0E06">
        <w:rPr>
          <w:rFonts w:cs="Arial"/>
        </w:rPr>
        <w:t>“ATF”.</w:t>
      </w:r>
      <w:proofErr w:type="gramEnd"/>
    </w:p>
    <w:p w:rsidR="00354C71" w:rsidRDefault="004F45A9" w:rsidP="00292C3F">
      <w:pPr>
        <w:tabs>
          <w:tab w:val="left" w:pos="-1080"/>
          <w:tab w:val="left" w:pos="-720"/>
          <w:tab w:val="left" w:pos="0"/>
          <w:tab w:val="left" w:pos="360"/>
          <w:tab w:val="left" w:pos="1800"/>
          <w:tab w:val="left" w:pos="2160"/>
          <w:tab w:val="left" w:pos="2520"/>
        </w:tabs>
        <w:spacing w:before="200"/>
        <w:jc w:val="both"/>
        <w:rPr>
          <w:rFonts w:cs="Arial"/>
          <w:b/>
        </w:rPr>
      </w:pPr>
      <w:r w:rsidRPr="004F45A9">
        <w:rPr>
          <w:rFonts w:cs="Arial"/>
          <w:b/>
        </w:rPr>
        <w:t>3.</w:t>
      </w:r>
      <w:r>
        <w:rPr>
          <w:rFonts w:cs="Arial"/>
        </w:rPr>
        <w:tab/>
      </w:r>
      <w:r w:rsidR="00354C71">
        <w:rPr>
          <w:rFonts w:cs="Arial"/>
          <w:b/>
        </w:rPr>
        <w:t>Limits of Insurance</w:t>
      </w:r>
    </w:p>
    <w:p w:rsidR="00354C71" w:rsidRPr="00395845" w:rsidRDefault="00395845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="00354C71">
        <w:rPr>
          <w:rFonts w:cs="Arial"/>
        </w:rPr>
        <w:t xml:space="preserve">The </w:t>
      </w:r>
      <w:r w:rsidR="00573C26">
        <w:rPr>
          <w:rFonts w:cs="Arial"/>
        </w:rPr>
        <w:t xml:space="preserve">Limits of Insurance shown in the Schedule to </w:t>
      </w:r>
      <w:r w:rsidR="00CE6768">
        <w:rPr>
          <w:rFonts w:cs="Arial"/>
        </w:rPr>
        <w:t xml:space="preserve">this </w:t>
      </w:r>
      <w:r w:rsidR="00C449EE">
        <w:rPr>
          <w:rFonts w:cs="Arial"/>
        </w:rPr>
        <w:t>“</w:t>
      </w:r>
      <w:r w:rsidR="003005E1" w:rsidRPr="004F45A9">
        <w:rPr>
          <w:rFonts w:cs="Arial"/>
        </w:rPr>
        <w:t xml:space="preserve">Defense Only Coverage </w:t>
      </w:r>
      <w:r w:rsidR="004C7854">
        <w:rPr>
          <w:rFonts w:cs="Arial"/>
        </w:rPr>
        <w:t>F</w:t>
      </w:r>
      <w:r w:rsidR="003005E1" w:rsidRPr="004F45A9">
        <w:rPr>
          <w:rFonts w:cs="Arial"/>
        </w:rPr>
        <w:t xml:space="preserve">or Certain </w:t>
      </w:r>
      <w:r w:rsidR="000A0E06">
        <w:rPr>
          <w:rFonts w:cs="Arial"/>
        </w:rPr>
        <w:t xml:space="preserve">ATF </w:t>
      </w:r>
      <w:r w:rsidR="003005E1" w:rsidRPr="004F45A9">
        <w:rPr>
          <w:rFonts w:cs="Arial"/>
        </w:rPr>
        <w:t>Proceedings Endorsement</w:t>
      </w:r>
      <w:r w:rsidR="0061334B">
        <w:rPr>
          <w:rFonts w:cs="Arial"/>
        </w:rPr>
        <w:t>”</w:t>
      </w:r>
      <w:r w:rsidR="00C449EE">
        <w:rPr>
          <w:rFonts w:cs="Arial"/>
        </w:rPr>
        <w:t xml:space="preserve"> </w:t>
      </w:r>
      <w:r w:rsidR="00023576">
        <w:rPr>
          <w:rFonts w:cs="Arial"/>
        </w:rPr>
        <w:t xml:space="preserve">(hereinafter </w:t>
      </w:r>
      <w:r w:rsidR="00C449EE">
        <w:rPr>
          <w:rFonts w:cs="Arial"/>
        </w:rPr>
        <w:t>the “</w:t>
      </w:r>
      <w:r w:rsidR="00023576">
        <w:rPr>
          <w:rFonts w:cs="Arial"/>
        </w:rPr>
        <w:t>Schedule”)</w:t>
      </w:r>
      <w:r w:rsidR="00E95E63">
        <w:rPr>
          <w:rFonts w:cs="Arial"/>
        </w:rPr>
        <w:t xml:space="preserve"> </w:t>
      </w:r>
      <w:r w:rsidR="003555EC">
        <w:rPr>
          <w:rFonts w:cs="Arial"/>
        </w:rPr>
        <w:t>apply to</w:t>
      </w:r>
      <w:r w:rsidR="00DA4803" w:rsidRPr="00395845">
        <w:rPr>
          <w:rFonts w:cs="Arial"/>
        </w:rPr>
        <w:t xml:space="preserve"> each “Licensed Location</w:t>
      </w:r>
      <w:r w:rsidR="00E95E63" w:rsidRPr="00395845">
        <w:rPr>
          <w:rFonts w:cs="Arial"/>
        </w:rPr>
        <w:t>”</w:t>
      </w:r>
      <w:r w:rsidR="00023576" w:rsidRPr="00395845">
        <w:rPr>
          <w:rFonts w:cs="Arial"/>
        </w:rPr>
        <w:t xml:space="preserve"> </w:t>
      </w:r>
      <w:r w:rsidR="00354C71" w:rsidRPr="00395845">
        <w:rPr>
          <w:rFonts w:cs="Arial"/>
        </w:rPr>
        <w:t>and the rules</w:t>
      </w:r>
      <w:r w:rsidR="00AB12BB" w:rsidRPr="00395845">
        <w:rPr>
          <w:rFonts w:cs="Arial"/>
        </w:rPr>
        <w:t xml:space="preserve"> below fix the most we will pay for “defense costs” </w:t>
      </w:r>
      <w:r w:rsidR="00354C71" w:rsidRPr="00395845">
        <w:rPr>
          <w:rFonts w:cs="Arial"/>
        </w:rPr>
        <w:t>regardless of the number of:</w:t>
      </w:r>
    </w:p>
    <w:p w:rsidR="00354C71" w:rsidRPr="00395845" w:rsidRDefault="00354C71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proofErr w:type="spellStart"/>
      <w:r w:rsidRPr="00395845">
        <w:rPr>
          <w:rFonts w:cs="Arial"/>
        </w:rPr>
        <w:t>Insureds</w:t>
      </w:r>
      <w:proofErr w:type="spellEnd"/>
      <w:r w:rsidRPr="00395845">
        <w:rPr>
          <w:rFonts w:cs="Arial"/>
        </w:rPr>
        <w:t>;</w:t>
      </w:r>
    </w:p>
    <w:p w:rsidR="00354C71" w:rsidRPr="00395845" w:rsidRDefault="00DA5BB7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Persons or entities filing</w:t>
      </w:r>
      <w:r w:rsidR="00965BA4" w:rsidRPr="00395845">
        <w:rPr>
          <w:rFonts w:cs="Arial"/>
        </w:rPr>
        <w:t xml:space="preserve"> or initiating</w:t>
      </w:r>
      <w:r w:rsidR="00AB12BB" w:rsidRPr="00395845">
        <w:rPr>
          <w:rFonts w:cs="Arial"/>
        </w:rPr>
        <w:t xml:space="preserve"> a </w:t>
      </w:r>
      <w:r w:rsidR="00354C71" w:rsidRPr="00395845">
        <w:rPr>
          <w:rFonts w:cs="Arial"/>
        </w:rPr>
        <w:t>“</w:t>
      </w:r>
      <w:r w:rsidR="00AB12BB" w:rsidRPr="00395845">
        <w:rPr>
          <w:rFonts w:cs="Arial"/>
        </w:rPr>
        <w:t>p</w:t>
      </w:r>
      <w:r w:rsidR="00354C71" w:rsidRPr="00395845">
        <w:rPr>
          <w:rFonts w:cs="Arial"/>
        </w:rPr>
        <w:t>roceeding”</w:t>
      </w:r>
      <w:r w:rsidR="009C22AC" w:rsidRPr="00395845">
        <w:rPr>
          <w:rFonts w:cs="Arial"/>
        </w:rPr>
        <w:t xml:space="preserve">; </w:t>
      </w:r>
    </w:p>
    <w:p w:rsidR="00AB12BB" w:rsidRPr="00395845" w:rsidRDefault="009C22AC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>“</w:t>
      </w:r>
      <w:r w:rsidR="00D32997" w:rsidRPr="00395845">
        <w:rPr>
          <w:rFonts w:cs="Arial"/>
        </w:rPr>
        <w:t>Violations</w:t>
      </w:r>
      <w:r w:rsidRPr="00395845">
        <w:rPr>
          <w:rFonts w:cs="Arial"/>
        </w:rPr>
        <w:t>” cited in such “proceeding</w:t>
      </w:r>
      <w:r w:rsidR="006D58D1" w:rsidRPr="00395845">
        <w:rPr>
          <w:rFonts w:cs="Arial"/>
        </w:rPr>
        <w:t>s</w:t>
      </w:r>
      <w:r w:rsidRPr="00395845">
        <w:rPr>
          <w:rFonts w:cs="Arial"/>
        </w:rPr>
        <w:t>”</w:t>
      </w:r>
      <w:r w:rsidR="00AB12BB" w:rsidRPr="00395845">
        <w:rPr>
          <w:rFonts w:cs="Arial"/>
        </w:rPr>
        <w:t>; or</w:t>
      </w:r>
    </w:p>
    <w:p w:rsidR="009C22AC" w:rsidRPr="00395845" w:rsidRDefault="00AB12BB" w:rsidP="00292C3F">
      <w:pPr>
        <w:numPr>
          <w:ilvl w:val="2"/>
          <w:numId w:val="3"/>
        </w:numPr>
        <w:tabs>
          <w:tab w:val="left" w:pos="1080"/>
        </w:tabs>
        <w:spacing w:before="200"/>
        <w:ind w:hanging="1620"/>
        <w:jc w:val="both"/>
        <w:rPr>
          <w:rFonts w:cs="Arial"/>
        </w:rPr>
      </w:pPr>
      <w:r w:rsidRPr="00395845">
        <w:rPr>
          <w:rFonts w:cs="Arial"/>
        </w:rPr>
        <w:t xml:space="preserve">“Proceedings” </w:t>
      </w:r>
      <w:r w:rsidR="00965BA4" w:rsidRPr="00395845">
        <w:rPr>
          <w:rFonts w:cs="Arial"/>
        </w:rPr>
        <w:t xml:space="preserve">filed or </w:t>
      </w:r>
      <w:r w:rsidR="009A5829" w:rsidRPr="00395845">
        <w:rPr>
          <w:rFonts w:cs="Arial"/>
        </w:rPr>
        <w:t>initiated</w:t>
      </w:r>
      <w:r w:rsidR="00DA5BB7" w:rsidRPr="00395845">
        <w:rPr>
          <w:rFonts w:cs="Arial"/>
        </w:rPr>
        <w:t xml:space="preserve"> </w:t>
      </w:r>
      <w:r w:rsidRPr="00395845">
        <w:rPr>
          <w:rFonts w:cs="Arial"/>
        </w:rPr>
        <w:t>against the insured.</w:t>
      </w:r>
      <w:r w:rsidR="009C22AC" w:rsidRPr="00395845">
        <w:rPr>
          <w:rFonts w:cs="Arial"/>
        </w:rPr>
        <w:t xml:space="preserve">  </w:t>
      </w:r>
    </w:p>
    <w:p w:rsidR="00354C71" w:rsidRDefault="004F45A9" w:rsidP="00292C3F">
      <w:pPr>
        <w:spacing w:before="200"/>
        <w:ind w:left="720" w:hanging="360"/>
        <w:jc w:val="both"/>
        <w:rPr>
          <w:rFonts w:cs="Arial"/>
        </w:rPr>
      </w:pPr>
      <w:r w:rsidRPr="00395845">
        <w:rPr>
          <w:rFonts w:cs="Arial"/>
          <w:b/>
        </w:rPr>
        <w:t>b</w:t>
      </w:r>
      <w:r w:rsidRPr="00395845">
        <w:rPr>
          <w:rFonts w:cs="Arial"/>
        </w:rPr>
        <w:t>.</w:t>
      </w:r>
      <w:r w:rsidRPr="00395845">
        <w:rPr>
          <w:rFonts w:cs="Arial"/>
        </w:rPr>
        <w:tab/>
        <w:t>T</w:t>
      </w:r>
      <w:r w:rsidR="000F1573" w:rsidRPr="00395845">
        <w:rPr>
          <w:rFonts w:cs="Arial"/>
        </w:rPr>
        <w:t xml:space="preserve">he </w:t>
      </w:r>
      <w:r w:rsidR="00023576" w:rsidRPr="00395845">
        <w:rPr>
          <w:rFonts w:cs="Arial"/>
        </w:rPr>
        <w:t xml:space="preserve">Aggregate </w:t>
      </w:r>
      <w:r w:rsidRPr="00395845">
        <w:rPr>
          <w:rFonts w:cs="Arial"/>
        </w:rPr>
        <w:t xml:space="preserve">Proceeding </w:t>
      </w:r>
      <w:r w:rsidR="000F1573" w:rsidRPr="00395845">
        <w:rPr>
          <w:rFonts w:cs="Arial"/>
        </w:rPr>
        <w:t xml:space="preserve">Defense Limit </w:t>
      </w:r>
      <w:r w:rsidR="00023576" w:rsidRPr="00395845">
        <w:rPr>
          <w:rFonts w:cs="Arial"/>
        </w:rPr>
        <w:t>shown in</w:t>
      </w:r>
      <w:r w:rsidR="00023576">
        <w:rPr>
          <w:rFonts w:cs="Arial"/>
        </w:rPr>
        <w:t xml:space="preserve"> the </w:t>
      </w:r>
      <w:r w:rsidR="004C7854">
        <w:rPr>
          <w:rFonts w:cs="Arial"/>
        </w:rPr>
        <w:t>Schedule is</w:t>
      </w:r>
      <w:r w:rsidR="009C22AC">
        <w:rPr>
          <w:rFonts w:cs="Arial"/>
        </w:rPr>
        <w:t xml:space="preserve"> the most we will pay </w:t>
      </w:r>
      <w:r>
        <w:rPr>
          <w:rFonts w:cs="Arial"/>
        </w:rPr>
        <w:t xml:space="preserve">in the aggregate </w:t>
      </w:r>
      <w:r w:rsidR="009C22AC">
        <w:rPr>
          <w:rFonts w:cs="Arial"/>
        </w:rPr>
        <w:t xml:space="preserve">for all “defense costs” for all “proceedings” </w:t>
      </w:r>
      <w:r w:rsidR="00C449EE">
        <w:rPr>
          <w:rFonts w:cs="Arial"/>
        </w:rPr>
        <w:t xml:space="preserve">filed </w:t>
      </w:r>
      <w:r w:rsidR="00E0448D">
        <w:rPr>
          <w:rFonts w:cs="Arial"/>
        </w:rPr>
        <w:t xml:space="preserve">against </w:t>
      </w:r>
      <w:r w:rsidR="00610E81">
        <w:rPr>
          <w:rFonts w:cs="Arial"/>
        </w:rPr>
        <w:t xml:space="preserve">all </w:t>
      </w:r>
      <w:proofErr w:type="spellStart"/>
      <w:r w:rsidR="00610E81">
        <w:rPr>
          <w:rFonts w:cs="Arial"/>
        </w:rPr>
        <w:t>insureds</w:t>
      </w:r>
      <w:proofErr w:type="spellEnd"/>
      <w:r w:rsidR="003555EC">
        <w:rPr>
          <w:rFonts w:cs="Arial"/>
        </w:rPr>
        <w:t xml:space="preserve"> at each “licensed location”</w:t>
      </w:r>
      <w:r w:rsidR="00610E81">
        <w:rPr>
          <w:rFonts w:cs="Arial"/>
        </w:rPr>
        <w:t>.</w:t>
      </w:r>
    </w:p>
    <w:p w:rsidR="00610E81" w:rsidRDefault="00610E81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Subject to Subparagraph </w:t>
      </w:r>
      <w:r w:rsidRPr="00610E81">
        <w:rPr>
          <w:b/>
        </w:rPr>
        <w:t>b</w:t>
      </w:r>
      <w:r w:rsidR="00573C26" w:rsidRPr="00610E81">
        <w:rPr>
          <w:b/>
        </w:rPr>
        <w:t>.</w:t>
      </w:r>
      <w:r w:rsidR="00573C26">
        <w:t xml:space="preserve"> above</w:t>
      </w:r>
      <w:r>
        <w:t xml:space="preserve">, </w:t>
      </w:r>
      <w:r w:rsidR="004A2870">
        <w:t>the E</w:t>
      </w:r>
      <w:r w:rsidR="00573C26">
        <w:t xml:space="preserve">ach </w:t>
      </w:r>
      <w:r>
        <w:t xml:space="preserve">Proceeding Defense Limit </w:t>
      </w:r>
      <w:r w:rsidR="00573C26">
        <w:t xml:space="preserve">shown in </w:t>
      </w:r>
      <w:r>
        <w:t>Schedule</w:t>
      </w:r>
      <w:r w:rsidR="004F45A9">
        <w:t xml:space="preserve"> </w:t>
      </w:r>
      <w:r w:rsidR="003005E1">
        <w:rPr>
          <w:rFonts w:cs="Arial"/>
        </w:rPr>
        <w:t>is</w:t>
      </w:r>
      <w:r w:rsidR="00573C26">
        <w:t xml:space="preserve"> the most </w:t>
      </w:r>
      <w:r>
        <w:t xml:space="preserve">we </w:t>
      </w:r>
      <w:r w:rsidR="00573C26">
        <w:t xml:space="preserve">will </w:t>
      </w:r>
      <w:r>
        <w:t>pay f</w:t>
      </w:r>
      <w:r w:rsidR="00573C26">
        <w:t xml:space="preserve">or all </w:t>
      </w:r>
      <w:r>
        <w:t>“</w:t>
      </w:r>
      <w:r w:rsidR="00573C26" w:rsidRPr="00610E81">
        <w:t>defense costs</w:t>
      </w:r>
      <w:r>
        <w:t>”</w:t>
      </w:r>
      <w:r w:rsidR="00573C26">
        <w:t xml:space="preserve"> arising out of </w:t>
      </w:r>
      <w:r w:rsidR="000B64F8">
        <w:t>a single</w:t>
      </w:r>
      <w:r w:rsidR="00573C26">
        <w:t xml:space="preserve"> </w:t>
      </w:r>
      <w:r>
        <w:t>“</w:t>
      </w:r>
      <w:r w:rsidR="00573C26" w:rsidRPr="00610E81">
        <w:t>proceeding</w:t>
      </w:r>
      <w:r>
        <w:t>”</w:t>
      </w:r>
      <w:r w:rsidR="003555EC">
        <w:t xml:space="preserve"> at each “licensed location”</w:t>
      </w:r>
      <w:r w:rsidR="00573C26">
        <w:t xml:space="preserve">.  </w:t>
      </w:r>
    </w:p>
    <w:p w:rsidR="00573C26" w:rsidRPr="001A5A1E" w:rsidRDefault="00573C26" w:rsidP="00292C3F">
      <w:pPr>
        <w:numPr>
          <w:ilvl w:val="1"/>
          <w:numId w:val="3"/>
        </w:numPr>
        <w:tabs>
          <w:tab w:val="clear" w:pos="1440"/>
          <w:tab w:val="num" w:pos="720"/>
        </w:tabs>
        <w:spacing w:before="200"/>
        <w:ind w:left="720"/>
        <w:jc w:val="both"/>
      </w:pPr>
      <w:r>
        <w:t xml:space="preserve">All </w:t>
      </w:r>
      <w:r w:rsidR="00610E81">
        <w:t>“</w:t>
      </w:r>
      <w:r w:rsidRPr="00610E81">
        <w:t>proceedings</w:t>
      </w:r>
      <w:r w:rsidR="00610E81">
        <w:t>”</w:t>
      </w:r>
      <w:r>
        <w:t xml:space="preserve"> or series of related or interrelated </w:t>
      </w:r>
      <w:r w:rsidR="00610E81">
        <w:t>“</w:t>
      </w:r>
      <w:r w:rsidRPr="00610E81">
        <w:t>proceedings</w:t>
      </w:r>
      <w:r w:rsidR="00610E81">
        <w:t>”</w:t>
      </w:r>
      <w:r>
        <w:t xml:space="preserve"> arising </w:t>
      </w:r>
      <w:r w:rsidR="004F45A9">
        <w:t xml:space="preserve">out of </w:t>
      </w:r>
      <w:r w:rsidR="004F45A9">
        <w:rPr>
          <w:rFonts w:cs="Arial"/>
        </w:rPr>
        <w:t xml:space="preserve">an inspection </w:t>
      </w:r>
      <w:r w:rsidR="003555EC">
        <w:rPr>
          <w:rFonts w:cs="Arial"/>
        </w:rPr>
        <w:t xml:space="preserve">or re-inspection </w:t>
      </w:r>
      <w:r w:rsidR="004F45A9">
        <w:rPr>
          <w:rFonts w:cs="Arial"/>
        </w:rPr>
        <w:t>of the “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icensed </w:t>
      </w:r>
      <w:r w:rsidR="003555EC">
        <w:rPr>
          <w:rFonts w:cs="Arial"/>
        </w:rPr>
        <w:t>l</w:t>
      </w:r>
      <w:r w:rsidR="004F45A9">
        <w:rPr>
          <w:rFonts w:cs="Arial"/>
        </w:rPr>
        <w:t xml:space="preserve">ocation” by the </w:t>
      </w:r>
      <w:r w:rsidR="000A0E06">
        <w:rPr>
          <w:rFonts w:cs="Arial"/>
        </w:rPr>
        <w:t>“ATF”</w:t>
      </w:r>
      <w:r w:rsidR="004F45A9">
        <w:rPr>
          <w:rFonts w:cs="Arial"/>
        </w:rPr>
        <w:t xml:space="preserve"> </w:t>
      </w:r>
      <w:r>
        <w:t xml:space="preserve">will be deemed to be a single </w:t>
      </w:r>
      <w:r w:rsidR="00610E81">
        <w:t>“</w:t>
      </w:r>
      <w:r w:rsidRPr="00610E81">
        <w:t>proceeding</w:t>
      </w:r>
      <w:r w:rsidR="00610E81">
        <w:t>”</w:t>
      </w:r>
      <w:r>
        <w:t xml:space="preserve"> and will be deemed to have occurred when </w:t>
      </w:r>
      <w:r w:rsidR="003555EC">
        <w:t xml:space="preserve">you receive written notice of </w:t>
      </w:r>
      <w:r>
        <w:t xml:space="preserve">the first </w:t>
      </w:r>
      <w:r w:rsidR="00610E81">
        <w:t>“</w:t>
      </w:r>
      <w:r w:rsidRPr="00610E81">
        <w:t>proceeding</w:t>
      </w:r>
      <w:r w:rsidR="00610E81">
        <w:t>”</w:t>
      </w:r>
      <w:r>
        <w:t xml:space="preserve"> </w:t>
      </w:r>
      <w:r w:rsidR="003555EC">
        <w:t>by the “ATF”</w:t>
      </w:r>
      <w:r>
        <w:t>.</w:t>
      </w:r>
      <w:r w:rsidR="003555EC">
        <w:t xml:space="preserve">  </w:t>
      </w:r>
      <w:r w:rsidRPr="001A5A1E">
        <w:t xml:space="preserve">Only the policy in effect when </w:t>
      </w:r>
      <w:r w:rsidR="00546BBB">
        <w:t>you receive written notice of the first “</w:t>
      </w:r>
      <w:r w:rsidR="00546BBB" w:rsidRPr="00610E81">
        <w:t>proceeding</w:t>
      </w:r>
      <w:r w:rsidR="00546BBB">
        <w:t xml:space="preserve">” </w:t>
      </w:r>
      <w:r w:rsidRPr="001A5A1E">
        <w:t xml:space="preserve">shall apply to all such </w:t>
      </w:r>
      <w:r w:rsidR="00E0448D">
        <w:t>“</w:t>
      </w:r>
      <w:r w:rsidRPr="00E0448D">
        <w:t>proceedings</w:t>
      </w:r>
      <w:r w:rsidR="00E0448D">
        <w:t>”</w:t>
      </w:r>
      <w:r w:rsidRPr="001A5A1E">
        <w:t>.</w:t>
      </w:r>
    </w:p>
    <w:p w:rsidR="009C22AC" w:rsidRDefault="009C22AC" w:rsidP="00292C3F">
      <w:pPr>
        <w:spacing w:before="200"/>
        <w:ind w:left="360" w:hanging="360"/>
        <w:jc w:val="both"/>
        <w:rPr>
          <w:rFonts w:cs="Arial"/>
          <w:b/>
        </w:rPr>
      </w:pPr>
      <w:r w:rsidRPr="009C22AC">
        <w:rPr>
          <w:rFonts w:cs="Arial"/>
          <w:b/>
        </w:rPr>
        <w:t>4.</w:t>
      </w:r>
      <w:r w:rsidRPr="009C22AC">
        <w:rPr>
          <w:rFonts w:cs="Arial"/>
          <w:b/>
        </w:rPr>
        <w:tab/>
      </w:r>
      <w:r>
        <w:rPr>
          <w:rFonts w:cs="Arial"/>
          <w:b/>
        </w:rPr>
        <w:t>Definitions</w:t>
      </w:r>
    </w:p>
    <w:p w:rsidR="000A0E06" w:rsidRPr="00586194" w:rsidRDefault="000A0E06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a.</w:t>
      </w:r>
      <w:r>
        <w:rPr>
          <w:rFonts w:cs="Arial"/>
          <w:b/>
        </w:rPr>
        <w:tab/>
      </w:r>
      <w:r w:rsidRPr="000A0E06">
        <w:rPr>
          <w:rFonts w:cs="Arial"/>
        </w:rPr>
        <w:t>“ATF” means</w:t>
      </w:r>
      <w:r>
        <w:rPr>
          <w:rFonts w:cs="Arial"/>
        </w:rPr>
        <w:t xml:space="preserve"> the Bureau of Alcohol, Tobacco, Firearms and Explosives, or a similar state agency </w:t>
      </w:r>
      <w:r w:rsidRPr="00586194">
        <w:rPr>
          <w:rFonts w:cs="Arial"/>
        </w:rPr>
        <w:t>that has the authority to issue and revoke firearms licenses.</w:t>
      </w:r>
    </w:p>
    <w:p w:rsidR="00B5100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 w:rsidRPr="00586194">
        <w:rPr>
          <w:rFonts w:cs="Arial"/>
          <w:b/>
        </w:rPr>
        <w:t>b.</w:t>
      </w:r>
      <w:r w:rsidRPr="00586194">
        <w:rPr>
          <w:rFonts w:cs="Arial"/>
          <w:b/>
        </w:rPr>
        <w:tab/>
      </w:r>
      <w:r w:rsidRPr="00586194">
        <w:rPr>
          <w:rFonts w:cs="Arial"/>
        </w:rPr>
        <w:t>“Defense costs” means the cost of hiring an attorney, certified public</w:t>
      </w:r>
      <w:r w:rsidRPr="008F5223">
        <w:rPr>
          <w:rFonts w:cs="Arial"/>
        </w:rPr>
        <w:t xml:space="preserve"> accountant or other person recognized to practice before the </w:t>
      </w:r>
      <w:r>
        <w:rPr>
          <w:rFonts w:cs="Arial"/>
        </w:rPr>
        <w:t>“ATF”</w:t>
      </w:r>
      <w:r w:rsidR="00DA3830">
        <w:rPr>
          <w:rFonts w:cs="Arial"/>
        </w:rPr>
        <w:t xml:space="preserve"> to represent you at a “proceeding”</w:t>
      </w:r>
      <w:r>
        <w:rPr>
          <w:rFonts w:cs="Arial"/>
        </w:rPr>
        <w:t>,</w:t>
      </w:r>
      <w:r w:rsidRPr="008F5223">
        <w:rPr>
          <w:rFonts w:cs="Arial"/>
        </w:rPr>
        <w:t xml:space="preserve"> as provided </w:t>
      </w:r>
      <w:r>
        <w:rPr>
          <w:rFonts w:cs="Arial"/>
        </w:rPr>
        <w:t xml:space="preserve">by </w:t>
      </w:r>
      <w:r w:rsidRPr="008F5223">
        <w:rPr>
          <w:rFonts w:cs="Arial"/>
        </w:rPr>
        <w:t xml:space="preserve">27 </w:t>
      </w:r>
      <w:r w:rsidRPr="008F5223">
        <w:rPr>
          <w:rFonts w:cs="Arial"/>
        </w:rPr>
        <w:lastRenderedPageBreak/>
        <w:t>CFR 478.76</w:t>
      </w:r>
      <w:r>
        <w:rPr>
          <w:rFonts w:cs="Arial"/>
        </w:rPr>
        <w:t>,</w:t>
      </w:r>
      <w:r w:rsidRPr="008F5223">
        <w:rPr>
          <w:rFonts w:cs="Arial"/>
        </w:rPr>
        <w:t xml:space="preserve"> </w:t>
      </w:r>
      <w:r w:rsidRPr="003A3C8F">
        <w:rPr>
          <w:rFonts w:cs="Arial"/>
          <w:snapToGrid w:val="0"/>
        </w:rPr>
        <w:t xml:space="preserve">or </w:t>
      </w:r>
      <w:r w:rsidR="00D82C39">
        <w:rPr>
          <w:rFonts w:cs="Arial"/>
          <w:snapToGrid w:val="0"/>
        </w:rPr>
        <w:t xml:space="preserve">other </w:t>
      </w:r>
      <w:r w:rsidR="00C3370B">
        <w:rPr>
          <w:rFonts w:cs="Arial"/>
          <w:snapToGrid w:val="0"/>
        </w:rPr>
        <w:t xml:space="preserve">written </w:t>
      </w:r>
      <w:r w:rsidR="00D82C39">
        <w:rPr>
          <w:rFonts w:cs="Arial"/>
          <w:snapToGrid w:val="0"/>
        </w:rPr>
        <w:t>procedure</w:t>
      </w:r>
      <w:r w:rsidR="006B1467">
        <w:rPr>
          <w:rFonts w:cs="Arial"/>
          <w:snapToGrid w:val="0"/>
        </w:rPr>
        <w:t xml:space="preserve"> permitted by the “ATF”</w:t>
      </w:r>
      <w:r w:rsidR="00D82C39">
        <w:rPr>
          <w:rFonts w:cs="Arial"/>
          <w:snapToGrid w:val="0"/>
        </w:rPr>
        <w:t xml:space="preserve"> </w:t>
      </w:r>
      <w:r w:rsidR="00871943">
        <w:rPr>
          <w:rFonts w:cs="Arial"/>
          <w:snapToGrid w:val="0"/>
        </w:rPr>
        <w:t xml:space="preserve"> </w:t>
      </w:r>
      <w:r w:rsidR="00DA3830">
        <w:rPr>
          <w:rFonts w:cs="Arial"/>
          <w:snapToGrid w:val="0"/>
        </w:rPr>
        <w:t xml:space="preserve">governing the requirements for representing a firearms licensee at a </w:t>
      </w:r>
      <w:r w:rsidR="003555EC">
        <w:rPr>
          <w:rFonts w:cs="Arial"/>
          <w:snapToGrid w:val="0"/>
        </w:rPr>
        <w:t>“</w:t>
      </w:r>
      <w:r w:rsidR="00DA3830">
        <w:rPr>
          <w:rFonts w:cs="Arial"/>
          <w:snapToGrid w:val="0"/>
        </w:rPr>
        <w:t>proceeding”.</w:t>
      </w:r>
      <w:r>
        <w:rPr>
          <w:rFonts w:cs="Arial"/>
        </w:rPr>
        <w:t xml:space="preserve">  </w:t>
      </w:r>
    </w:p>
    <w:p w:rsidR="00B5100B" w:rsidRPr="000A0E06" w:rsidRDefault="00B5100B" w:rsidP="00292C3F">
      <w:pPr>
        <w:spacing w:before="200"/>
        <w:ind w:left="720" w:hanging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</w:rPr>
        <w:t xml:space="preserve">“Defense costs” do not include equitable relief or any type of damages, </w:t>
      </w:r>
      <w:r w:rsidR="003555EC">
        <w:rPr>
          <w:rFonts w:cs="Arial"/>
        </w:rPr>
        <w:t xml:space="preserve">including, but not limited to, </w:t>
      </w:r>
      <w:r>
        <w:rPr>
          <w:rFonts w:cs="Arial"/>
        </w:rPr>
        <w:t>compensatory damages, consequential damages, punitive damages, exemplary damages, fines, penalties, statutory damages</w:t>
      </w:r>
      <w:r w:rsidR="00C3370B">
        <w:rPr>
          <w:rFonts w:cs="Arial"/>
        </w:rPr>
        <w:t xml:space="preserve"> or any court costs, filing fees, expenses, or costs charged to you by any governmental agency or court</w:t>
      </w:r>
      <w:r>
        <w:rPr>
          <w:rFonts w:cs="Arial"/>
        </w:rPr>
        <w:t>.</w:t>
      </w:r>
    </w:p>
    <w:p w:rsidR="00E95E63" w:rsidRPr="00395845" w:rsidRDefault="00B5100B" w:rsidP="00292C3F">
      <w:pPr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c.</w:t>
      </w:r>
      <w:r>
        <w:rPr>
          <w:rFonts w:cs="Arial"/>
          <w:b/>
        </w:rPr>
        <w:tab/>
      </w:r>
      <w:r w:rsidR="00E95E63" w:rsidRPr="00395845">
        <w:rPr>
          <w:rFonts w:cs="Arial"/>
        </w:rPr>
        <w:t>“</w:t>
      </w:r>
      <w:r w:rsidR="00DA4803" w:rsidRPr="00395845">
        <w:rPr>
          <w:rFonts w:cs="Arial"/>
        </w:rPr>
        <w:t xml:space="preserve">Licensed </w:t>
      </w:r>
      <w:r w:rsidR="00AD76DE">
        <w:rPr>
          <w:rFonts w:cs="Arial"/>
        </w:rPr>
        <w:t>l</w:t>
      </w:r>
      <w:r w:rsidR="00DA4803" w:rsidRPr="00395845">
        <w:rPr>
          <w:rFonts w:cs="Arial"/>
        </w:rPr>
        <w:t>ocation</w:t>
      </w:r>
      <w:r w:rsidR="00E95E63" w:rsidRPr="00395845">
        <w:rPr>
          <w:rFonts w:cs="Arial"/>
        </w:rPr>
        <w:t>” means</w:t>
      </w:r>
      <w:r w:rsidR="00DA4803" w:rsidRPr="00395845">
        <w:rPr>
          <w:rFonts w:cs="Arial"/>
        </w:rPr>
        <w:t xml:space="preserve"> each location </w:t>
      </w:r>
      <w:r w:rsidR="00395845" w:rsidRPr="00395845">
        <w:rPr>
          <w:rFonts w:cs="Arial"/>
        </w:rPr>
        <w:t xml:space="preserve">owned by </w:t>
      </w:r>
      <w:r w:rsidR="00143C5F">
        <w:rPr>
          <w:rFonts w:cs="Arial"/>
        </w:rPr>
        <w:t>you</w:t>
      </w:r>
      <w:r w:rsidR="00395845" w:rsidRPr="00395845">
        <w:rPr>
          <w:rFonts w:cs="Arial"/>
        </w:rPr>
        <w:t xml:space="preserve"> that holds </w:t>
      </w:r>
      <w:r w:rsidR="003555EC">
        <w:rPr>
          <w:rFonts w:cs="Arial"/>
        </w:rPr>
        <w:t>the required</w:t>
      </w:r>
      <w:r w:rsidR="00395845" w:rsidRPr="00395845">
        <w:rPr>
          <w:rFonts w:cs="Arial"/>
        </w:rPr>
        <w:t xml:space="preserve"> </w:t>
      </w:r>
      <w:r w:rsidR="00DC7109">
        <w:rPr>
          <w:rFonts w:cs="Arial"/>
        </w:rPr>
        <w:t>f</w:t>
      </w:r>
      <w:r w:rsidR="00395845" w:rsidRPr="00395845">
        <w:rPr>
          <w:rFonts w:cs="Arial"/>
        </w:rPr>
        <w:t xml:space="preserve">irearms </w:t>
      </w:r>
      <w:r w:rsidR="00DC7109">
        <w:rPr>
          <w:rFonts w:cs="Arial"/>
        </w:rPr>
        <w:t>l</w:t>
      </w:r>
      <w:r w:rsidR="00395845" w:rsidRPr="00395845">
        <w:rPr>
          <w:rFonts w:cs="Arial"/>
        </w:rPr>
        <w:t xml:space="preserve">icense </w:t>
      </w:r>
      <w:r w:rsidR="003555EC">
        <w:rPr>
          <w:rFonts w:cs="Arial"/>
        </w:rPr>
        <w:t>in order to sell firearms at wholesale or retail.</w:t>
      </w:r>
    </w:p>
    <w:p w:rsidR="00951F8B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d</w:t>
      </w:r>
      <w:r w:rsidR="00E174AF">
        <w:rPr>
          <w:rFonts w:cs="Arial"/>
          <w:b/>
        </w:rPr>
        <w:t xml:space="preserve">. </w:t>
      </w:r>
      <w:r>
        <w:rPr>
          <w:rFonts w:cs="Arial"/>
          <w:b/>
        </w:rPr>
        <w:tab/>
      </w:r>
      <w:r w:rsidR="000F1F29">
        <w:rPr>
          <w:rFonts w:cs="Arial"/>
        </w:rPr>
        <w:t>“Proceeding” mean</w:t>
      </w:r>
      <w:r w:rsidR="00DA4803">
        <w:rPr>
          <w:rFonts w:cs="Arial"/>
        </w:rPr>
        <w:t>s a</w:t>
      </w:r>
      <w:r w:rsidR="00486643">
        <w:rPr>
          <w:rFonts w:cs="Arial"/>
        </w:rPr>
        <w:t xml:space="preserve"> hearing, including</w:t>
      </w:r>
      <w:r w:rsidR="00951F8B">
        <w:rPr>
          <w:rFonts w:cs="Arial"/>
        </w:rPr>
        <w:t>:</w:t>
      </w:r>
    </w:p>
    <w:p w:rsidR="00951F8B" w:rsidRDefault="00951F8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  <w:t>(1)</w:t>
      </w:r>
      <w:r>
        <w:rPr>
          <w:rFonts w:cs="Arial"/>
        </w:rPr>
        <w:tab/>
      </w:r>
      <w:proofErr w:type="gramStart"/>
      <w:r w:rsidR="00486643">
        <w:rPr>
          <w:rFonts w:cs="Arial"/>
        </w:rPr>
        <w:t>a</w:t>
      </w:r>
      <w:proofErr w:type="gramEnd"/>
      <w:r w:rsidR="00486643">
        <w:rPr>
          <w:rFonts w:cs="Arial"/>
        </w:rPr>
        <w:t xml:space="preserve"> “warning conference”</w:t>
      </w:r>
      <w:r>
        <w:rPr>
          <w:rFonts w:cs="Arial"/>
        </w:rPr>
        <w:t>;</w:t>
      </w:r>
    </w:p>
    <w:p w:rsidR="00951F8B" w:rsidRDefault="00951F8B" w:rsidP="00C3370B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800"/>
          <w:tab w:val="left" w:pos="2160"/>
          <w:tab w:val="left" w:pos="2520"/>
        </w:tabs>
        <w:spacing w:before="200"/>
        <w:ind w:left="1080" w:hanging="360"/>
        <w:jc w:val="both"/>
        <w:rPr>
          <w:rFonts w:cs="Arial"/>
        </w:rPr>
      </w:pPr>
      <w:r w:rsidRPr="00951F8B">
        <w:rPr>
          <w:rFonts w:cs="Arial"/>
          <w:b/>
        </w:rPr>
        <w:t>(2)</w:t>
      </w:r>
      <w:r>
        <w:rPr>
          <w:rFonts w:cs="Arial"/>
          <w:b/>
        </w:rPr>
        <w:tab/>
      </w:r>
      <w:proofErr w:type="gramStart"/>
      <w:r w:rsidR="00486643">
        <w:rPr>
          <w:rFonts w:cs="Arial"/>
        </w:rPr>
        <w:t>other</w:t>
      </w:r>
      <w:proofErr w:type="gramEnd"/>
      <w:r w:rsidR="00486643">
        <w:rPr>
          <w:rFonts w:cs="Arial"/>
        </w:rPr>
        <w:t xml:space="preserve"> hearing</w:t>
      </w:r>
      <w:r>
        <w:rPr>
          <w:rFonts w:cs="Arial"/>
        </w:rPr>
        <w:t xml:space="preserve">, as provided by 27 CFR 478.74, </w:t>
      </w:r>
      <w:r w:rsidR="00602273">
        <w:rPr>
          <w:rFonts w:cs="Arial"/>
        </w:rPr>
        <w:t xml:space="preserve">regarding the </w:t>
      </w:r>
      <w:r w:rsidR="00C3370B">
        <w:rPr>
          <w:rFonts w:cs="Arial"/>
        </w:rPr>
        <w:t xml:space="preserve">denial of a renewal, suspension or revocation of a firearms license </w:t>
      </w:r>
      <w:r w:rsidR="00A25A21">
        <w:rPr>
          <w:rFonts w:cs="Arial"/>
        </w:rPr>
        <w:t>by the “ATF”</w:t>
      </w:r>
      <w:r>
        <w:rPr>
          <w:rFonts w:cs="Arial"/>
        </w:rPr>
        <w:t>;</w:t>
      </w:r>
      <w:r w:rsidR="00AE660E">
        <w:rPr>
          <w:rFonts w:cs="Arial"/>
        </w:rPr>
        <w:t xml:space="preserve"> or </w:t>
      </w:r>
    </w:p>
    <w:p w:rsidR="00951F8B" w:rsidRDefault="00951F8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1080" w:hanging="720"/>
        <w:jc w:val="both"/>
        <w:rPr>
          <w:rFonts w:cs="Arial"/>
        </w:rPr>
      </w:pPr>
      <w:r>
        <w:rPr>
          <w:rFonts w:cs="Arial"/>
          <w:b/>
        </w:rPr>
        <w:tab/>
        <w:t>(3)</w:t>
      </w:r>
      <w:r>
        <w:rPr>
          <w:rFonts w:cs="Arial"/>
          <w:b/>
        </w:rPr>
        <w:tab/>
      </w:r>
      <w:proofErr w:type="gramStart"/>
      <w:r w:rsidR="00AE660E">
        <w:rPr>
          <w:rFonts w:cs="Arial"/>
        </w:rPr>
        <w:t>de</w:t>
      </w:r>
      <w:proofErr w:type="gramEnd"/>
      <w:r w:rsidR="00AE660E">
        <w:rPr>
          <w:rFonts w:cs="Arial"/>
        </w:rPr>
        <w:t xml:space="preserve"> novo judicial review of a final </w:t>
      </w:r>
      <w:r w:rsidR="00C3370B">
        <w:rPr>
          <w:rFonts w:cs="Arial"/>
        </w:rPr>
        <w:t xml:space="preserve">denial of a renewal, suspension or revocation of a firearms license </w:t>
      </w:r>
      <w:r>
        <w:rPr>
          <w:rFonts w:cs="Arial"/>
        </w:rPr>
        <w:t>by the “ATF”</w:t>
      </w:r>
    </w:p>
    <w:p w:rsidR="000F1F29" w:rsidRDefault="00951F8B" w:rsidP="00951F8B">
      <w:pPr>
        <w:tabs>
          <w:tab w:val="left" w:pos="360"/>
          <w:tab w:val="left" w:pos="72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ab/>
      </w:r>
      <w:proofErr w:type="gramStart"/>
      <w:r w:rsidR="00602273">
        <w:rPr>
          <w:rFonts w:cs="Arial"/>
        </w:rPr>
        <w:t>which</w:t>
      </w:r>
      <w:proofErr w:type="gramEnd"/>
      <w:r w:rsidR="00602273">
        <w:rPr>
          <w:rFonts w:cs="Arial"/>
        </w:rPr>
        <w:t xml:space="preserve"> occurs after you have been notified in writing </w:t>
      </w:r>
      <w:r w:rsidR="00486643">
        <w:rPr>
          <w:rFonts w:cs="Arial"/>
        </w:rPr>
        <w:t>of</w:t>
      </w:r>
      <w:r w:rsidR="00DA4803">
        <w:rPr>
          <w:rFonts w:cs="Arial"/>
        </w:rPr>
        <w:t xml:space="preserve"> </w:t>
      </w:r>
      <w:r w:rsidR="000F1F29">
        <w:rPr>
          <w:rFonts w:cs="Arial"/>
        </w:rPr>
        <w:t>a “</w:t>
      </w:r>
      <w:r w:rsidR="00D32997">
        <w:rPr>
          <w:rFonts w:cs="Arial"/>
        </w:rPr>
        <w:t>violation</w:t>
      </w:r>
      <w:r w:rsidR="000F1F29">
        <w:rPr>
          <w:rFonts w:cs="Arial"/>
        </w:rPr>
        <w:t>”</w:t>
      </w:r>
      <w:r w:rsidR="00602273">
        <w:rPr>
          <w:rFonts w:cs="Arial"/>
        </w:rPr>
        <w:t xml:space="preserve"> by the “ATF”.  However, we will not defend you until you have received </w:t>
      </w:r>
      <w:r w:rsidR="000C506E">
        <w:rPr>
          <w:rFonts w:cs="Arial"/>
        </w:rPr>
        <w:t xml:space="preserve">written </w:t>
      </w:r>
      <w:r w:rsidR="00602273">
        <w:rPr>
          <w:rFonts w:cs="Arial"/>
        </w:rPr>
        <w:t xml:space="preserve">notice </w:t>
      </w:r>
      <w:r w:rsidR="00AD76DE">
        <w:rPr>
          <w:rFonts w:cs="Arial"/>
        </w:rPr>
        <w:t xml:space="preserve">from the </w:t>
      </w:r>
      <w:r w:rsidR="005B1D96">
        <w:rPr>
          <w:rFonts w:cs="Arial"/>
        </w:rPr>
        <w:t>“</w:t>
      </w:r>
      <w:r w:rsidR="00AD76DE">
        <w:rPr>
          <w:rFonts w:cs="Arial"/>
        </w:rPr>
        <w:t>ATF</w:t>
      </w:r>
      <w:r w:rsidR="005B1D96">
        <w:rPr>
          <w:rFonts w:cs="Arial"/>
        </w:rPr>
        <w:t>”</w:t>
      </w:r>
      <w:r w:rsidR="00AD76DE">
        <w:rPr>
          <w:rFonts w:cs="Arial"/>
        </w:rPr>
        <w:t xml:space="preserve"> </w:t>
      </w:r>
      <w:r w:rsidR="00602273">
        <w:rPr>
          <w:rFonts w:cs="Arial"/>
        </w:rPr>
        <w:t>requir</w:t>
      </w:r>
      <w:r w:rsidR="00AD76DE">
        <w:rPr>
          <w:rFonts w:cs="Arial"/>
        </w:rPr>
        <w:t xml:space="preserve">ing your </w:t>
      </w:r>
      <w:r w:rsidR="00602273">
        <w:rPr>
          <w:rFonts w:cs="Arial"/>
        </w:rPr>
        <w:t>attendance</w:t>
      </w:r>
      <w:r w:rsidR="00AD76DE">
        <w:rPr>
          <w:rFonts w:cs="Arial"/>
        </w:rPr>
        <w:t xml:space="preserve"> at such a hearing.</w:t>
      </w:r>
      <w:r w:rsidR="00427B30">
        <w:rPr>
          <w:rFonts w:cs="Arial"/>
        </w:rPr>
        <w:t xml:space="preserve"> </w:t>
      </w:r>
    </w:p>
    <w:p w:rsidR="00AD76DE" w:rsidRDefault="00B5100B" w:rsidP="00292C3F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jc w:val="both"/>
        <w:rPr>
          <w:rFonts w:cs="Arial"/>
        </w:rPr>
      </w:pPr>
      <w:r>
        <w:rPr>
          <w:rFonts w:cs="Arial"/>
          <w:b/>
        </w:rPr>
        <w:t>e</w:t>
      </w:r>
      <w:r w:rsidR="00E174AF">
        <w:rPr>
          <w:rFonts w:cs="Arial"/>
          <w:b/>
        </w:rPr>
        <w:t xml:space="preserve">.  </w:t>
      </w:r>
      <w:r>
        <w:rPr>
          <w:rFonts w:cs="Arial"/>
          <w:b/>
        </w:rPr>
        <w:tab/>
      </w:r>
      <w:r w:rsidR="000F1F29">
        <w:rPr>
          <w:rFonts w:cs="Arial"/>
        </w:rPr>
        <w:t>“</w:t>
      </w:r>
      <w:r w:rsidR="00D32997">
        <w:rPr>
          <w:rFonts w:cs="Arial"/>
        </w:rPr>
        <w:t>Violation</w:t>
      </w:r>
      <w:r w:rsidR="000F1F29">
        <w:rPr>
          <w:rFonts w:cs="Arial"/>
        </w:rPr>
        <w:t xml:space="preserve">” means the actual or alleged failure to comply with </w:t>
      </w:r>
      <w:r w:rsidR="00427B30">
        <w:rPr>
          <w:rFonts w:cs="Arial"/>
        </w:rPr>
        <w:t>27 CFR 478</w:t>
      </w:r>
      <w:r w:rsidR="00547C61">
        <w:rPr>
          <w:rFonts w:cs="Arial"/>
        </w:rPr>
        <w:t xml:space="preserve"> </w:t>
      </w:r>
      <w:r w:rsidR="000F1F29" w:rsidRPr="0087124E">
        <w:rPr>
          <w:rFonts w:cs="Arial"/>
        </w:rPr>
        <w:t>et seq.</w:t>
      </w:r>
      <w:r w:rsidR="0078420D">
        <w:rPr>
          <w:rFonts w:cs="Arial"/>
        </w:rPr>
        <w:t>,</w:t>
      </w:r>
      <w:r w:rsidR="00E01BC8">
        <w:rPr>
          <w:rFonts w:cs="Arial"/>
        </w:rPr>
        <w:t xml:space="preserve"> </w:t>
      </w:r>
      <w:r w:rsidR="003555EC">
        <w:rPr>
          <w:rFonts w:cs="Arial"/>
        </w:rPr>
        <w:t>as may be amended from time to time</w:t>
      </w:r>
      <w:r w:rsidR="00E01BC8" w:rsidRPr="003A3C8F">
        <w:rPr>
          <w:rFonts w:cs="Arial"/>
        </w:rPr>
        <w:t xml:space="preserve">, </w:t>
      </w:r>
      <w:r w:rsidR="00486643">
        <w:rPr>
          <w:rFonts w:cs="Arial"/>
        </w:rPr>
        <w:t xml:space="preserve">or any similar state law or regulation </w:t>
      </w:r>
      <w:r w:rsidR="00486643">
        <w:rPr>
          <w:rFonts w:cs="Arial"/>
          <w:snapToGrid w:val="0"/>
        </w:rPr>
        <w:t xml:space="preserve">governing the administrative and recordkeeping </w:t>
      </w:r>
      <w:r w:rsidR="00ED3368">
        <w:rPr>
          <w:rFonts w:cs="Arial"/>
          <w:snapToGrid w:val="0"/>
        </w:rPr>
        <w:t>procedures of firearms dealers, provided that, you are in the business of selling firearms at wholesale or retail</w:t>
      </w:r>
      <w:r w:rsidR="003555EC">
        <w:rPr>
          <w:rFonts w:cs="Arial"/>
          <w:snapToGrid w:val="0"/>
        </w:rPr>
        <w:t>.  Such “violation” must have been</w:t>
      </w:r>
      <w:r w:rsidR="00602273">
        <w:rPr>
          <w:rFonts w:cs="Arial"/>
        </w:rPr>
        <w:t xml:space="preserve"> found during an “ATF” inspection of the “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icensed </w:t>
      </w:r>
      <w:r w:rsidR="00AD76DE">
        <w:rPr>
          <w:rFonts w:cs="Arial"/>
        </w:rPr>
        <w:t>l</w:t>
      </w:r>
      <w:r w:rsidR="00602273">
        <w:rPr>
          <w:rFonts w:cs="Arial"/>
        </w:rPr>
        <w:t xml:space="preserve">ocation” </w:t>
      </w:r>
      <w:r w:rsidR="00AD76DE">
        <w:rPr>
          <w:rFonts w:cs="Arial"/>
        </w:rPr>
        <w:t>authorized under 27 CFR 478.23(b</w:t>
      </w:r>
      <w:proofErr w:type="gramStart"/>
      <w:r w:rsidR="00AD76DE">
        <w:rPr>
          <w:rFonts w:cs="Arial"/>
        </w:rPr>
        <w:t>)(</w:t>
      </w:r>
      <w:proofErr w:type="gramEnd"/>
      <w:r w:rsidR="00AD76DE">
        <w:rPr>
          <w:rFonts w:cs="Arial"/>
        </w:rPr>
        <w:t>2)(</w:t>
      </w:r>
      <w:proofErr w:type="spellStart"/>
      <w:r w:rsidR="00AD76DE">
        <w:rPr>
          <w:rFonts w:cs="Arial"/>
        </w:rPr>
        <w:t>i</w:t>
      </w:r>
      <w:proofErr w:type="spellEnd"/>
      <w:r w:rsidR="00AD76DE">
        <w:rPr>
          <w:rFonts w:cs="Arial"/>
        </w:rPr>
        <w:t>)</w:t>
      </w:r>
      <w:r w:rsidR="00AD76DE">
        <w:t xml:space="preserve">, </w:t>
      </w:r>
      <w:r w:rsidR="00AD76DE" w:rsidRPr="003A3C8F">
        <w:rPr>
          <w:rFonts w:cs="Arial"/>
          <w:snapToGrid w:val="0"/>
        </w:rPr>
        <w:t xml:space="preserve">or any </w:t>
      </w:r>
      <w:r w:rsidR="00AD76DE">
        <w:rPr>
          <w:rFonts w:cs="Arial"/>
          <w:snapToGrid w:val="0"/>
        </w:rPr>
        <w:t xml:space="preserve">similar </w:t>
      </w:r>
      <w:r w:rsidR="00AD76DE" w:rsidRPr="003A3C8F">
        <w:rPr>
          <w:rFonts w:cs="Arial"/>
          <w:snapToGrid w:val="0"/>
        </w:rPr>
        <w:t xml:space="preserve">state </w:t>
      </w:r>
      <w:r w:rsidR="00AD76DE">
        <w:rPr>
          <w:rFonts w:cs="Arial"/>
          <w:snapToGrid w:val="0"/>
        </w:rPr>
        <w:t>law or r</w:t>
      </w:r>
      <w:r w:rsidR="00AD76DE" w:rsidRPr="003A3C8F">
        <w:rPr>
          <w:rFonts w:cs="Arial"/>
          <w:snapToGrid w:val="0"/>
        </w:rPr>
        <w:t>egulation</w:t>
      </w:r>
      <w:r w:rsidR="003555EC">
        <w:rPr>
          <w:rFonts w:cs="Arial"/>
          <w:snapToGrid w:val="0"/>
        </w:rPr>
        <w:t>.</w:t>
      </w:r>
    </w:p>
    <w:p w:rsidR="003005E1" w:rsidRDefault="00B5100B" w:rsidP="00951F8B">
      <w:pPr>
        <w:tabs>
          <w:tab w:val="left" w:pos="360"/>
          <w:tab w:val="left" w:pos="720"/>
          <w:tab w:val="left" w:pos="1080"/>
          <w:tab w:val="left" w:pos="2160"/>
          <w:tab w:val="right" w:pos="4677"/>
        </w:tabs>
        <w:spacing w:before="200"/>
        <w:ind w:left="720" w:hanging="360"/>
        <w:rPr>
          <w:rFonts w:cs="Arial"/>
        </w:rPr>
        <w:sectPr w:rsidR="003005E1" w:rsidSect="004F45A9">
          <w:footerReference w:type="default" r:id="rId7"/>
          <w:pgSz w:w="12240" w:h="15840" w:code="1"/>
          <w:pgMar w:top="1440" w:right="1440" w:bottom="1440" w:left="1440" w:header="720" w:footer="720" w:gutter="0"/>
          <w:cols w:space="720"/>
        </w:sectPr>
      </w:pPr>
      <w:r>
        <w:rPr>
          <w:rFonts w:cs="Arial"/>
          <w:b/>
        </w:rPr>
        <w:t>f</w:t>
      </w:r>
      <w:r w:rsidR="008F5223" w:rsidRPr="00395845">
        <w:rPr>
          <w:rFonts w:cs="Arial"/>
          <w:b/>
        </w:rPr>
        <w:t>.</w:t>
      </w:r>
      <w:r w:rsidR="008F5223" w:rsidRPr="00395845">
        <w:rPr>
          <w:rFonts w:cs="Arial"/>
        </w:rPr>
        <w:tab/>
        <w:t xml:space="preserve">“Warning </w:t>
      </w:r>
      <w:r w:rsidR="003A3C8F">
        <w:rPr>
          <w:rFonts w:cs="Arial"/>
        </w:rPr>
        <w:t>c</w:t>
      </w:r>
      <w:r w:rsidR="008F5223" w:rsidRPr="00395845">
        <w:rPr>
          <w:rFonts w:cs="Arial"/>
        </w:rPr>
        <w:t>onference”</w:t>
      </w:r>
      <w:r w:rsidR="003005E1" w:rsidRPr="00395845">
        <w:rPr>
          <w:rFonts w:cs="Arial"/>
        </w:rPr>
        <w:t xml:space="preserve"> means a</w:t>
      </w:r>
      <w:r w:rsidR="00951F8B">
        <w:rPr>
          <w:rFonts w:cs="Arial"/>
        </w:rPr>
        <w:t>n</w:t>
      </w:r>
      <w:r w:rsidR="003005E1" w:rsidRPr="00395845">
        <w:rPr>
          <w:rFonts w:cs="Arial"/>
        </w:rPr>
        <w:t xml:space="preserve"> </w:t>
      </w:r>
      <w:r w:rsidR="00951F8B">
        <w:rPr>
          <w:rFonts w:cs="Arial"/>
        </w:rPr>
        <w:t xml:space="preserve">informal </w:t>
      </w:r>
      <w:r w:rsidR="00533256">
        <w:rPr>
          <w:rFonts w:cs="Arial"/>
        </w:rPr>
        <w:t xml:space="preserve">conference </w:t>
      </w:r>
      <w:r w:rsidR="00533256" w:rsidRPr="00395845">
        <w:rPr>
          <w:rFonts w:cs="Arial"/>
        </w:rPr>
        <w:t>offered</w:t>
      </w:r>
      <w:r w:rsidR="003005E1" w:rsidRPr="00395845">
        <w:rPr>
          <w:rFonts w:cs="Arial"/>
        </w:rPr>
        <w:t xml:space="preserve"> by the </w:t>
      </w:r>
      <w:r w:rsidR="000A0E06">
        <w:rPr>
          <w:rFonts w:cs="Arial"/>
        </w:rPr>
        <w:t>“ATF”</w:t>
      </w:r>
      <w:r w:rsidR="00951F8B">
        <w:rPr>
          <w:rFonts w:cs="Arial"/>
        </w:rPr>
        <w:t>, in writing,</w:t>
      </w:r>
      <w:r w:rsidR="003005E1" w:rsidRPr="00395845">
        <w:rPr>
          <w:rFonts w:cs="Arial"/>
        </w:rPr>
        <w:t xml:space="preserve"> </w:t>
      </w:r>
      <w:r>
        <w:rPr>
          <w:rFonts w:cs="Arial"/>
        </w:rPr>
        <w:t xml:space="preserve">to provide </w:t>
      </w:r>
      <w:r w:rsidR="00371F23" w:rsidRPr="00395845">
        <w:rPr>
          <w:rFonts w:cs="Arial"/>
        </w:rPr>
        <w:t xml:space="preserve">the insured </w:t>
      </w:r>
      <w:r>
        <w:rPr>
          <w:rFonts w:cs="Arial"/>
        </w:rPr>
        <w:t xml:space="preserve">with the opportunity to </w:t>
      </w:r>
      <w:r w:rsidR="006056F0">
        <w:rPr>
          <w:rFonts w:cs="Arial"/>
        </w:rPr>
        <w:t xml:space="preserve">respond to </w:t>
      </w:r>
      <w:r w:rsidR="003005E1" w:rsidRPr="00395845">
        <w:rPr>
          <w:rFonts w:cs="Arial"/>
        </w:rPr>
        <w:t>the “violations”</w:t>
      </w:r>
      <w:r w:rsidR="00371F23" w:rsidRPr="00395845">
        <w:rPr>
          <w:rFonts w:cs="Arial"/>
        </w:rPr>
        <w:t xml:space="preserve"> and </w:t>
      </w:r>
      <w:r w:rsidR="005B1D96">
        <w:rPr>
          <w:rFonts w:cs="Arial"/>
        </w:rPr>
        <w:t>to determine any necessary</w:t>
      </w:r>
      <w:r w:rsidR="006056F0">
        <w:rPr>
          <w:rFonts w:cs="Arial"/>
        </w:rPr>
        <w:t xml:space="preserve"> </w:t>
      </w:r>
      <w:r w:rsidR="00371F23" w:rsidRPr="00395845">
        <w:rPr>
          <w:rFonts w:cs="Arial"/>
        </w:rPr>
        <w:t>corrective actions</w:t>
      </w:r>
      <w:r w:rsidR="00AD76DE">
        <w:rPr>
          <w:rFonts w:cs="Arial"/>
        </w:rPr>
        <w:t>.</w:t>
      </w:r>
    </w:p>
    <w:p w:rsidR="00371F23" w:rsidRDefault="00371F23" w:rsidP="00292C3F">
      <w:pPr>
        <w:spacing w:before="200"/>
        <w:jc w:val="both"/>
        <w:rPr>
          <w:rFonts w:cs="Arial"/>
        </w:rPr>
      </w:pPr>
    </w:p>
    <w:p w:rsidR="003005E1" w:rsidRDefault="000F1F29" w:rsidP="00292C3F">
      <w:pPr>
        <w:spacing w:before="200"/>
        <w:jc w:val="both"/>
        <w:rPr>
          <w:rFonts w:cs="Arial"/>
        </w:rPr>
      </w:pPr>
      <w:r w:rsidRPr="00E94ACF">
        <w:rPr>
          <w:rFonts w:cs="Arial"/>
        </w:rPr>
        <w:t xml:space="preserve">All </w:t>
      </w:r>
      <w:r>
        <w:rPr>
          <w:rFonts w:cs="Arial"/>
        </w:rPr>
        <w:t xml:space="preserve">other terms and conditions of the policy remain the </w:t>
      </w:r>
      <w:r w:rsidR="003005E1">
        <w:rPr>
          <w:rFonts w:cs="Arial"/>
        </w:rPr>
        <w:t>sa</w:t>
      </w:r>
      <w:r>
        <w:rPr>
          <w:rFonts w:cs="Arial"/>
        </w:rPr>
        <w:t>me.</w:t>
      </w:r>
    </w:p>
    <w:p w:rsidR="003005E1" w:rsidRDefault="003005E1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9F6988" w:rsidRDefault="009F6988" w:rsidP="00292C3F">
      <w:pPr>
        <w:spacing w:before="200"/>
        <w:jc w:val="both"/>
        <w:rPr>
          <w:rFonts w:cs="Arial"/>
        </w:rPr>
      </w:pPr>
    </w:p>
    <w:p w:rsidR="007F283E" w:rsidRPr="00E94ACF" w:rsidRDefault="007F283E" w:rsidP="009F6988">
      <w:pPr>
        <w:ind w:left="2880" w:firstLine="720"/>
        <w:jc w:val="both"/>
        <w:rPr>
          <w:rFonts w:cs="Arial"/>
        </w:rPr>
      </w:pPr>
      <w:r w:rsidRPr="00E94ACF">
        <w:rPr>
          <w:rFonts w:cs="Arial"/>
        </w:rPr>
        <w:t>_______________________________________</w:t>
      </w:r>
    </w:p>
    <w:p w:rsidR="007F283E" w:rsidRPr="00E94ACF" w:rsidRDefault="007F283E" w:rsidP="009F6988">
      <w:pPr>
        <w:jc w:val="both"/>
        <w:rPr>
          <w:rFonts w:cs="Arial"/>
        </w:rPr>
      </w:pPr>
      <w:r w:rsidRPr="00E94ACF">
        <w:rPr>
          <w:rFonts w:cs="Arial"/>
        </w:rPr>
        <w:t xml:space="preserve">                          </w:t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="00E94ACF" w:rsidRPr="00E94ACF">
        <w:rPr>
          <w:rFonts w:cs="Arial"/>
        </w:rPr>
        <w:tab/>
      </w:r>
      <w:r w:rsidRPr="00E94ACF">
        <w:rPr>
          <w:rFonts w:cs="Arial"/>
        </w:rPr>
        <w:t>A</w:t>
      </w:r>
      <w:r w:rsidR="00E94ACF">
        <w:rPr>
          <w:rFonts w:cs="Arial"/>
        </w:rPr>
        <w:t>uthorized Representative</w:t>
      </w:r>
      <w:r w:rsidRPr="00E94ACF">
        <w:rPr>
          <w:rFonts w:cs="Arial"/>
        </w:rPr>
        <w:tab/>
        <w:t xml:space="preserve">            </w:t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  <w:r w:rsidRPr="00E94ACF">
        <w:rPr>
          <w:rFonts w:cs="Arial"/>
        </w:rPr>
        <w:tab/>
      </w:r>
    </w:p>
    <w:p w:rsidR="003005E1" w:rsidRPr="00E94ACF" w:rsidRDefault="003005E1" w:rsidP="009F6988">
      <w:pPr>
        <w:jc w:val="both"/>
        <w:rPr>
          <w:rFonts w:cs="Arial"/>
        </w:rPr>
      </w:pPr>
    </w:p>
    <w:sectPr w:rsidR="003005E1" w:rsidRPr="00E94ACF" w:rsidSect="003005E1"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BA" w:rsidRDefault="00AB22BA">
      <w:r>
        <w:separator/>
      </w:r>
    </w:p>
  </w:endnote>
  <w:endnote w:type="continuationSeparator" w:id="0">
    <w:p w:rsidR="00AB22BA" w:rsidRDefault="00AB2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1A5" w:rsidRDefault="00F07165">
    <w:pPr>
      <w:pStyle w:val="Footer"/>
      <w:rPr>
        <w:sz w:val="18"/>
        <w:szCs w:val="18"/>
      </w:rPr>
    </w:pPr>
    <w:r>
      <w:rPr>
        <w:sz w:val="18"/>
        <w:szCs w:val="18"/>
      </w:rPr>
      <w:t xml:space="preserve">102143 </w:t>
    </w:r>
    <w:r w:rsidR="008271A5">
      <w:rPr>
        <w:sz w:val="18"/>
        <w:szCs w:val="18"/>
      </w:rPr>
      <w:t>(</w:t>
    </w:r>
    <w:r w:rsidR="00DD74E7">
      <w:rPr>
        <w:sz w:val="18"/>
        <w:szCs w:val="18"/>
      </w:rPr>
      <w:t>10/13</w:t>
    </w:r>
    <w:r w:rsidR="008271A5">
      <w:rPr>
        <w:sz w:val="18"/>
        <w:szCs w:val="18"/>
      </w:rPr>
      <w:t>)</w:t>
    </w:r>
    <w:r w:rsidR="008271A5">
      <w:rPr>
        <w:sz w:val="18"/>
        <w:szCs w:val="18"/>
      </w:rPr>
      <w:tab/>
    </w:r>
    <w:r w:rsidR="008271A5">
      <w:rPr>
        <w:sz w:val="18"/>
        <w:szCs w:val="18"/>
      </w:rPr>
      <w:tab/>
    </w:r>
    <w:r w:rsidR="008271A5" w:rsidRPr="006D58D1">
      <w:rPr>
        <w:sz w:val="18"/>
        <w:szCs w:val="18"/>
      </w:rPr>
      <w:t xml:space="preserve">Page </w:t>
    </w:r>
    <w:r w:rsidR="00525855" w:rsidRPr="006D58D1">
      <w:rPr>
        <w:sz w:val="18"/>
        <w:szCs w:val="18"/>
      </w:rPr>
      <w:fldChar w:fldCharType="begin"/>
    </w:r>
    <w:r w:rsidR="008271A5" w:rsidRPr="006D58D1">
      <w:rPr>
        <w:sz w:val="18"/>
        <w:szCs w:val="18"/>
      </w:rPr>
      <w:instrText xml:space="preserve"> PAGE </w:instrText>
    </w:r>
    <w:r w:rsidR="00525855" w:rsidRPr="006D58D1">
      <w:rPr>
        <w:sz w:val="18"/>
        <w:szCs w:val="18"/>
      </w:rPr>
      <w:fldChar w:fldCharType="separate"/>
    </w:r>
    <w:r w:rsidR="005F4AA2">
      <w:rPr>
        <w:noProof/>
        <w:sz w:val="18"/>
        <w:szCs w:val="18"/>
      </w:rPr>
      <w:t>1</w:t>
    </w:r>
    <w:r w:rsidR="00525855" w:rsidRPr="006D58D1">
      <w:rPr>
        <w:sz w:val="18"/>
        <w:szCs w:val="18"/>
      </w:rPr>
      <w:fldChar w:fldCharType="end"/>
    </w:r>
    <w:r w:rsidR="008271A5" w:rsidRPr="006D58D1">
      <w:rPr>
        <w:sz w:val="18"/>
        <w:szCs w:val="18"/>
      </w:rPr>
      <w:t xml:space="preserve"> of </w:t>
    </w:r>
    <w:r w:rsidR="00525855" w:rsidRPr="006D58D1">
      <w:rPr>
        <w:sz w:val="18"/>
        <w:szCs w:val="18"/>
      </w:rPr>
      <w:fldChar w:fldCharType="begin"/>
    </w:r>
    <w:r w:rsidR="008271A5" w:rsidRPr="006D58D1">
      <w:rPr>
        <w:sz w:val="18"/>
        <w:szCs w:val="18"/>
      </w:rPr>
      <w:instrText xml:space="preserve"> NUMPAGES </w:instrText>
    </w:r>
    <w:r w:rsidR="00525855" w:rsidRPr="006D58D1">
      <w:rPr>
        <w:sz w:val="18"/>
        <w:szCs w:val="18"/>
      </w:rPr>
      <w:fldChar w:fldCharType="separate"/>
    </w:r>
    <w:r w:rsidR="005F4AA2">
      <w:rPr>
        <w:noProof/>
        <w:sz w:val="18"/>
        <w:szCs w:val="18"/>
      </w:rPr>
      <w:t>3</w:t>
    </w:r>
    <w:r w:rsidR="00525855" w:rsidRPr="006D58D1">
      <w:rPr>
        <w:sz w:val="18"/>
        <w:szCs w:val="18"/>
      </w:rPr>
      <w:fldChar w:fldCharType="end"/>
    </w:r>
  </w:p>
  <w:p w:rsidR="00C3370B" w:rsidRPr="00C3370B" w:rsidRDefault="00C3370B" w:rsidP="00DD74E7">
    <w:pPr>
      <w:autoSpaceDE w:val="0"/>
      <w:autoSpaceDN w:val="0"/>
      <w:adjustRightInd w:val="0"/>
      <w:jc w:val="center"/>
      <w:rPr>
        <w:sz w:val="18"/>
        <w:szCs w:val="18"/>
      </w:rPr>
    </w:pPr>
    <w:r w:rsidRPr="00C3370B">
      <w:rPr>
        <w:rFonts w:cs="Arial"/>
      </w:rPr>
      <w:t>©All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BA" w:rsidRDefault="00AB22BA">
      <w:r>
        <w:separator/>
      </w:r>
    </w:p>
  </w:footnote>
  <w:footnote w:type="continuationSeparator" w:id="0">
    <w:p w:rsidR="00AB22BA" w:rsidRDefault="00AB2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03A5A"/>
    <w:multiLevelType w:val="hybridMultilevel"/>
    <w:tmpl w:val="B8621080"/>
    <w:lvl w:ilvl="0" w:tplc="92E26B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D7DBD"/>
    <w:multiLevelType w:val="hybridMultilevel"/>
    <w:tmpl w:val="1F789624"/>
    <w:lvl w:ilvl="0" w:tplc="116826E4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937AA"/>
    <w:multiLevelType w:val="hybridMultilevel"/>
    <w:tmpl w:val="EE5ABBA0"/>
    <w:lvl w:ilvl="0" w:tplc="38A2E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223F91"/>
    <w:multiLevelType w:val="singleLevel"/>
    <w:tmpl w:val="AA52B0F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4">
    <w:nsid w:val="46BC531E"/>
    <w:multiLevelType w:val="singleLevel"/>
    <w:tmpl w:val="E95612C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</w:abstractNum>
  <w:abstractNum w:abstractNumId="5">
    <w:nsid w:val="4B9133CD"/>
    <w:multiLevelType w:val="multilevel"/>
    <w:tmpl w:val="93B4E50C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803104"/>
    <w:multiLevelType w:val="multilevel"/>
    <w:tmpl w:val="57A4A1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088" w:hanging="648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54306F1A"/>
    <w:multiLevelType w:val="hybridMultilevel"/>
    <w:tmpl w:val="93B4E50C"/>
    <w:lvl w:ilvl="0" w:tplc="C6229A94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076852E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01C673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546664F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475241"/>
    <w:multiLevelType w:val="singleLevel"/>
    <w:tmpl w:val="C9BA5D6C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9">
    <w:nsid w:val="6C500B86"/>
    <w:multiLevelType w:val="multilevel"/>
    <w:tmpl w:val="64B62066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62E2B"/>
    <w:multiLevelType w:val="singleLevel"/>
    <w:tmpl w:val="941C7C64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05C267F6-EF04-4B98-88D5-54043AF31D42}"/>
    <w:docVar w:name="dgnword-eventsink" w:val="113175872"/>
  </w:docVars>
  <w:rsids>
    <w:rsidRoot w:val="006162E9"/>
    <w:rsid w:val="000037DC"/>
    <w:rsid w:val="00022842"/>
    <w:rsid w:val="00023576"/>
    <w:rsid w:val="00066CCB"/>
    <w:rsid w:val="000759B5"/>
    <w:rsid w:val="0009007B"/>
    <w:rsid w:val="000A0E06"/>
    <w:rsid w:val="000B3112"/>
    <w:rsid w:val="000B64F8"/>
    <w:rsid w:val="000C506E"/>
    <w:rsid w:val="000E13B4"/>
    <w:rsid w:val="000E1887"/>
    <w:rsid w:val="000E4585"/>
    <w:rsid w:val="000F1573"/>
    <w:rsid w:val="000F1F29"/>
    <w:rsid w:val="00102FDF"/>
    <w:rsid w:val="00107F26"/>
    <w:rsid w:val="00120A15"/>
    <w:rsid w:val="0013252B"/>
    <w:rsid w:val="00143C5F"/>
    <w:rsid w:val="00155E06"/>
    <w:rsid w:val="001769EB"/>
    <w:rsid w:val="001A5746"/>
    <w:rsid w:val="001A61D4"/>
    <w:rsid w:val="001A6600"/>
    <w:rsid w:val="001B33A2"/>
    <w:rsid w:val="001D3615"/>
    <w:rsid w:val="00213904"/>
    <w:rsid w:val="0021436D"/>
    <w:rsid w:val="002168B1"/>
    <w:rsid w:val="00222B3F"/>
    <w:rsid w:val="00222CCE"/>
    <w:rsid w:val="00223D8A"/>
    <w:rsid w:val="002248AF"/>
    <w:rsid w:val="00235DCE"/>
    <w:rsid w:val="00254DB8"/>
    <w:rsid w:val="00285EAB"/>
    <w:rsid w:val="00286345"/>
    <w:rsid w:val="00290AD3"/>
    <w:rsid w:val="00292C3F"/>
    <w:rsid w:val="002B2371"/>
    <w:rsid w:val="002B37B5"/>
    <w:rsid w:val="002B42C7"/>
    <w:rsid w:val="002B58C5"/>
    <w:rsid w:val="002E3C5B"/>
    <w:rsid w:val="002F1E80"/>
    <w:rsid w:val="003005E1"/>
    <w:rsid w:val="00311D10"/>
    <w:rsid w:val="00315F38"/>
    <w:rsid w:val="00326B24"/>
    <w:rsid w:val="00335E22"/>
    <w:rsid w:val="00354C71"/>
    <w:rsid w:val="003555EC"/>
    <w:rsid w:val="00364B80"/>
    <w:rsid w:val="00366986"/>
    <w:rsid w:val="00371F23"/>
    <w:rsid w:val="00373C74"/>
    <w:rsid w:val="003747F5"/>
    <w:rsid w:val="00385DF9"/>
    <w:rsid w:val="00387232"/>
    <w:rsid w:val="00395845"/>
    <w:rsid w:val="003A2C19"/>
    <w:rsid w:val="003A3C8F"/>
    <w:rsid w:val="003B11B0"/>
    <w:rsid w:val="003D311D"/>
    <w:rsid w:val="003D6F78"/>
    <w:rsid w:val="003E3375"/>
    <w:rsid w:val="003E4EC2"/>
    <w:rsid w:val="003F21D1"/>
    <w:rsid w:val="003F5890"/>
    <w:rsid w:val="003F6016"/>
    <w:rsid w:val="00422E33"/>
    <w:rsid w:val="0042560F"/>
    <w:rsid w:val="00427B30"/>
    <w:rsid w:val="00443459"/>
    <w:rsid w:val="00461BC2"/>
    <w:rsid w:val="00480452"/>
    <w:rsid w:val="004811A3"/>
    <w:rsid w:val="00486643"/>
    <w:rsid w:val="004875A0"/>
    <w:rsid w:val="004928E4"/>
    <w:rsid w:val="004A2870"/>
    <w:rsid w:val="004B2C7A"/>
    <w:rsid w:val="004C7854"/>
    <w:rsid w:val="004F45A9"/>
    <w:rsid w:val="00515E52"/>
    <w:rsid w:val="00523F1E"/>
    <w:rsid w:val="00525855"/>
    <w:rsid w:val="00526B64"/>
    <w:rsid w:val="00533256"/>
    <w:rsid w:val="005444EE"/>
    <w:rsid w:val="00546BBB"/>
    <w:rsid w:val="00547C61"/>
    <w:rsid w:val="00552E48"/>
    <w:rsid w:val="00573C26"/>
    <w:rsid w:val="00574CEF"/>
    <w:rsid w:val="00586194"/>
    <w:rsid w:val="005A085C"/>
    <w:rsid w:val="005B1D96"/>
    <w:rsid w:val="005B38F3"/>
    <w:rsid w:val="005B5F5D"/>
    <w:rsid w:val="005B655B"/>
    <w:rsid w:val="005B7675"/>
    <w:rsid w:val="005C187A"/>
    <w:rsid w:val="005D0390"/>
    <w:rsid w:val="005E719F"/>
    <w:rsid w:val="005F326A"/>
    <w:rsid w:val="005F4142"/>
    <w:rsid w:val="005F4AA2"/>
    <w:rsid w:val="00602273"/>
    <w:rsid w:val="006056F0"/>
    <w:rsid w:val="00605FCE"/>
    <w:rsid w:val="00610E81"/>
    <w:rsid w:val="0061334B"/>
    <w:rsid w:val="00613DB7"/>
    <w:rsid w:val="006162E9"/>
    <w:rsid w:val="00620DA2"/>
    <w:rsid w:val="00625E53"/>
    <w:rsid w:val="00630A55"/>
    <w:rsid w:val="00632885"/>
    <w:rsid w:val="00657C18"/>
    <w:rsid w:val="0066027B"/>
    <w:rsid w:val="006710D8"/>
    <w:rsid w:val="006B1467"/>
    <w:rsid w:val="006B7B3F"/>
    <w:rsid w:val="006C7876"/>
    <w:rsid w:val="006D58D1"/>
    <w:rsid w:val="00710F8C"/>
    <w:rsid w:val="007206BE"/>
    <w:rsid w:val="007310F0"/>
    <w:rsid w:val="00743389"/>
    <w:rsid w:val="00744464"/>
    <w:rsid w:val="00750A36"/>
    <w:rsid w:val="00767342"/>
    <w:rsid w:val="00767517"/>
    <w:rsid w:val="00777E61"/>
    <w:rsid w:val="0078420D"/>
    <w:rsid w:val="00791A93"/>
    <w:rsid w:val="007B2085"/>
    <w:rsid w:val="007C5894"/>
    <w:rsid w:val="007F1577"/>
    <w:rsid w:val="007F283E"/>
    <w:rsid w:val="00804F43"/>
    <w:rsid w:val="00813510"/>
    <w:rsid w:val="00816A8B"/>
    <w:rsid w:val="00824E82"/>
    <w:rsid w:val="00826A94"/>
    <w:rsid w:val="008271A5"/>
    <w:rsid w:val="00830E5A"/>
    <w:rsid w:val="008340BB"/>
    <w:rsid w:val="0084104C"/>
    <w:rsid w:val="0087124E"/>
    <w:rsid w:val="00871943"/>
    <w:rsid w:val="00881924"/>
    <w:rsid w:val="008A01A2"/>
    <w:rsid w:val="008B6C04"/>
    <w:rsid w:val="008E24C5"/>
    <w:rsid w:val="008E2961"/>
    <w:rsid w:val="008E5340"/>
    <w:rsid w:val="008F10E5"/>
    <w:rsid w:val="008F2534"/>
    <w:rsid w:val="008F5223"/>
    <w:rsid w:val="00902CE8"/>
    <w:rsid w:val="00931886"/>
    <w:rsid w:val="00946D2E"/>
    <w:rsid w:val="00951F8B"/>
    <w:rsid w:val="009567FC"/>
    <w:rsid w:val="00962BF2"/>
    <w:rsid w:val="00965BA4"/>
    <w:rsid w:val="00983608"/>
    <w:rsid w:val="009875EF"/>
    <w:rsid w:val="009A5829"/>
    <w:rsid w:val="009C22AC"/>
    <w:rsid w:val="009D1C43"/>
    <w:rsid w:val="009F6988"/>
    <w:rsid w:val="00A04C39"/>
    <w:rsid w:val="00A10FE1"/>
    <w:rsid w:val="00A23966"/>
    <w:rsid w:val="00A24028"/>
    <w:rsid w:val="00A25A21"/>
    <w:rsid w:val="00A401EE"/>
    <w:rsid w:val="00A54003"/>
    <w:rsid w:val="00A70720"/>
    <w:rsid w:val="00AA148F"/>
    <w:rsid w:val="00AA5CED"/>
    <w:rsid w:val="00AB12BB"/>
    <w:rsid w:val="00AB22BA"/>
    <w:rsid w:val="00AC3E55"/>
    <w:rsid w:val="00AD549C"/>
    <w:rsid w:val="00AD76DE"/>
    <w:rsid w:val="00AE660E"/>
    <w:rsid w:val="00AF4DBA"/>
    <w:rsid w:val="00B15E17"/>
    <w:rsid w:val="00B24D73"/>
    <w:rsid w:val="00B5100B"/>
    <w:rsid w:val="00B54991"/>
    <w:rsid w:val="00B60201"/>
    <w:rsid w:val="00B656EE"/>
    <w:rsid w:val="00B677F5"/>
    <w:rsid w:val="00B77508"/>
    <w:rsid w:val="00BA23AD"/>
    <w:rsid w:val="00BB37EE"/>
    <w:rsid w:val="00BC795B"/>
    <w:rsid w:val="00BD5C5B"/>
    <w:rsid w:val="00BE4FEB"/>
    <w:rsid w:val="00BF7B81"/>
    <w:rsid w:val="00C02C99"/>
    <w:rsid w:val="00C3257A"/>
    <w:rsid w:val="00C3370B"/>
    <w:rsid w:val="00C40F52"/>
    <w:rsid w:val="00C449EE"/>
    <w:rsid w:val="00C57578"/>
    <w:rsid w:val="00C65191"/>
    <w:rsid w:val="00C726A5"/>
    <w:rsid w:val="00C77E0F"/>
    <w:rsid w:val="00C86E97"/>
    <w:rsid w:val="00CB43A2"/>
    <w:rsid w:val="00CD4745"/>
    <w:rsid w:val="00CE6768"/>
    <w:rsid w:val="00D03058"/>
    <w:rsid w:val="00D1033A"/>
    <w:rsid w:val="00D12D08"/>
    <w:rsid w:val="00D226E6"/>
    <w:rsid w:val="00D32997"/>
    <w:rsid w:val="00D60B24"/>
    <w:rsid w:val="00D63750"/>
    <w:rsid w:val="00D64891"/>
    <w:rsid w:val="00D70989"/>
    <w:rsid w:val="00D74B7B"/>
    <w:rsid w:val="00D76FF2"/>
    <w:rsid w:val="00D82C39"/>
    <w:rsid w:val="00D83212"/>
    <w:rsid w:val="00D85240"/>
    <w:rsid w:val="00D95414"/>
    <w:rsid w:val="00D97D35"/>
    <w:rsid w:val="00DA3830"/>
    <w:rsid w:val="00DA4803"/>
    <w:rsid w:val="00DA5BB7"/>
    <w:rsid w:val="00DB2D45"/>
    <w:rsid w:val="00DC380A"/>
    <w:rsid w:val="00DC3CDF"/>
    <w:rsid w:val="00DC7109"/>
    <w:rsid w:val="00DD74E7"/>
    <w:rsid w:val="00DE625E"/>
    <w:rsid w:val="00E01BC8"/>
    <w:rsid w:val="00E0448D"/>
    <w:rsid w:val="00E15826"/>
    <w:rsid w:val="00E174AF"/>
    <w:rsid w:val="00E313ED"/>
    <w:rsid w:val="00E41C02"/>
    <w:rsid w:val="00E44344"/>
    <w:rsid w:val="00E4444C"/>
    <w:rsid w:val="00E4690B"/>
    <w:rsid w:val="00E50598"/>
    <w:rsid w:val="00E74783"/>
    <w:rsid w:val="00E82EEA"/>
    <w:rsid w:val="00E851EE"/>
    <w:rsid w:val="00E877CD"/>
    <w:rsid w:val="00E94ACF"/>
    <w:rsid w:val="00E95E63"/>
    <w:rsid w:val="00EA421F"/>
    <w:rsid w:val="00EB5295"/>
    <w:rsid w:val="00ED3368"/>
    <w:rsid w:val="00F07165"/>
    <w:rsid w:val="00F100E6"/>
    <w:rsid w:val="00F11BAA"/>
    <w:rsid w:val="00F11CD5"/>
    <w:rsid w:val="00F16FDC"/>
    <w:rsid w:val="00F2538B"/>
    <w:rsid w:val="00F278F3"/>
    <w:rsid w:val="00F4010F"/>
    <w:rsid w:val="00F43A76"/>
    <w:rsid w:val="00F932A0"/>
    <w:rsid w:val="00F94263"/>
    <w:rsid w:val="00F95068"/>
    <w:rsid w:val="00FC31AE"/>
    <w:rsid w:val="00FC3317"/>
    <w:rsid w:val="00FE627F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2E33"/>
    <w:rPr>
      <w:rFonts w:ascii="Arial" w:hAnsi="Arial"/>
    </w:rPr>
  </w:style>
  <w:style w:type="paragraph" w:styleId="Heading1">
    <w:name w:val="heading 1"/>
    <w:basedOn w:val="Normal"/>
    <w:next w:val="Normal"/>
    <w:qFormat/>
    <w:rsid w:val="00422E33"/>
    <w:pPr>
      <w:keepNext/>
      <w:jc w:val="center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rsid w:val="00422E33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22E33"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00" w:line="220" w:lineRule="exact"/>
      <w:ind w:left="360"/>
      <w:jc w:val="both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2E3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2E3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660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21436D"/>
    <w:rPr>
      <w:rFonts w:ascii="Times New Roman" w:hAnsi="Times New Roman"/>
      <w:sz w:val="24"/>
    </w:rPr>
  </w:style>
  <w:style w:type="paragraph" w:styleId="BodyText2">
    <w:name w:val="Body Text 2"/>
    <w:basedOn w:val="Normal"/>
    <w:rsid w:val="0021436D"/>
    <w:pPr>
      <w:jc w:val="both"/>
    </w:pPr>
    <w:rPr>
      <w:rFonts w:ascii="Times New Roman" w:hAnsi="Times New Roman"/>
      <w:sz w:val="22"/>
    </w:rPr>
  </w:style>
  <w:style w:type="table" w:styleId="TableGrid">
    <w:name w:val="Table Grid"/>
    <w:basedOn w:val="TableNormal"/>
    <w:rsid w:val="004256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txt1">
    <w:name w:val="outlinetxt1"/>
    <w:basedOn w:val="Normal"/>
    <w:rsid w:val="00FC31AE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b/>
    </w:rPr>
  </w:style>
  <w:style w:type="paragraph" w:styleId="DocumentMap">
    <w:name w:val="Document Map"/>
    <w:basedOn w:val="Normal"/>
    <w:semiHidden/>
    <w:rsid w:val="00830E5A"/>
    <w:pPr>
      <w:shd w:val="clear" w:color="auto" w:fill="000080"/>
    </w:pPr>
    <w:rPr>
      <w:rFonts w:ascii="Tahoma" w:hAnsi="Tahoma" w:cs="Tahoma"/>
    </w:rPr>
  </w:style>
  <w:style w:type="paragraph" w:customStyle="1" w:styleId="blocktext3">
    <w:name w:val="blocktext3"/>
    <w:basedOn w:val="Normal"/>
    <w:rsid w:val="003E3375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</w:style>
  <w:style w:type="paragraph" w:styleId="Title">
    <w:name w:val="Title"/>
    <w:basedOn w:val="Normal"/>
    <w:link w:val="TitleChar"/>
    <w:qFormat/>
    <w:rsid w:val="00AA148F"/>
    <w:pPr>
      <w:jc w:val="center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AA148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1137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Redwoods Underwriters, Inc.</Company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Verduin, Ginger</dc:creator>
  <cp:keywords/>
  <cp:lastModifiedBy>emartell</cp:lastModifiedBy>
  <cp:revision>8</cp:revision>
  <cp:lastPrinted>2013-11-21T14:38:00Z</cp:lastPrinted>
  <dcterms:created xsi:type="dcterms:W3CDTF">2013-10-28T18:30:00Z</dcterms:created>
  <dcterms:modified xsi:type="dcterms:W3CDTF">2013-11-21T14:40:00Z</dcterms:modified>
</cp:coreProperties>
</file>