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E4A" w:rsidRDefault="002E1E4A" w:rsidP="00E61EDC">
      <w:pPr>
        <w:jc w:val="center"/>
        <w:rPr>
          <w:b/>
        </w:rPr>
      </w:pPr>
      <w:r>
        <w:rPr>
          <w:b/>
        </w:rPr>
        <w:t>Rate Narrative</w:t>
      </w:r>
    </w:p>
    <w:p w:rsidR="00E61EDC" w:rsidRDefault="00494DCE" w:rsidP="00E61EDC">
      <w:pPr>
        <w:jc w:val="center"/>
        <w:rPr>
          <w:b/>
        </w:rPr>
      </w:pPr>
      <w:r>
        <w:rPr>
          <w:b/>
        </w:rPr>
        <w:t>R</w:t>
      </w:r>
      <w:r w:rsidR="00E61EDC">
        <w:rPr>
          <w:b/>
        </w:rPr>
        <w:t xml:space="preserve">ating </w:t>
      </w:r>
      <w:r w:rsidR="00BD39AC">
        <w:rPr>
          <w:b/>
        </w:rPr>
        <w:t>rule pricing development</w:t>
      </w:r>
    </w:p>
    <w:p w:rsidR="00D93BC2" w:rsidRDefault="00D93BC2" w:rsidP="00E61EDC">
      <w:pPr>
        <w:jc w:val="center"/>
        <w:rPr>
          <w:b/>
        </w:rPr>
      </w:pPr>
      <w:r>
        <w:rPr>
          <w:b/>
        </w:rPr>
        <w:t>Customer’s Equipment in Your Care, Custody or Control</w:t>
      </w:r>
    </w:p>
    <w:p w:rsidR="00E61EDC" w:rsidRDefault="00E61EDC" w:rsidP="00E61EDC"/>
    <w:p w:rsidR="0066194B" w:rsidRDefault="0066194B" w:rsidP="0066194B">
      <w:pPr>
        <w:rPr>
          <w:rFonts w:ascii="Arial" w:hAnsi="Arial" w:cs="Arial"/>
          <w:b/>
        </w:rPr>
      </w:pPr>
      <w:r>
        <w:rPr>
          <w:rFonts w:ascii="Arial" w:hAnsi="Arial" w:cs="Arial"/>
          <w:b/>
        </w:rPr>
        <w:t>Optional Endorsement</w:t>
      </w:r>
    </w:p>
    <w:p w:rsidR="0066194B" w:rsidRDefault="0066194B" w:rsidP="0066194B">
      <w:pPr>
        <w:rPr>
          <w:rFonts w:ascii="Arial" w:hAnsi="Arial" w:cs="Arial"/>
        </w:rPr>
      </w:pPr>
      <w:r>
        <w:rPr>
          <w:rFonts w:ascii="Arial" w:hAnsi="Arial" w:cs="Arial"/>
        </w:rPr>
        <w:t xml:space="preserve">This endorsement is used on a property policy and </w:t>
      </w:r>
      <w:proofErr w:type="gramStart"/>
      <w:r>
        <w:rPr>
          <w:rFonts w:ascii="Arial" w:hAnsi="Arial" w:cs="Arial"/>
        </w:rPr>
        <w:t>provides  coverage</w:t>
      </w:r>
      <w:proofErr w:type="gramEnd"/>
      <w:r>
        <w:rPr>
          <w:rFonts w:ascii="Arial" w:hAnsi="Arial" w:cs="Arial"/>
        </w:rPr>
        <w:t xml:space="preserve"> for damage to property of others in your care custody or control. Our actuarial study of the exposure determined the appropriate rates and premiums.  This coverage is not currently offered by our competitors. </w:t>
      </w:r>
    </w:p>
    <w:p w:rsidR="0066194B" w:rsidRDefault="0066194B" w:rsidP="0066194B">
      <w:pPr>
        <w:rPr>
          <w:rFonts w:ascii="Arial" w:hAnsi="Arial" w:cs="Arial"/>
        </w:rPr>
      </w:pPr>
    </w:p>
    <w:p w:rsidR="00D93BC2" w:rsidRDefault="00D93BC2" w:rsidP="00E61EDC"/>
    <w:p w:rsidR="00E61EDC" w:rsidRDefault="00494DCE" w:rsidP="005A3833">
      <w:pPr>
        <w:numPr>
          <w:ilvl w:val="0"/>
          <w:numId w:val="1"/>
        </w:numPr>
        <w:tabs>
          <w:tab w:val="clear" w:pos="720"/>
          <w:tab w:val="num" w:pos="360"/>
        </w:tabs>
        <w:ind w:left="360"/>
        <w:rPr>
          <w:sz w:val="22"/>
          <w:szCs w:val="22"/>
        </w:rPr>
      </w:pPr>
      <w:r>
        <w:rPr>
          <w:sz w:val="22"/>
          <w:szCs w:val="22"/>
        </w:rPr>
        <w:t xml:space="preserve">A cross section of potential </w:t>
      </w:r>
      <w:r w:rsidR="005A3833">
        <w:rPr>
          <w:sz w:val="22"/>
          <w:szCs w:val="22"/>
        </w:rPr>
        <w:t xml:space="preserve">insured location exposures </w:t>
      </w:r>
      <w:r>
        <w:rPr>
          <w:sz w:val="22"/>
          <w:szCs w:val="22"/>
        </w:rPr>
        <w:t>was completed in order to determine loss exposures inherent to the premises at which equipment will be located</w:t>
      </w:r>
      <w:r w:rsidR="005A3833">
        <w:rPr>
          <w:sz w:val="22"/>
          <w:szCs w:val="22"/>
        </w:rPr>
        <w:t>.</w:t>
      </w:r>
    </w:p>
    <w:p w:rsidR="00494DCE" w:rsidRDefault="00494DCE" w:rsidP="005A3833">
      <w:pPr>
        <w:numPr>
          <w:ilvl w:val="0"/>
          <w:numId w:val="1"/>
        </w:numPr>
        <w:tabs>
          <w:tab w:val="clear" w:pos="720"/>
          <w:tab w:val="num" w:pos="360"/>
        </w:tabs>
        <w:ind w:left="360"/>
        <w:rPr>
          <w:sz w:val="22"/>
          <w:szCs w:val="22"/>
        </w:rPr>
      </w:pPr>
      <w:r>
        <w:rPr>
          <w:sz w:val="22"/>
          <w:szCs w:val="22"/>
        </w:rPr>
        <w:t>Types of equipment subject to the coverage were identified, to ascertain susceptibility to loss.</w:t>
      </w:r>
    </w:p>
    <w:p w:rsidR="00494DCE" w:rsidRDefault="00494DCE" w:rsidP="005A3833">
      <w:pPr>
        <w:numPr>
          <w:ilvl w:val="0"/>
          <w:numId w:val="1"/>
        </w:numPr>
        <w:tabs>
          <w:tab w:val="clear" w:pos="720"/>
          <w:tab w:val="num" w:pos="360"/>
        </w:tabs>
        <w:ind w:left="360"/>
        <w:rPr>
          <w:sz w:val="22"/>
          <w:szCs w:val="22"/>
        </w:rPr>
      </w:pPr>
      <w:r>
        <w:rPr>
          <w:sz w:val="22"/>
          <w:szCs w:val="22"/>
        </w:rPr>
        <w:t xml:space="preserve">It was then determined that most appropriate approach to developing pricing for this endorsement is to consider the exposures to be similar to those covered under </w:t>
      </w:r>
      <w:r w:rsidR="00F157C4">
        <w:rPr>
          <w:sz w:val="22"/>
          <w:szCs w:val="22"/>
        </w:rPr>
        <w:t>a Scheduled Property Floater – unscheduled locations.</w:t>
      </w:r>
    </w:p>
    <w:p w:rsidR="00F157C4" w:rsidRDefault="00F157C4" w:rsidP="005A3833">
      <w:pPr>
        <w:numPr>
          <w:ilvl w:val="0"/>
          <w:numId w:val="1"/>
        </w:numPr>
        <w:tabs>
          <w:tab w:val="clear" w:pos="720"/>
          <w:tab w:val="num" w:pos="360"/>
        </w:tabs>
        <w:ind w:left="360"/>
        <w:rPr>
          <w:sz w:val="22"/>
          <w:szCs w:val="22"/>
        </w:rPr>
      </w:pPr>
      <w:r>
        <w:rPr>
          <w:sz w:val="22"/>
          <w:szCs w:val="22"/>
        </w:rPr>
        <w:t>Premises exposure is determined to be low to moderate, susceptibility of equipment moderate to high, therefore a moderate exposure loss cost has been utilized.</w:t>
      </w:r>
    </w:p>
    <w:p w:rsidR="005A3833" w:rsidRDefault="005A3833" w:rsidP="005A3833">
      <w:pPr>
        <w:numPr>
          <w:ilvl w:val="0"/>
          <w:numId w:val="1"/>
        </w:numPr>
        <w:tabs>
          <w:tab w:val="clear" w:pos="720"/>
          <w:tab w:val="num" w:pos="360"/>
        </w:tabs>
        <w:ind w:left="360"/>
        <w:rPr>
          <w:sz w:val="22"/>
          <w:szCs w:val="22"/>
        </w:rPr>
      </w:pPr>
      <w:r>
        <w:rPr>
          <w:sz w:val="22"/>
          <w:szCs w:val="22"/>
        </w:rPr>
        <w:t>The avera</w:t>
      </w:r>
      <w:r w:rsidR="00C20E39">
        <w:rPr>
          <w:sz w:val="22"/>
          <w:szCs w:val="22"/>
        </w:rPr>
        <w:t xml:space="preserve">ge rate developed </w:t>
      </w:r>
      <w:r w:rsidR="00F157C4">
        <w:rPr>
          <w:sz w:val="22"/>
          <w:szCs w:val="22"/>
        </w:rPr>
        <w:t>using this methodology is 1.20</w:t>
      </w:r>
    </w:p>
    <w:p w:rsidR="00F157C4" w:rsidRDefault="00F157C4" w:rsidP="005A3833">
      <w:pPr>
        <w:numPr>
          <w:ilvl w:val="0"/>
          <w:numId w:val="1"/>
        </w:numPr>
        <w:tabs>
          <w:tab w:val="clear" w:pos="720"/>
          <w:tab w:val="num" w:pos="360"/>
        </w:tabs>
        <w:ind w:left="360"/>
        <w:rPr>
          <w:sz w:val="22"/>
          <w:szCs w:val="22"/>
        </w:rPr>
      </w:pPr>
      <w:r>
        <w:rPr>
          <w:sz w:val="22"/>
          <w:szCs w:val="22"/>
        </w:rPr>
        <w:t>Applying deductible factors, based upon deductible to exposed limit ratios creates an average rate of 1.08</w:t>
      </w:r>
    </w:p>
    <w:p w:rsidR="00F157C4" w:rsidRDefault="00F157C4" w:rsidP="005A3833">
      <w:pPr>
        <w:numPr>
          <w:ilvl w:val="0"/>
          <w:numId w:val="1"/>
        </w:numPr>
        <w:tabs>
          <w:tab w:val="clear" w:pos="720"/>
          <w:tab w:val="num" w:pos="360"/>
        </w:tabs>
        <w:ind w:left="360"/>
        <w:rPr>
          <w:sz w:val="22"/>
          <w:szCs w:val="22"/>
        </w:rPr>
      </w:pPr>
      <w:r>
        <w:rPr>
          <w:sz w:val="22"/>
          <w:szCs w:val="22"/>
        </w:rPr>
        <w:t>We will round this rate to 1.00 for premium calculation purposes.</w:t>
      </w:r>
    </w:p>
    <w:p w:rsidR="00F157C4" w:rsidRDefault="00F157C4" w:rsidP="005A3833">
      <w:pPr>
        <w:numPr>
          <w:ilvl w:val="0"/>
          <w:numId w:val="1"/>
        </w:numPr>
        <w:tabs>
          <w:tab w:val="clear" w:pos="720"/>
          <w:tab w:val="num" w:pos="360"/>
        </w:tabs>
        <w:ind w:left="360"/>
        <w:rPr>
          <w:sz w:val="22"/>
          <w:szCs w:val="22"/>
        </w:rPr>
      </w:pPr>
      <w:r>
        <w:rPr>
          <w:sz w:val="22"/>
          <w:szCs w:val="22"/>
        </w:rPr>
        <w:t>Resulting premiums are:</w:t>
      </w:r>
    </w:p>
    <w:p w:rsidR="00F157C4" w:rsidRPr="001C570B" w:rsidRDefault="00F157C4" w:rsidP="00F157C4">
      <w:pPr>
        <w:pStyle w:val="ListParagraph"/>
      </w:pPr>
      <w:r w:rsidRPr="00F157C4">
        <w:rPr>
          <w:u w:val="single"/>
        </w:rPr>
        <w:t>Limit</w:t>
      </w:r>
      <w:r>
        <w:tab/>
      </w:r>
      <w:r>
        <w:tab/>
      </w:r>
      <w:r w:rsidRPr="00F157C4">
        <w:rPr>
          <w:u w:val="single"/>
        </w:rPr>
        <w:t>Premium</w:t>
      </w:r>
    </w:p>
    <w:p w:rsidR="00F157C4" w:rsidRDefault="00F157C4" w:rsidP="00F157C4">
      <w:pPr>
        <w:pStyle w:val="ListParagraph"/>
        <w:numPr>
          <w:ilvl w:val="0"/>
          <w:numId w:val="1"/>
        </w:numPr>
      </w:pPr>
      <w:r>
        <w:t>$ 25,000</w:t>
      </w:r>
      <w:r>
        <w:tab/>
        <w:t>$  250</w:t>
      </w:r>
    </w:p>
    <w:p w:rsidR="00F157C4" w:rsidRDefault="00F157C4" w:rsidP="00F157C4">
      <w:pPr>
        <w:pStyle w:val="ListParagraph"/>
        <w:numPr>
          <w:ilvl w:val="0"/>
          <w:numId w:val="1"/>
        </w:numPr>
      </w:pPr>
      <w:r>
        <w:t>$ 50,000</w:t>
      </w:r>
      <w:r>
        <w:tab/>
        <w:t>$  500</w:t>
      </w:r>
    </w:p>
    <w:p w:rsidR="00F157C4" w:rsidRDefault="00F157C4" w:rsidP="00F157C4">
      <w:pPr>
        <w:pStyle w:val="ListParagraph"/>
        <w:numPr>
          <w:ilvl w:val="0"/>
          <w:numId w:val="1"/>
        </w:numPr>
      </w:pPr>
      <w:r>
        <w:t>$100,000</w:t>
      </w:r>
      <w:r>
        <w:tab/>
        <w:t>$ 1,000</w:t>
      </w:r>
    </w:p>
    <w:p w:rsidR="00F157C4" w:rsidRDefault="00F157C4" w:rsidP="00F157C4">
      <w:pPr>
        <w:pStyle w:val="ListParagraph"/>
        <w:numPr>
          <w:ilvl w:val="0"/>
          <w:numId w:val="1"/>
        </w:numPr>
      </w:pPr>
      <w:r>
        <w:t>$200,000</w:t>
      </w:r>
      <w:r>
        <w:tab/>
        <w:t>$ 2,000</w:t>
      </w:r>
    </w:p>
    <w:p w:rsidR="00F157C4" w:rsidRDefault="00F157C4" w:rsidP="00F157C4">
      <w:pPr>
        <w:pStyle w:val="ListParagraph"/>
        <w:numPr>
          <w:ilvl w:val="0"/>
          <w:numId w:val="1"/>
        </w:numPr>
      </w:pPr>
      <w:r>
        <w:t>$250,000</w:t>
      </w:r>
      <w:r>
        <w:tab/>
        <w:t>$ 2,500</w:t>
      </w:r>
    </w:p>
    <w:p w:rsidR="00F157C4" w:rsidRDefault="00F157C4" w:rsidP="00F157C4">
      <w:pPr>
        <w:ind w:left="1440"/>
        <w:rPr>
          <w:sz w:val="22"/>
          <w:szCs w:val="22"/>
        </w:rPr>
      </w:pPr>
    </w:p>
    <w:p w:rsidR="00C20E39" w:rsidRDefault="00C20E39" w:rsidP="00C20E39">
      <w:pPr>
        <w:rPr>
          <w:sz w:val="22"/>
          <w:szCs w:val="22"/>
        </w:rPr>
      </w:pPr>
    </w:p>
    <w:p w:rsidR="00C20E39" w:rsidRDefault="00C20E39" w:rsidP="00C20E39">
      <w:pPr>
        <w:rPr>
          <w:sz w:val="22"/>
          <w:szCs w:val="22"/>
        </w:rPr>
      </w:pPr>
    </w:p>
    <w:p w:rsidR="00E61EDC" w:rsidRDefault="00E61EDC" w:rsidP="00D5434C">
      <w:pPr>
        <w:rPr>
          <w:sz w:val="22"/>
          <w:szCs w:val="22"/>
        </w:rPr>
      </w:pPr>
    </w:p>
    <w:p w:rsidR="005A3833" w:rsidRDefault="005A3833" w:rsidP="00D5434C">
      <w:pPr>
        <w:rPr>
          <w:sz w:val="22"/>
          <w:szCs w:val="22"/>
        </w:rPr>
      </w:pPr>
    </w:p>
    <w:p w:rsidR="005A3833" w:rsidRDefault="005A3833" w:rsidP="00D5434C">
      <w:pPr>
        <w:rPr>
          <w:sz w:val="22"/>
          <w:szCs w:val="22"/>
        </w:rPr>
      </w:pPr>
    </w:p>
    <w:sectPr w:rsidR="005A3833" w:rsidSect="00E61EDC">
      <w:pgSz w:w="12240" w:h="15840"/>
      <w:pgMar w:top="1008" w:right="1008"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E5EA8"/>
    <w:multiLevelType w:val="multilevel"/>
    <w:tmpl w:val="0E0088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39D1CE0"/>
    <w:multiLevelType w:val="hybridMultilevel"/>
    <w:tmpl w:val="CFDCD5D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3F0FF5"/>
    <w:multiLevelType w:val="hybridMultilevel"/>
    <w:tmpl w:val="0E0088C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6A65D73"/>
    <w:multiLevelType w:val="hybridMultilevel"/>
    <w:tmpl w:val="9C7E33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71A0BE0"/>
    <w:multiLevelType w:val="hybridMultilevel"/>
    <w:tmpl w:val="220207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C513EE6"/>
    <w:multiLevelType w:val="hybridMultilevel"/>
    <w:tmpl w:val="6AC809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5C84589"/>
    <w:multiLevelType w:val="hybridMultilevel"/>
    <w:tmpl w:val="C24697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6"/>
  </w:num>
  <w:num w:numId="5">
    <w:abstractNumId w:val="4"/>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E61EDC"/>
    <w:rsid w:val="00233274"/>
    <w:rsid w:val="002E1E4A"/>
    <w:rsid w:val="0033156A"/>
    <w:rsid w:val="00357D0E"/>
    <w:rsid w:val="003E39E4"/>
    <w:rsid w:val="003F0C83"/>
    <w:rsid w:val="00494DCE"/>
    <w:rsid w:val="005A3833"/>
    <w:rsid w:val="0066194B"/>
    <w:rsid w:val="006A4B92"/>
    <w:rsid w:val="007464C7"/>
    <w:rsid w:val="007E7677"/>
    <w:rsid w:val="0097622B"/>
    <w:rsid w:val="009B4DDA"/>
    <w:rsid w:val="00BD39AC"/>
    <w:rsid w:val="00C20E39"/>
    <w:rsid w:val="00C724CC"/>
    <w:rsid w:val="00CA5773"/>
    <w:rsid w:val="00CC5CC1"/>
    <w:rsid w:val="00D50E05"/>
    <w:rsid w:val="00D5434C"/>
    <w:rsid w:val="00D93BC2"/>
    <w:rsid w:val="00E61EDC"/>
    <w:rsid w:val="00F157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4C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4D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227</Words>
  <Characters>1178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Development of Rating Rule</vt:lpstr>
    </vt:vector>
  </TitlesOfParts>
  <Company>American International Group</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Development of Rating Rule</dc:title>
  <dc:subject/>
  <dc:creator>American International Group</dc:creator>
  <cp:keywords/>
  <dc:description/>
  <cp:lastModifiedBy>amarcott</cp:lastModifiedBy>
  <cp:revision>5</cp:revision>
  <cp:lastPrinted>2008-04-09T15:31:00Z</cp:lastPrinted>
  <dcterms:created xsi:type="dcterms:W3CDTF">2013-08-14T21:53:00Z</dcterms:created>
  <dcterms:modified xsi:type="dcterms:W3CDTF">2013-09-25T18:03:00Z</dcterms:modified>
</cp:coreProperties>
</file>