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7"/>
        <w:ind w:left="3866" w:right="3845" w:firstLine="0"/>
        <w:jc w:val="center"/>
        <w:rPr>
          <w:b/>
          <w:sz w:val="24"/>
        </w:rPr>
      </w:pPr>
      <w:r>
        <w:rPr>
          <w:b/>
          <w:sz w:val="24"/>
        </w:rPr>
        <w:t>Rating Narrative Miscellaneous Articles</w:t>
      </w:r>
    </w:p>
    <w:p>
      <w:pPr>
        <w:pStyle w:val="BodyText"/>
        <w:spacing w:before="9"/>
        <w:ind w:left="0" w:firstLine="0"/>
        <w:rPr>
          <w:b/>
          <w:sz w:val="23"/>
        </w:rPr>
      </w:pPr>
    </w:p>
    <w:p>
      <w:pPr>
        <w:pStyle w:val="ListParagraph"/>
        <w:numPr>
          <w:ilvl w:val="0"/>
          <w:numId w:val="1"/>
        </w:numPr>
        <w:tabs>
          <w:tab w:pos="467" w:val="left" w:leader="none"/>
          <w:tab w:pos="468" w:val="left" w:leader="none"/>
        </w:tabs>
        <w:spacing w:line="269" w:lineRule="exact" w:before="0" w:after="0"/>
        <w:ind w:left="468" w:right="0" w:hanging="360"/>
        <w:jc w:val="left"/>
        <w:rPr>
          <w:sz w:val="22"/>
        </w:rPr>
      </w:pPr>
      <w:r>
        <w:rPr>
          <w:sz w:val="22"/>
        </w:rPr>
        <w:t>Program Administrator’s data used to analyze exposures and develop estimated account exposure</w:t>
      </w:r>
      <w:r>
        <w:rPr>
          <w:spacing w:val="-18"/>
          <w:sz w:val="22"/>
        </w:rPr>
        <w:t> </w:t>
      </w:r>
      <w:r>
        <w:rPr>
          <w:sz w:val="22"/>
        </w:rPr>
        <w:t>encompass: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$217,923,460 in inland marine</w:t>
      </w:r>
      <w:r>
        <w:rPr>
          <w:spacing w:val="-14"/>
          <w:sz w:val="22"/>
        </w:rPr>
        <w:t> </w:t>
      </w:r>
      <w:r>
        <w:rPr>
          <w:sz w:val="22"/>
        </w:rPr>
        <w:t>values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Estimated policies written at 12,000</w:t>
      </w:r>
      <w:r>
        <w:rPr>
          <w:spacing w:val="-9"/>
          <w:sz w:val="22"/>
        </w:rPr>
        <w:t> </w:t>
      </w:r>
      <w:r>
        <w:rPr>
          <w:sz w:val="22"/>
        </w:rPr>
        <w:t>policies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Average estimated exposed values per policy = $15,000 -</w:t>
      </w:r>
      <w:r>
        <w:rPr>
          <w:spacing w:val="-15"/>
          <w:sz w:val="22"/>
        </w:rPr>
        <w:t> </w:t>
      </w:r>
      <w:r>
        <w:rPr>
          <w:sz w:val="22"/>
        </w:rPr>
        <w:t>$18,000</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The average policy premium is:</w:t>
      </w:r>
      <w:r>
        <w:rPr>
          <w:spacing w:val="46"/>
          <w:sz w:val="22"/>
        </w:rPr>
        <w:t> </w:t>
      </w:r>
      <w:r>
        <w:rPr>
          <w:sz w:val="22"/>
        </w:rPr>
        <w:t>$250.</w:t>
      </w:r>
    </w:p>
    <w:p>
      <w:pPr>
        <w:pStyle w:val="BodyText"/>
        <w:spacing w:before="10"/>
        <w:ind w:left="0" w:firstLine="0"/>
        <w:rPr>
          <w:sz w:val="21"/>
        </w:rPr>
      </w:pPr>
    </w:p>
    <w:p>
      <w:pPr>
        <w:pStyle w:val="BodyText"/>
        <w:ind w:left="107" w:right="27" w:firstLine="0"/>
      </w:pPr>
      <w:r>
        <w:rPr/>
        <w:t>It is further contemplated that there is a need to assure reasonable premium be obtained for the extension of coverage, irrespective of the inland marine values insured by any one account. The proposed minimum policy writing premium is therefore set at $50.</w:t>
      </w:r>
    </w:p>
    <w:p>
      <w:pPr>
        <w:pStyle w:val="BodyText"/>
        <w:spacing w:before="2"/>
        <w:ind w:left="0" w:firstLine="0"/>
      </w:pPr>
    </w:p>
    <w:tbl>
      <w:tblPr>
        <w:tblW w:w="0" w:type="auto"/>
        <w:jc w:val="left"/>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2052"/>
        <w:gridCol w:w="2268"/>
        <w:gridCol w:w="2700"/>
      </w:tblGrid>
      <w:tr>
        <w:trPr>
          <w:trHeight w:val="240" w:hRule="exact"/>
        </w:trPr>
        <w:tc>
          <w:tcPr>
            <w:tcW w:w="2340" w:type="dxa"/>
          </w:tcPr>
          <w:p>
            <w:pPr>
              <w:pStyle w:val="TableParagraph"/>
              <w:rPr>
                <w:b/>
                <w:sz w:val="20"/>
              </w:rPr>
            </w:pPr>
            <w:r>
              <w:rPr>
                <w:b/>
                <w:sz w:val="20"/>
              </w:rPr>
              <w:t>Class of Business</w:t>
            </w:r>
          </w:p>
        </w:tc>
        <w:tc>
          <w:tcPr>
            <w:tcW w:w="2052" w:type="dxa"/>
          </w:tcPr>
          <w:p>
            <w:pPr>
              <w:pStyle w:val="TableParagraph"/>
              <w:rPr>
                <w:b/>
                <w:sz w:val="20"/>
              </w:rPr>
            </w:pPr>
            <w:r>
              <w:rPr>
                <w:b/>
                <w:sz w:val="20"/>
              </w:rPr>
              <w:t>Minimum Premium</w:t>
            </w:r>
          </w:p>
        </w:tc>
        <w:tc>
          <w:tcPr>
            <w:tcW w:w="2268" w:type="dxa"/>
          </w:tcPr>
          <w:p>
            <w:pPr>
              <w:pStyle w:val="TableParagraph"/>
              <w:ind w:left="104"/>
              <w:rPr>
                <w:b/>
                <w:sz w:val="20"/>
              </w:rPr>
            </w:pPr>
            <w:r>
              <w:rPr>
                <w:b/>
                <w:sz w:val="20"/>
              </w:rPr>
              <w:t>Deductible(s)</w:t>
            </w:r>
          </w:p>
        </w:tc>
        <w:tc>
          <w:tcPr>
            <w:tcW w:w="2700" w:type="dxa"/>
          </w:tcPr>
          <w:p>
            <w:pPr>
              <w:pStyle w:val="TableParagraph"/>
              <w:rPr>
                <w:b/>
                <w:sz w:val="20"/>
              </w:rPr>
            </w:pPr>
            <w:r>
              <w:rPr>
                <w:b/>
                <w:sz w:val="20"/>
              </w:rPr>
              <w:t>Comments</w:t>
            </w:r>
          </w:p>
        </w:tc>
      </w:tr>
      <w:tr>
        <w:trPr>
          <w:trHeight w:val="738" w:hRule="exact"/>
        </w:trPr>
        <w:tc>
          <w:tcPr>
            <w:tcW w:w="2340" w:type="dxa"/>
          </w:tcPr>
          <w:p>
            <w:pPr>
              <w:pStyle w:val="TableParagraph"/>
              <w:spacing w:line="250" w:lineRule="exact"/>
              <w:rPr>
                <w:sz w:val="22"/>
              </w:rPr>
            </w:pPr>
            <w:r>
              <w:rPr>
                <w:sz w:val="22"/>
              </w:rPr>
              <w:t>Miscellaneous</w:t>
            </w:r>
          </w:p>
        </w:tc>
        <w:tc>
          <w:tcPr>
            <w:tcW w:w="2052" w:type="dxa"/>
          </w:tcPr>
          <w:p>
            <w:pPr>
              <w:pStyle w:val="TableParagraph"/>
              <w:spacing w:line="250" w:lineRule="exact"/>
              <w:ind w:left="106"/>
              <w:rPr>
                <w:sz w:val="22"/>
              </w:rPr>
            </w:pPr>
            <w:r>
              <w:rPr>
                <w:sz w:val="22"/>
              </w:rPr>
              <w:t>$50.00</w:t>
            </w:r>
          </w:p>
        </w:tc>
        <w:tc>
          <w:tcPr>
            <w:tcW w:w="2268" w:type="dxa"/>
          </w:tcPr>
          <w:p>
            <w:pPr>
              <w:pStyle w:val="TableParagraph"/>
              <w:spacing w:line="250" w:lineRule="exact"/>
              <w:ind w:left="104"/>
              <w:rPr>
                <w:sz w:val="22"/>
              </w:rPr>
            </w:pPr>
            <w:r>
              <w:rPr>
                <w:sz w:val="22"/>
              </w:rPr>
              <w:t>$100</w:t>
            </w:r>
          </w:p>
        </w:tc>
        <w:tc>
          <w:tcPr>
            <w:tcW w:w="2700" w:type="dxa"/>
          </w:tcPr>
          <w:p>
            <w:pPr>
              <w:pStyle w:val="TableParagraph"/>
              <w:spacing w:line="240" w:lineRule="auto"/>
              <w:ind w:right="118" w:hanging="1"/>
              <w:rPr>
                <w:sz w:val="22"/>
              </w:rPr>
            </w:pPr>
            <w:r>
              <w:rPr>
                <w:sz w:val="22"/>
              </w:rPr>
              <w:t>Deductible lower than $100 requires Company approval</w:t>
            </w:r>
          </w:p>
        </w:tc>
      </w:tr>
    </w:tbl>
    <w:p>
      <w:pPr>
        <w:pStyle w:val="BodyText"/>
        <w:spacing w:before="9"/>
        <w:ind w:left="0" w:firstLine="0"/>
        <w:rPr>
          <w:sz w:val="21"/>
        </w:rPr>
      </w:pPr>
    </w:p>
    <w:p>
      <w:pPr>
        <w:pStyle w:val="BodyText"/>
        <w:ind w:left="107" w:firstLine="0"/>
      </w:pPr>
      <w:r>
        <w:rPr/>
        <w:t>The rating rule for use with the filed forms is:</w:t>
      </w:r>
    </w:p>
    <w:p>
      <w:pPr>
        <w:pStyle w:val="ListParagraph"/>
        <w:numPr>
          <w:ilvl w:val="0"/>
          <w:numId w:val="2"/>
        </w:numPr>
        <w:tabs>
          <w:tab w:pos="827" w:val="left" w:leader="none"/>
          <w:tab w:pos="828" w:val="left" w:leader="none"/>
        </w:tabs>
        <w:spacing w:line="240" w:lineRule="auto" w:before="0" w:after="0"/>
        <w:ind w:left="828" w:right="0" w:hanging="360"/>
        <w:jc w:val="left"/>
        <w:rPr>
          <w:sz w:val="22"/>
        </w:rPr>
      </w:pPr>
      <w:r>
        <w:rPr>
          <w:sz w:val="22"/>
        </w:rPr>
        <w:t>Calculate the premium, subject to countrywide rates established by type of</w:t>
      </w:r>
      <w:r>
        <w:rPr>
          <w:spacing w:val="-22"/>
          <w:sz w:val="22"/>
        </w:rPr>
        <w:t> </w:t>
      </w:r>
      <w:r>
        <w:rPr>
          <w:sz w:val="22"/>
        </w:rPr>
        <w:t>equipment.</w:t>
      </w:r>
    </w:p>
    <w:p>
      <w:pPr>
        <w:pStyle w:val="BodyText"/>
        <w:spacing w:before="11"/>
        <w:ind w:left="0" w:firstLine="0"/>
        <w:rPr>
          <w:sz w:val="21"/>
        </w:rPr>
      </w:pPr>
    </w:p>
    <w:p>
      <w:pPr>
        <w:pStyle w:val="BodyText"/>
        <w:spacing w:line="252" w:lineRule="exact"/>
        <w:ind w:left="107" w:firstLine="0"/>
      </w:pPr>
      <w:r>
        <w:rPr/>
        <w:t>Our country-wide rates per $100 of insured value are higher than ISO for the following reasons:</w:t>
      </w:r>
    </w:p>
    <w:p>
      <w:pPr>
        <w:pStyle w:val="ListParagraph"/>
        <w:numPr>
          <w:ilvl w:val="0"/>
          <w:numId w:val="3"/>
        </w:numPr>
        <w:tabs>
          <w:tab w:pos="828" w:val="left" w:leader="none"/>
        </w:tabs>
        <w:spacing w:line="252" w:lineRule="exact" w:before="0" w:after="0"/>
        <w:ind w:left="828" w:right="0" w:hanging="361"/>
        <w:jc w:val="left"/>
        <w:rPr>
          <w:sz w:val="22"/>
        </w:rPr>
      </w:pPr>
      <w:r>
        <w:rPr>
          <w:sz w:val="22"/>
        </w:rPr>
        <w:t>We have a very low minimum premium of $50.  ISO Commercial Minimum Premiums range from $100</w:t>
      </w:r>
      <w:r>
        <w:rPr>
          <w:spacing w:val="-26"/>
          <w:sz w:val="22"/>
        </w:rPr>
        <w:t> </w:t>
      </w:r>
      <w:r>
        <w:rPr>
          <w:sz w:val="22"/>
        </w:rPr>
        <w:t>to</w:t>
      </w:r>
    </w:p>
    <w:p>
      <w:pPr>
        <w:pStyle w:val="BodyText"/>
        <w:ind w:left="809" w:right="7070" w:firstLine="0"/>
        <w:jc w:val="center"/>
      </w:pPr>
      <w:r>
        <w:rPr/>
        <w:t>$500, depending upon class.</w:t>
      </w:r>
    </w:p>
    <w:p>
      <w:pPr>
        <w:pStyle w:val="ListParagraph"/>
        <w:numPr>
          <w:ilvl w:val="0"/>
          <w:numId w:val="3"/>
        </w:numPr>
        <w:tabs>
          <w:tab w:pos="828" w:val="left" w:leader="none"/>
        </w:tabs>
        <w:spacing w:line="240" w:lineRule="auto" w:before="0" w:after="0"/>
        <w:ind w:left="828" w:right="969" w:hanging="360"/>
        <w:jc w:val="left"/>
        <w:rPr>
          <w:sz w:val="22"/>
        </w:rPr>
      </w:pPr>
      <w:r>
        <w:rPr>
          <w:sz w:val="22"/>
        </w:rPr>
        <w:t>We have fixed deductible of $100. ISO’s minimum deductible is $100 (note this is our maximum deductible).</w:t>
      </w:r>
    </w:p>
    <w:p>
      <w:pPr>
        <w:pStyle w:val="ListParagraph"/>
        <w:numPr>
          <w:ilvl w:val="0"/>
          <w:numId w:val="3"/>
        </w:numPr>
        <w:tabs>
          <w:tab w:pos="829" w:val="left" w:leader="none"/>
        </w:tabs>
        <w:spacing w:line="240" w:lineRule="auto" w:before="0" w:after="0"/>
        <w:ind w:left="828" w:right="0" w:hanging="360"/>
        <w:jc w:val="left"/>
        <w:rPr>
          <w:sz w:val="22"/>
        </w:rPr>
      </w:pPr>
      <w:r>
        <w:rPr>
          <w:sz w:val="22"/>
        </w:rPr>
        <w:t>We have Expenses as</w:t>
      </w:r>
      <w:r>
        <w:rPr>
          <w:spacing w:val="-6"/>
          <w:sz w:val="22"/>
        </w:rPr>
        <w:t> </w:t>
      </w:r>
      <w:r>
        <w:rPr>
          <w:sz w:val="22"/>
        </w:rPr>
        <w:t>follows:</w:t>
      </w:r>
    </w:p>
    <w:p>
      <w:pPr>
        <w:pStyle w:val="ListParagraph"/>
        <w:numPr>
          <w:ilvl w:val="1"/>
          <w:numId w:val="3"/>
        </w:numPr>
        <w:tabs>
          <w:tab w:pos="1547" w:val="left" w:leader="none"/>
          <w:tab w:pos="1549" w:val="left" w:leader="none"/>
        </w:tabs>
        <w:spacing w:line="252" w:lineRule="exact" w:before="0" w:after="0"/>
        <w:ind w:left="1548" w:right="0" w:hanging="360"/>
        <w:jc w:val="left"/>
        <w:rPr>
          <w:sz w:val="22"/>
        </w:rPr>
      </w:pPr>
      <w:r>
        <w:rPr>
          <w:sz w:val="22"/>
        </w:rPr>
        <w:t>Commission to Agent =</w:t>
      </w:r>
      <w:r>
        <w:rPr>
          <w:spacing w:val="-6"/>
          <w:sz w:val="22"/>
        </w:rPr>
        <w:t> </w:t>
      </w:r>
      <w:r>
        <w:rPr>
          <w:sz w:val="22"/>
        </w:rPr>
        <w:t>28%</w:t>
      </w:r>
    </w:p>
    <w:p>
      <w:pPr>
        <w:pStyle w:val="ListParagraph"/>
        <w:numPr>
          <w:ilvl w:val="1"/>
          <w:numId w:val="3"/>
        </w:numPr>
        <w:tabs>
          <w:tab w:pos="1549" w:val="left" w:leader="none"/>
        </w:tabs>
        <w:spacing w:line="252" w:lineRule="exact" w:before="0" w:after="0"/>
        <w:ind w:left="1548" w:right="0" w:hanging="360"/>
        <w:jc w:val="left"/>
        <w:rPr>
          <w:sz w:val="22"/>
        </w:rPr>
      </w:pPr>
      <w:r>
        <w:rPr>
          <w:sz w:val="22"/>
        </w:rPr>
        <w:t>Company Overhead =</w:t>
      </w:r>
      <w:r>
        <w:rPr>
          <w:spacing w:val="-13"/>
          <w:sz w:val="22"/>
        </w:rPr>
        <w:t> </w:t>
      </w:r>
      <w:r>
        <w:rPr>
          <w:sz w:val="22"/>
        </w:rPr>
        <w:t>6%</w:t>
      </w:r>
    </w:p>
    <w:p>
      <w:pPr>
        <w:pStyle w:val="ListParagraph"/>
        <w:numPr>
          <w:ilvl w:val="1"/>
          <w:numId w:val="3"/>
        </w:numPr>
        <w:tabs>
          <w:tab w:pos="1547" w:val="left" w:leader="none"/>
          <w:tab w:pos="1549" w:val="left" w:leader="none"/>
        </w:tabs>
        <w:spacing w:line="240" w:lineRule="auto" w:before="0" w:after="0"/>
        <w:ind w:left="1548" w:right="0" w:hanging="360"/>
        <w:jc w:val="left"/>
        <w:rPr>
          <w:sz w:val="22"/>
        </w:rPr>
      </w:pPr>
      <w:r>
        <w:rPr>
          <w:sz w:val="22"/>
        </w:rPr>
        <w:t>ULAE =</w:t>
      </w:r>
      <w:r>
        <w:rPr>
          <w:spacing w:val="-2"/>
          <w:sz w:val="22"/>
        </w:rPr>
        <w:t> </w:t>
      </w:r>
      <w:r>
        <w:rPr>
          <w:sz w:val="22"/>
        </w:rPr>
        <w:t>1%</w:t>
      </w:r>
    </w:p>
    <w:p>
      <w:pPr>
        <w:pStyle w:val="ListParagraph"/>
        <w:numPr>
          <w:ilvl w:val="1"/>
          <w:numId w:val="3"/>
        </w:numPr>
        <w:tabs>
          <w:tab w:pos="1549" w:val="left" w:leader="none"/>
        </w:tabs>
        <w:spacing w:line="240" w:lineRule="auto" w:before="0" w:after="0"/>
        <w:ind w:left="1548" w:right="0" w:hanging="360"/>
        <w:jc w:val="left"/>
        <w:rPr>
          <w:sz w:val="22"/>
        </w:rPr>
      </w:pPr>
      <w:r>
        <w:rPr>
          <w:sz w:val="22"/>
        </w:rPr>
        <w:t>Total =</w:t>
      </w:r>
      <w:r>
        <w:rPr>
          <w:spacing w:val="-2"/>
          <w:sz w:val="22"/>
        </w:rPr>
        <w:t> </w:t>
      </w:r>
      <w:r>
        <w:rPr>
          <w:sz w:val="22"/>
        </w:rPr>
        <w:t>35%</w:t>
      </w:r>
    </w:p>
    <w:p>
      <w:pPr>
        <w:pStyle w:val="ListParagraph"/>
        <w:numPr>
          <w:ilvl w:val="0"/>
          <w:numId w:val="3"/>
        </w:numPr>
        <w:tabs>
          <w:tab w:pos="829" w:val="left" w:leader="none"/>
        </w:tabs>
        <w:spacing w:line="240" w:lineRule="auto" w:before="0" w:after="0"/>
        <w:ind w:left="828" w:right="103" w:hanging="360"/>
        <w:jc w:val="left"/>
        <w:rPr>
          <w:sz w:val="22"/>
        </w:rPr>
      </w:pPr>
      <w:r>
        <w:rPr>
          <w:sz w:val="22"/>
        </w:rPr>
        <w:t>We have several built in several coverage features that are normally endorsed to the policy for an additional premium, or are specifically</w:t>
      </w:r>
      <w:r>
        <w:rPr>
          <w:spacing w:val="-7"/>
          <w:sz w:val="22"/>
        </w:rPr>
        <w:t> </w:t>
      </w:r>
      <w:r>
        <w:rPr>
          <w:sz w:val="22"/>
        </w:rPr>
        <w:t>excluded:</w:t>
      </w:r>
    </w:p>
    <w:p>
      <w:pPr>
        <w:pStyle w:val="ListParagraph"/>
        <w:numPr>
          <w:ilvl w:val="1"/>
          <w:numId w:val="3"/>
        </w:numPr>
        <w:tabs>
          <w:tab w:pos="1547" w:val="left" w:leader="none"/>
          <w:tab w:pos="1549" w:val="left" w:leader="none"/>
        </w:tabs>
        <w:spacing w:line="240" w:lineRule="auto" w:before="0" w:after="0"/>
        <w:ind w:left="1548" w:right="177" w:hanging="360"/>
        <w:jc w:val="left"/>
        <w:rPr>
          <w:sz w:val="22"/>
        </w:rPr>
      </w:pPr>
      <w:r>
        <w:rPr>
          <w:sz w:val="22"/>
        </w:rPr>
        <w:t>We have built in $10,000 of Extra Expense Coverage if a covered cause of loss disrupts</w:t>
      </w:r>
      <w:r>
        <w:rPr>
          <w:spacing w:val="-22"/>
          <w:sz w:val="22"/>
        </w:rPr>
        <w:t> </w:t>
      </w:r>
      <w:r>
        <w:rPr>
          <w:sz w:val="22"/>
        </w:rPr>
        <w:t>operations at no additional</w:t>
      </w:r>
      <w:r>
        <w:rPr>
          <w:spacing w:val="-9"/>
          <w:sz w:val="22"/>
        </w:rPr>
        <w:t> </w:t>
      </w:r>
      <w:r>
        <w:rPr>
          <w:sz w:val="22"/>
        </w:rPr>
        <w:t>premium.</w:t>
      </w:r>
    </w:p>
    <w:p>
      <w:pPr>
        <w:pStyle w:val="ListParagraph"/>
        <w:numPr>
          <w:ilvl w:val="1"/>
          <w:numId w:val="3"/>
        </w:numPr>
        <w:tabs>
          <w:tab w:pos="1549" w:val="left" w:leader="none"/>
        </w:tabs>
        <w:spacing w:line="240" w:lineRule="auto" w:before="1" w:after="0"/>
        <w:ind w:left="1548" w:right="221" w:hanging="360"/>
        <w:jc w:val="left"/>
        <w:rPr>
          <w:sz w:val="22"/>
        </w:rPr>
      </w:pPr>
      <w:r>
        <w:rPr>
          <w:sz w:val="22"/>
        </w:rPr>
        <w:t>We have built in $5,000 of coverage for damage to computer equipment resulting from the</w:t>
      </w:r>
      <w:r>
        <w:rPr>
          <w:spacing w:val="-22"/>
          <w:sz w:val="22"/>
        </w:rPr>
        <w:t> </w:t>
      </w:r>
      <w:r>
        <w:rPr>
          <w:sz w:val="22"/>
        </w:rPr>
        <w:t>release of fire extinguishing systems in a building, at no additional</w:t>
      </w:r>
      <w:r>
        <w:rPr>
          <w:spacing w:val="-18"/>
          <w:sz w:val="22"/>
        </w:rPr>
        <w:t> </w:t>
      </w:r>
      <w:r>
        <w:rPr>
          <w:sz w:val="22"/>
        </w:rPr>
        <w:t>cost.</w:t>
      </w:r>
    </w:p>
    <w:p>
      <w:pPr>
        <w:pStyle w:val="ListParagraph"/>
        <w:numPr>
          <w:ilvl w:val="1"/>
          <w:numId w:val="3"/>
        </w:numPr>
        <w:tabs>
          <w:tab w:pos="1548" w:val="left" w:leader="none"/>
          <w:tab w:pos="1549" w:val="left" w:leader="none"/>
        </w:tabs>
        <w:spacing w:line="252" w:lineRule="exact" w:before="0" w:after="0"/>
        <w:ind w:left="1548" w:right="0" w:hanging="360"/>
        <w:jc w:val="left"/>
        <w:rPr>
          <w:sz w:val="22"/>
        </w:rPr>
      </w:pPr>
      <w:r>
        <w:rPr>
          <w:sz w:val="22"/>
        </w:rPr>
        <w:t>We have built in $2,500 of additional coverage for Rental Reimbursement at no additional</w:t>
      </w:r>
      <w:r>
        <w:rPr>
          <w:spacing w:val="-26"/>
          <w:sz w:val="22"/>
        </w:rPr>
        <w:t> </w:t>
      </w:r>
      <w:r>
        <w:rPr>
          <w:sz w:val="22"/>
        </w:rPr>
        <w:t>cost.</w:t>
      </w:r>
    </w:p>
    <w:p>
      <w:pPr>
        <w:pStyle w:val="ListParagraph"/>
        <w:numPr>
          <w:ilvl w:val="1"/>
          <w:numId w:val="3"/>
        </w:numPr>
        <w:tabs>
          <w:tab w:pos="1549" w:val="left" w:leader="none"/>
        </w:tabs>
        <w:spacing w:line="252" w:lineRule="exact" w:before="0" w:after="0"/>
        <w:ind w:left="1548" w:right="0" w:hanging="360"/>
        <w:jc w:val="left"/>
        <w:rPr>
          <w:sz w:val="22"/>
        </w:rPr>
      </w:pPr>
      <w:r>
        <w:rPr>
          <w:sz w:val="22"/>
        </w:rPr>
        <w:t>We include $1,000 of coverage for Data and Media Coverage at no additional</w:t>
      </w:r>
      <w:r>
        <w:rPr>
          <w:spacing w:val="-20"/>
          <w:sz w:val="22"/>
        </w:rPr>
        <w:t> </w:t>
      </w:r>
      <w:r>
        <w:rPr>
          <w:sz w:val="22"/>
        </w:rPr>
        <w:t>cost.</w:t>
      </w:r>
    </w:p>
    <w:p>
      <w:pPr>
        <w:pStyle w:val="ListParagraph"/>
        <w:numPr>
          <w:ilvl w:val="1"/>
          <w:numId w:val="3"/>
        </w:numPr>
        <w:tabs>
          <w:tab w:pos="1548" w:val="left" w:leader="none"/>
          <w:tab w:pos="1549" w:val="left" w:leader="none"/>
        </w:tabs>
        <w:spacing w:line="240" w:lineRule="auto" w:before="0" w:after="0"/>
        <w:ind w:left="1548" w:right="0" w:hanging="360"/>
        <w:jc w:val="left"/>
        <w:rPr>
          <w:sz w:val="22"/>
        </w:rPr>
      </w:pPr>
      <w:r>
        <w:rPr>
          <w:sz w:val="22"/>
        </w:rPr>
        <w:t>We provide $500 of Emergency Removal Expense Reimbursement at no additional</w:t>
      </w:r>
      <w:r>
        <w:rPr>
          <w:spacing w:val="-23"/>
          <w:sz w:val="22"/>
        </w:rPr>
        <w:t> </w:t>
      </w:r>
      <w:r>
        <w:rPr>
          <w:sz w:val="22"/>
        </w:rPr>
        <w:t>cost.</w:t>
      </w:r>
    </w:p>
    <w:p>
      <w:pPr>
        <w:pStyle w:val="ListParagraph"/>
        <w:numPr>
          <w:ilvl w:val="1"/>
          <w:numId w:val="3"/>
        </w:numPr>
        <w:tabs>
          <w:tab w:pos="1547" w:val="left" w:leader="none"/>
          <w:tab w:pos="1549" w:val="left" w:leader="none"/>
        </w:tabs>
        <w:spacing w:line="240" w:lineRule="auto" w:before="0" w:after="0"/>
        <w:ind w:left="1548" w:right="797" w:hanging="360"/>
        <w:jc w:val="left"/>
        <w:rPr>
          <w:sz w:val="22"/>
        </w:rPr>
      </w:pPr>
      <w:r>
        <w:rPr>
          <w:sz w:val="22"/>
        </w:rPr>
        <w:t>We have built in full coverage for temporary replacements due to loss or damage of insured equipment.</w:t>
      </w:r>
    </w:p>
    <w:p>
      <w:pPr>
        <w:pStyle w:val="ListParagraph"/>
        <w:numPr>
          <w:ilvl w:val="1"/>
          <w:numId w:val="3"/>
        </w:numPr>
        <w:tabs>
          <w:tab w:pos="1549" w:val="left" w:leader="none"/>
        </w:tabs>
        <w:spacing w:line="240" w:lineRule="auto" w:before="0" w:after="0"/>
        <w:ind w:left="1548" w:right="206" w:hanging="360"/>
        <w:jc w:val="left"/>
        <w:rPr>
          <w:sz w:val="22"/>
        </w:rPr>
      </w:pPr>
      <w:r>
        <w:rPr>
          <w:sz w:val="22"/>
        </w:rPr>
        <w:t>We have built in 30-days of coverage for rented or borrowed equipment without loss or damage to insured equipment at no additional</w:t>
      </w:r>
      <w:r>
        <w:rPr>
          <w:spacing w:val="-8"/>
          <w:sz w:val="22"/>
        </w:rPr>
        <w:t> </w:t>
      </w:r>
      <w:r>
        <w:rPr>
          <w:sz w:val="22"/>
        </w:rPr>
        <w:t>cost.</w:t>
      </w:r>
    </w:p>
    <w:p>
      <w:pPr>
        <w:pStyle w:val="ListParagraph"/>
        <w:numPr>
          <w:ilvl w:val="1"/>
          <w:numId w:val="3"/>
        </w:numPr>
        <w:tabs>
          <w:tab w:pos="1549" w:val="left" w:leader="none"/>
        </w:tabs>
        <w:spacing w:line="240" w:lineRule="auto" w:before="0" w:after="0"/>
        <w:ind w:left="1548" w:right="138" w:hanging="360"/>
        <w:jc w:val="left"/>
        <w:rPr>
          <w:sz w:val="22"/>
        </w:rPr>
      </w:pPr>
      <w:r>
        <w:rPr>
          <w:sz w:val="22"/>
        </w:rPr>
        <w:t>We include coverage, at no additional cost, for computer viruses, computer hackers, worms, logic bombs, Trojan horses, or other similar malicious data, where most ISO Forms exclude these causes of loss from</w:t>
      </w:r>
      <w:r>
        <w:rPr>
          <w:spacing w:val="-6"/>
          <w:sz w:val="22"/>
        </w:rPr>
        <w:t> </w:t>
      </w:r>
      <w:r>
        <w:rPr>
          <w:sz w:val="22"/>
        </w:rPr>
        <w:t>coverage.</w:t>
      </w: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spacing w:before="3"/>
        <w:ind w:left="0" w:firstLine="0"/>
        <w:rPr>
          <w:sz w:val="29"/>
        </w:rPr>
      </w:pPr>
    </w:p>
    <w:p>
      <w:pPr>
        <w:spacing w:before="90"/>
        <w:ind w:left="2488" w:right="4048" w:firstLine="0"/>
        <w:jc w:val="center"/>
        <w:rPr>
          <w:sz w:val="24"/>
        </w:rPr>
      </w:pPr>
      <w:r>
        <w:rPr>
          <w:sz w:val="24"/>
        </w:rPr>
        <w:t>Page 1 of 1</w:t>
      </w:r>
    </w:p>
    <w:sectPr>
      <w:type w:val="continuous"/>
      <w:pgSz w:w="12240" w:h="15840"/>
      <w:pgMar w:top="940" w:bottom="280" w:left="90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28" w:hanging="360"/>
        <w:jc w:val="left"/>
      </w:pPr>
      <w:rPr>
        <w:rFonts w:hint="default" w:ascii="Times New Roman" w:hAnsi="Times New Roman" w:eastAsia="Times New Roman" w:cs="Times New Roman"/>
        <w:w w:val="99"/>
        <w:sz w:val="22"/>
        <w:szCs w:val="22"/>
      </w:rPr>
    </w:lvl>
    <w:lvl w:ilvl="1">
      <w:start w:val="1"/>
      <w:numFmt w:val="lowerLetter"/>
      <w:lvlText w:val="%2."/>
      <w:lvlJc w:val="left"/>
      <w:pPr>
        <w:ind w:left="1548" w:hanging="360"/>
        <w:jc w:val="left"/>
      </w:pPr>
      <w:rPr>
        <w:rFonts w:hint="default" w:ascii="Times New Roman" w:hAnsi="Times New Roman" w:eastAsia="Times New Roman" w:cs="Times New Roman"/>
        <w:spacing w:val="-1"/>
        <w:w w:val="99"/>
        <w:sz w:val="22"/>
        <w:szCs w:val="22"/>
      </w:rPr>
    </w:lvl>
    <w:lvl w:ilvl="2">
      <w:start w:val="0"/>
      <w:numFmt w:val="bullet"/>
      <w:lvlText w:val="•"/>
      <w:lvlJc w:val="left"/>
      <w:pPr>
        <w:ind w:left="2526" w:hanging="360"/>
      </w:pPr>
      <w:rPr>
        <w:rFonts w:hint="default"/>
      </w:rPr>
    </w:lvl>
    <w:lvl w:ilvl="3">
      <w:start w:val="0"/>
      <w:numFmt w:val="bullet"/>
      <w:lvlText w:val="•"/>
      <w:lvlJc w:val="left"/>
      <w:pPr>
        <w:ind w:left="3513" w:hanging="360"/>
      </w:pPr>
      <w:rPr>
        <w:rFonts w:hint="default"/>
      </w:rPr>
    </w:lvl>
    <w:lvl w:ilvl="4">
      <w:start w:val="0"/>
      <w:numFmt w:val="bullet"/>
      <w:lvlText w:val="•"/>
      <w:lvlJc w:val="left"/>
      <w:pPr>
        <w:ind w:left="4500" w:hanging="360"/>
      </w:pPr>
      <w:rPr>
        <w:rFonts w:hint="default"/>
      </w:rPr>
    </w:lvl>
    <w:lvl w:ilvl="5">
      <w:start w:val="0"/>
      <w:numFmt w:val="bullet"/>
      <w:lvlText w:val="•"/>
      <w:lvlJc w:val="left"/>
      <w:pPr>
        <w:ind w:left="5486" w:hanging="360"/>
      </w:pPr>
      <w:rPr>
        <w:rFonts w:hint="default"/>
      </w:rPr>
    </w:lvl>
    <w:lvl w:ilvl="6">
      <w:start w:val="0"/>
      <w:numFmt w:val="bullet"/>
      <w:lvlText w:val="•"/>
      <w:lvlJc w:val="left"/>
      <w:pPr>
        <w:ind w:left="6473" w:hanging="360"/>
      </w:pPr>
      <w:rPr>
        <w:rFonts w:hint="default"/>
      </w:rPr>
    </w:lvl>
    <w:lvl w:ilvl="7">
      <w:start w:val="0"/>
      <w:numFmt w:val="bullet"/>
      <w:lvlText w:val="•"/>
      <w:lvlJc w:val="left"/>
      <w:pPr>
        <w:ind w:left="7460" w:hanging="360"/>
      </w:pPr>
      <w:rPr>
        <w:rFonts w:hint="default"/>
      </w:rPr>
    </w:lvl>
    <w:lvl w:ilvl="8">
      <w:start w:val="0"/>
      <w:numFmt w:val="bullet"/>
      <w:lvlText w:val="•"/>
      <w:lvlJc w:val="left"/>
      <w:pPr>
        <w:ind w:left="8446" w:hanging="360"/>
      </w:pPr>
      <w:rPr>
        <w:rFonts w:hint="default"/>
      </w:rPr>
    </w:lvl>
  </w:abstractNum>
  <w:abstractNum w:abstractNumId="1">
    <w:multiLevelType w:val="hybridMultilevel"/>
    <w:lvl w:ilvl="0">
      <w:start w:val="0"/>
      <w:numFmt w:val="bullet"/>
      <w:lvlText w:val=""/>
      <w:lvlJc w:val="left"/>
      <w:pPr>
        <w:ind w:left="828" w:hanging="360"/>
      </w:pPr>
      <w:rPr>
        <w:rFonts w:hint="default" w:ascii="Symbol" w:hAnsi="Symbol" w:eastAsia="Symbol" w:cs="Symbol"/>
        <w:w w:val="99"/>
        <w:sz w:val="22"/>
        <w:szCs w:val="22"/>
      </w:rPr>
    </w:lvl>
    <w:lvl w:ilvl="1">
      <w:start w:val="0"/>
      <w:numFmt w:val="bullet"/>
      <w:lvlText w:val="•"/>
      <w:lvlJc w:val="left"/>
      <w:pPr>
        <w:ind w:left="1780" w:hanging="360"/>
      </w:pPr>
      <w:rPr>
        <w:rFonts w:hint="default"/>
      </w:rPr>
    </w:lvl>
    <w:lvl w:ilvl="2">
      <w:start w:val="0"/>
      <w:numFmt w:val="bullet"/>
      <w:lvlText w:val="•"/>
      <w:lvlJc w:val="left"/>
      <w:pPr>
        <w:ind w:left="2740" w:hanging="360"/>
      </w:pPr>
      <w:rPr>
        <w:rFonts w:hint="default"/>
      </w:rPr>
    </w:lvl>
    <w:lvl w:ilvl="3">
      <w:start w:val="0"/>
      <w:numFmt w:val="bullet"/>
      <w:lvlText w:val="•"/>
      <w:lvlJc w:val="left"/>
      <w:pPr>
        <w:ind w:left="3700" w:hanging="360"/>
      </w:pPr>
      <w:rPr>
        <w:rFonts w:hint="default"/>
      </w:rPr>
    </w:lvl>
    <w:lvl w:ilvl="4">
      <w:start w:val="0"/>
      <w:numFmt w:val="bullet"/>
      <w:lvlText w:val="•"/>
      <w:lvlJc w:val="left"/>
      <w:pPr>
        <w:ind w:left="4660" w:hanging="360"/>
      </w:pPr>
      <w:rPr>
        <w:rFonts w:hint="default"/>
      </w:rPr>
    </w:lvl>
    <w:lvl w:ilvl="5">
      <w:start w:val="0"/>
      <w:numFmt w:val="bullet"/>
      <w:lvlText w:val="•"/>
      <w:lvlJc w:val="left"/>
      <w:pPr>
        <w:ind w:left="5620" w:hanging="360"/>
      </w:pPr>
      <w:rPr>
        <w:rFonts w:hint="default"/>
      </w:rPr>
    </w:lvl>
    <w:lvl w:ilvl="6">
      <w:start w:val="0"/>
      <w:numFmt w:val="bullet"/>
      <w:lvlText w:val="•"/>
      <w:lvlJc w:val="left"/>
      <w:pPr>
        <w:ind w:left="6580" w:hanging="360"/>
      </w:pPr>
      <w:rPr>
        <w:rFonts w:hint="default"/>
      </w:rPr>
    </w:lvl>
    <w:lvl w:ilvl="7">
      <w:start w:val="0"/>
      <w:numFmt w:val="bullet"/>
      <w:lvlText w:val="•"/>
      <w:lvlJc w:val="left"/>
      <w:pPr>
        <w:ind w:left="7540" w:hanging="360"/>
      </w:pPr>
      <w:rPr>
        <w:rFonts w:hint="default"/>
      </w:rPr>
    </w:lvl>
    <w:lvl w:ilvl="8">
      <w:start w:val="0"/>
      <w:numFmt w:val="bullet"/>
      <w:lvlText w:val="•"/>
      <w:lvlJc w:val="left"/>
      <w:pPr>
        <w:ind w:left="8500" w:hanging="360"/>
      </w:pPr>
      <w:rPr>
        <w:rFonts w:hint="default"/>
      </w:rPr>
    </w:lvl>
  </w:abstractNum>
  <w:abstractNum w:abstractNumId="0">
    <w:multiLevelType w:val="hybridMultilevel"/>
    <w:lvl w:ilvl="0">
      <w:start w:val="0"/>
      <w:numFmt w:val="bullet"/>
      <w:lvlText w:val=""/>
      <w:lvlJc w:val="left"/>
      <w:pPr>
        <w:ind w:left="468" w:hanging="360"/>
      </w:pPr>
      <w:rPr>
        <w:rFonts w:hint="default" w:ascii="Symbol" w:hAnsi="Symbol" w:eastAsia="Symbol" w:cs="Symbol"/>
        <w:w w:val="99"/>
        <w:sz w:val="22"/>
        <w:szCs w:val="22"/>
      </w:rPr>
    </w:lvl>
    <w:lvl w:ilvl="1">
      <w:start w:val="0"/>
      <w:numFmt w:val="bullet"/>
      <w:lvlText w:val=""/>
      <w:lvlJc w:val="left"/>
      <w:pPr>
        <w:ind w:left="1548" w:hanging="360"/>
      </w:pPr>
      <w:rPr>
        <w:rFonts w:hint="default" w:ascii="Symbol" w:hAnsi="Symbol" w:eastAsia="Symbol" w:cs="Symbol"/>
        <w:w w:val="99"/>
        <w:sz w:val="22"/>
        <w:szCs w:val="22"/>
      </w:rPr>
    </w:lvl>
    <w:lvl w:ilvl="2">
      <w:start w:val="0"/>
      <w:numFmt w:val="bullet"/>
      <w:lvlText w:val="•"/>
      <w:lvlJc w:val="left"/>
      <w:pPr>
        <w:ind w:left="2526" w:hanging="360"/>
      </w:pPr>
      <w:rPr>
        <w:rFonts w:hint="default"/>
      </w:rPr>
    </w:lvl>
    <w:lvl w:ilvl="3">
      <w:start w:val="0"/>
      <w:numFmt w:val="bullet"/>
      <w:lvlText w:val="•"/>
      <w:lvlJc w:val="left"/>
      <w:pPr>
        <w:ind w:left="3513" w:hanging="360"/>
      </w:pPr>
      <w:rPr>
        <w:rFonts w:hint="default"/>
      </w:rPr>
    </w:lvl>
    <w:lvl w:ilvl="4">
      <w:start w:val="0"/>
      <w:numFmt w:val="bullet"/>
      <w:lvlText w:val="•"/>
      <w:lvlJc w:val="left"/>
      <w:pPr>
        <w:ind w:left="4500" w:hanging="360"/>
      </w:pPr>
      <w:rPr>
        <w:rFonts w:hint="default"/>
      </w:rPr>
    </w:lvl>
    <w:lvl w:ilvl="5">
      <w:start w:val="0"/>
      <w:numFmt w:val="bullet"/>
      <w:lvlText w:val="•"/>
      <w:lvlJc w:val="left"/>
      <w:pPr>
        <w:ind w:left="5486" w:hanging="360"/>
      </w:pPr>
      <w:rPr>
        <w:rFonts w:hint="default"/>
      </w:rPr>
    </w:lvl>
    <w:lvl w:ilvl="6">
      <w:start w:val="0"/>
      <w:numFmt w:val="bullet"/>
      <w:lvlText w:val="•"/>
      <w:lvlJc w:val="left"/>
      <w:pPr>
        <w:ind w:left="6473" w:hanging="360"/>
      </w:pPr>
      <w:rPr>
        <w:rFonts w:hint="default"/>
      </w:rPr>
    </w:lvl>
    <w:lvl w:ilvl="7">
      <w:start w:val="0"/>
      <w:numFmt w:val="bullet"/>
      <w:lvlText w:val="•"/>
      <w:lvlJc w:val="left"/>
      <w:pPr>
        <w:ind w:left="7460" w:hanging="360"/>
      </w:pPr>
      <w:rPr>
        <w:rFonts w:hint="default"/>
      </w:rPr>
    </w:lvl>
    <w:lvl w:ilvl="8">
      <w:start w:val="0"/>
      <w:numFmt w:val="bullet"/>
      <w:lvlText w:val="•"/>
      <w:lvlJc w:val="left"/>
      <w:pPr>
        <w:ind w:left="8446"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548" w:hanging="360"/>
    </w:pPr>
    <w:rPr>
      <w:rFonts w:ascii="Times New Roman" w:hAnsi="Times New Roman" w:eastAsia="Times New Roman" w:cs="Times New Roman"/>
      <w:sz w:val="22"/>
      <w:szCs w:val="22"/>
    </w:rPr>
  </w:style>
  <w:style w:styleId="ListParagraph" w:type="paragraph">
    <w:name w:val="List Paragraph"/>
    <w:basedOn w:val="Normal"/>
    <w:uiPriority w:val="1"/>
    <w:qFormat/>
    <w:pPr>
      <w:ind w:left="1548" w:hanging="360"/>
    </w:pPr>
    <w:rPr>
      <w:rFonts w:ascii="Times New Roman" w:hAnsi="Times New Roman" w:eastAsia="Times New Roman" w:cs="Times New Roman"/>
    </w:rPr>
  </w:style>
  <w:style w:styleId="TableParagraph" w:type="paragraph">
    <w:name w:val="Table Paragraph"/>
    <w:basedOn w:val="Normal"/>
    <w:uiPriority w:val="1"/>
    <w:qFormat/>
    <w:pPr>
      <w:spacing w:line="229"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jangraha</dc:creator>
  <dc:title>Microsoft Word - Rating Narrative - Miscellaneous.doc</dc:title>
  <dcterms:created xsi:type="dcterms:W3CDTF">2017-09-20T08:36:40Z</dcterms:created>
  <dcterms:modified xsi:type="dcterms:W3CDTF">2017-09-20T08:36:40Z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2011-03-22T00:00:00Z</vt:filetime>
  </property>
  <property fmtid="{D5CDD505-2E9C-101B-9397-08002B2CF9AE}" pid="3" name="Creator">
    <vt:lpwstr>PScript5.dll Version 5.2.2</vt:lpwstr>
  </property>
  <property fmtid="{D5CDD505-2E9C-101B-9397-08002B2CF9AE}" pid="4" name="LastSaved">
    <vt:filetime>2017-09-20T00:00:00Z</vt:filetime>
  </property>
</Properties>
</file>