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2026" w:right="0" w:firstLine="5402"/>
        <w:jc w:val="left"/>
        <w:rPr>
          <w:rFonts w:ascii="Arial" w:hAnsi="Arial" w:cs="Arial" w:eastAsia="Arial"/>
          <w:sz w:val="20"/>
          <w:szCs w:val="20"/>
        </w:rPr>
      </w:pPr>
      <w:bookmarkStart w:name="AGNY-130533651" w:id="1"/>
      <w:bookmarkEnd w:id="1"/>
      <w:r>
        <w:rPr/>
      </w:r>
      <w:bookmarkStart w:name="Attachment: &quot;AUTO EXCEPTION PAGE  AIG-S" w:id="2"/>
      <w:bookmarkEnd w:id="2"/>
      <w:r>
        <w:rPr/>
      </w:r>
      <w:r>
        <w:rPr>
          <w:rFonts w:ascii="Arial"/>
          <w:b/>
          <w:sz w:val="20"/>
        </w:rPr>
        <w:t>MASSACHUSETTS</w: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793" w:right="1793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AUTOMOBILE</w:t>
      </w:r>
      <w:r>
        <w:rPr>
          <w:rFonts w:ascii="Arial" w:hAnsi="Arial" w:cs="Arial" w:eastAsia="Arial"/>
          <w:b/>
          <w:bCs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SEPTIC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BUS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28" w:lineRule="exact" w:before="0"/>
        <w:ind w:left="0" w:right="1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AUTO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EXCEPTION</w:t>
      </w:r>
      <w:r>
        <w:rPr>
          <w:rFonts w:ascii="Arial"/>
          <w:b/>
          <w:spacing w:val="-12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77" w:lineRule="auto"/>
        <w:ind w:right="215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 Commercial</w:t>
      </w:r>
      <w:r>
        <w:rPr/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 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 this</w:t>
      </w:r>
      <w:r>
        <w:rPr/>
        <w:t> </w:t>
      </w:r>
      <w:r>
        <w:rPr>
          <w:spacing w:val="-1"/>
        </w:rPr>
        <w:t>page</w:t>
      </w:r>
      <w:r>
        <w:rPr>
          <w:spacing w:val="45"/>
        </w:rPr>
        <w:t> </w:t>
      </w:r>
      <w:r>
        <w:rPr>
          <w:spacing w:val="-1"/>
        </w:rPr>
        <w:t>supersede</w:t>
      </w:r>
      <w:r>
        <w:rPr>
          <w:spacing w:val="1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2"/>
        </w:rPr>
        <w:t>Commercial</w:t>
      </w:r>
      <w:r>
        <w:rPr/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rules.</w:t>
      </w:r>
      <w:r>
        <w:rPr>
          <w:spacing w:val="47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Lines</w:t>
      </w:r>
      <w:r>
        <w:rPr>
          <w:spacing w:val="1"/>
        </w:rPr>
        <w:t> </w:t>
      </w:r>
      <w:r>
        <w:rPr>
          <w:spacing w:val="-1"/>
        </w:rPr>
        <w:t>pages</w:t>
      </w:r>
      <w:r>
        <w:rPr>
          <w:spacing w:val="-2"/>
        </w:rPr>
        <w:t> </w:t>
      </w:r>
      <w:r>
        <w:rPr>
          <w:spacing w:val="-1"/>
        </w:rPr>
        <w:t>should </w:t>
      </w:r>
      <w:r>
        <w:rPr>
          <w:spacing w:val="-2"/>
        </w:rPr>
        <w:t>be</w:t>
      </w:r>
      <w:r>
        <w:rPr>
          <w:spacing w:val="83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superseded by the</w:t>
      </w:r>
      <w:r>
        <w:rPr>
          <w:spacing w:val="1"/>
        </w:rPr>
        <w:t> </w:t>
      </w:r>
      <w:r>
        <w:rPr>
          <w:spacing w:val="-1"/>
        </w:rPr>
        <w:t>contents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these</w:t>
      </w:r>
      <w:r>
        <w:rPr>
          <w:spacing w:val="-2"/>
        </w:rPr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pages.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2"/>
        </w:rPr>
        <w:t>SCHEDULE</w:t>
      </w:r>
      <w:r>
        <w:rPr/>
        <w:t> </w:t>
      </w:r>
      <w:r>
        <w:rPr>
          <w:spacing w:val="-1"/>
        </w:rPr>
        <w:t>RATING 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pacing w:val="-1"/>
          <w:sz w:val="22"/>
        </w:rPr>
        <w:t> 2.E.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u w:val="single" w:color="000000"/>
        </w:rPr>
        <w:t>E.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Eligibility for</w:t>
      </w:r>
      <w:r>
        <w:rPr>
          <w:spacing w:val="2"/>
          <w:u w:val="single" w:color="000000"/>
        </w:rPr>
        <w:t> </w:t>
      </w:r>
      <w:r>
        <w:rPr>
          <w:spacing w:val="-2"/>
          <w:u w:val="single" w:color="000000"/>
        </w:rPr>
        <w:t>Liability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Schedule Rating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/>
        <w:ind w:left="436" w:right="1793"/>
        <w:jc w:val="center"/>
      </w:pPr>
      <w:r>
        <w:rPr/>
        <w:t>To</w:t>
      </w:r>
      <w:r>
        <w:rPr>
          <w:spacing w:val="1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liability</w:t>
      </w:r>
      <w:r>
        <w:rPr>
          <w:spacing w:val="1"/>
        </w:rPr>
        <w:t> </w:t>
      </w:r>
      <w:r>
        <w:rPr>
          <w:spacing w:val="-2"/>
        </w:rPr>
        <w:t>schedule</w:t>
      </w:r>
      <w:r>
        <w:rPr>
          <w:spacing w:val="1"/>
        </w:rPr>
        <w:t> </w:t>
      </w:r>
      <w:r>
        <w:rPr>
          <w:spacing w:val="-1"/>
        </w:rPr>
        <w:t>rating </w:t>
      </w:r>
      <w:r>
        <w:rPr/>
        <w:t>a </w:t>
      </w:r>
      <w:r>
        <w:rPr>
          <w:spacing w:val="-1"/>
        </w:rPr>
        <w:t>policy must</w:t>
      </w:r>
      <w:r>
        <w:rPr>
          <w:spacing w:val="-2"/>
        </w:rPr>
        <w:t> </w:t>
      </w:r>
      <w:r>
        <w:rPr>
          <w:spacing w:val="-1"/>
        </w:rPr>
        <w:t>have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more</w:t>
      </w:r>
      <w:r>
        <w:rPr>
          <w:spacing w:val="-2"/>
        </w:rPr>
        <w:t> </w:t>
      </w:r>
      <w:r>
        <w:rPr>
          <w:spacing w:val="-1"/>
        </w:rPr>
        <w:t>scheduled</w:t>
      </w:r>
      <w:r>
        <w:rPr>
          <w:spacing w:val="-3"/>
        </w:rPr>
        <w:t> </w:t>
      </w:r>
      <w:r>
        <w:rPr>
          <w:spacing w:val="-1"/>
        </w:rPr>
        <w:t>autos.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>
          <w:spacing w:val="48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SCHEDULE</w:t>
      </w:r>
      <w:r>
        <w:rPr>
          <w:spacing w:val="-4"/>
        </w:rPr>
        <w:t> </w:t>
      </w:r>
      <w:r>
        <w:rPr>
          <w:spacing w:val="-1"/>
        </w:rPr>
        <w:t>RATING 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pacing w:val="-1"/>
          <w:sz w:val="22"/>
        </w:rPr>
        <w:t> 2.D.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single" w:color="000000"/>
        </w:rPr>
        <w:t>D.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Eligibility for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Physical Damage Schedule Rating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/>
        <w:ind w:left="411" w:right="0"/>
        <w:jc w:val="left"/>
      </w:pPr>
      <w:r>
        <w:rPr/>
        <w:t>To</w:t>
      </w:r>
      <w:r>
        <w:rPr>
          <w:spacing w:val="1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1"/>
        </w:rPr>
        <w:t> </w:t>
      </w:r>
      <w:r>
        <w:rPr>
          <w:spacing w:val="-1"/>
        </w:rPr>
        <w:t>rating </w:t>
      </w:r>
      <w:r>
        <w:rPr/>
        <w:t>a </w:t>
      </w:r>
      <w:r>
        <w:rPr>
          <w:spacing w:val="-2"/>
        </w:rPr>
        <w:t>policy</w:t>
      </w:r>
      <w:r>
        <w:rPr>
          <w:spacing w:val="-1"/>
        </w:rPr>
        <w:t> </w:t>
      </w:r>
      <w:r>
        <w:rPr/>
        <w:t>must</w:t>
      </w:r>
      <w:r>
        <w:rPr>
          <w:spacing w:val="1"/>
        </w:rPr>
        <w:t> </w:t>
      </w:r>
      <w:r>
        <w:rPr>
          <w:spacing w:val="-1"/>
        </w:rPr>
        <w:t>have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more</w:t>
      </w:r>
      <w:r>
        <w:rPr>
          <w:spacing w:val="1"/>
        </w:rPr>
        <w:t> </w:t>
      </w:r>
      <w:r>
        <w:rPr>
          <w:spacing w:val="-2"/>
        </w:rPr>
        <w:t>scheduled</w:t>
      </w:r>
      <w:r>
        <w:rPr>
          <w:spacing w:val="-1"/>
        </w:rPr>
        <w:t> autos.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tabs>
          <w:tab w:pos="8779" w:val="left" w:leader="none"/>
        </w:tabs>
        <w:spacing w:line="240" w:lineRule="auto"/>
        <w:ind w:right="0"/>
        <w:jc w:val="left"/>
      </w:pPr>
      <w:bookmarkStart w:name="Rate/Rule Schedule" w:id="3"/>
      <w:bookmarkEnd w:id="3"/>
      <w:r>
        <w:rPr/>
      </w:r>
      <w:r>
        <w:rPr>
          <w:color w:val="000099"/>
          <w:spacing w:val="-1"/>
        </w:rPr>
        <w:t>AIG/SEPTIC/BUS/AUTO/MU/EXCEP-1-1</w:t>
        <w:tab/>
      </w:r>
      <w:r>
        <w:rPr>
          <w:color w:val="000099"/>
        </w:rPr>
        <w:t>Ed</w:t>
      </w:r>
      <w:r>
        <w:rPr>
          <w:color w:val="000099"/>
          <w:spacing w:val="-1"/>
        </w:rPr>
        <w:t> </w:t>
      </w:r>
      <w:r>
        <w:rPr>
          <w:color w:val="000099"/>
          <w:spacing w:val="-2"/>
        </w:rPr>
        <w:t>4/16</w:t>
      </w:r>
      <w:r>
        <w:rPr/>
      </w:r>
    </w:p>
    <w:sectPr>
      <w:type w:val="continuous"/>
      <w:pgSz w:w="12240" w:h="15840"/>
      <w:pgMar w:top="660" w:bottom="280" w:left="13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6"/>
      <w:ind w:left="139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2016-11-01T10:08:22Z</dcterms:created>
  <dcterms:modified xsi:type="dcterms:W3CDTF">2016-11-01T10:08:22Z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2016-11-01T00:00:00Z</vt:filetime>
  </property>
  <property fmtid="{D5CDD505-2E9C-101B-9397-08002B2CF9AE}" pid="3" name="LastSaved">
    <vt:filetime>2016-11-01T00:00:00Z</vt:filetime>
  </property>
</Properties>
</file>