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0D" w:rsidRDefault="00C6560D" w:rsidP="00C6560D">
      <w:pPr>
        <w:pStyle w:val="Heading1"/>
        <w:spacing w:before="55"/>
        <w:ind w:left="2900" w:right="40"/>
        <w:jc w:val="right"/>
        <w:rPr>
          <w:color w:val="231F20"/>
        </w:rPr>
      </w:pPr>
      <w:r>
        <w:rPr>
          <w:color w:val="231F20"/>
        </w:rPr>
        <w:t>COUNTRYWIDE</w:t>
      </w:r>
    </w:p>
    <w:p w:rsidR="009F42D7" w:rsidRDefault="00C6560D">
      <w:pPr>
        <w:pStyle w:val="Heading1"/>
        <w:spacing w:before="55"/>
        <w:ind w:left="2899" w:right="2920"/>
        <w:jc w:val="center"/>
        <w:rPr>
          <w:b w:val="0"/>
          <w:bCs w:val="0"/>
        </w:rPr>
      </w:pPr>
      <w:r>
        <w:rPr>
          <w:color w:val="231F20"/>
        </w:rPr>
        <w:t>GRANITE</w:t>
      </w:r>
      <w:r w:rsidRPr="009F42D7">
        <w:rPr>
          <w:color w:val="231F20"/>
        </w:rPr>
        <w:t xml:space="preserve"> </w:t>
      </w:r>
      <w:r>
        <w:rPr>
          <w:color w:val="231F20"/>
        </w:rPr>
        <w:t>STATE</w:t>
      </w:r>
      <w:r w:rsidRPr="009F42D7">
        <w:rPr>
          <w:color w:val="231F20"/>
        </w:rPr>
        <w:t xml:space="preserve"> </w:t>
      </w:r>
      <w:r>
        <w:rPr>
          <w:color w:val="231F20"/>
        </w:rPr>
        <w:t>INSURA</w:t>
      </w:r>
      <w:r w:rsidRPr="009F42D7">
        <w:rPr>
          <w:color w:val="231F20"/>
        </w:rPr>
        <w:t>N</w:t>
      </w:r>
      <w:r>
        <w:rPr>
          <w:color w:val="231F20"/>
        </w:rPr>
        <w:t>CE</w:t>
      </w:r>
      <w:r w:rsidRPr="009F42D7">
        <w:rPr>
          <w:color w:val="231F20"/>
        </w:rPr>
        <w:t xml:space="preserve"> </w:t>
      </w:r>
      <w:r>
        <w:rPr>
          <w:color w:val="231F20"/>
        </w:rPr>
        <w:t>CO</w:t>
      </w:r>
      <w:r w:rsidRPr="009F42D7">
        <w:rPr>
          <w:color w:val="231F20"/>
        </w:rPr>
        <w:t>MP</w:t>
      </w:r>
      <w:r>
        <w:rPr>
          <w:color w:val="231F20"/>
        </w:rPr>
        <w:t>A</w:t>
      </w:r>
      <w:r w:rsidRPr="009F42D7">
        <w:rPr>
          <w:color w:val="231F20"/>
        </w:rPr>
        <w:t>N</w:t>
      </w:r>
      <w:r>
        <w:rPr>
          <w:color w:val="231F20"/>
        </w:rPr>
        <w:t>Y</w:t>
      </w:r>
    </w:p>
    <w:p w:rsidR="009F42D7" w:rsidRDefault="009F42D7">
      <w:pPr>
        <w:pStyle w:val="Heading1"/>
        <w:spacing w:before="55"/>
        <w:ind w:left="2899" w:right="2920"/>
        <w:jc w:val="center"/>
        <w:rPr>
          <w:b w:val="0"/>
          <w:bCs w:val="0"/>
        </w:rPr>
      </w:pPr>
      <w:r w:rsidRPr="009F42D7">
        <w:rPr>
          <w:color w:val="231F20"/>
        </w:rPr>
        <w:t>ILLINOIS NATIONAL INSURANCE CO.</w:t>
      </w:r>
    </w:p>
    <w:p w:rsidR="00124B43" w:rsidRDefault="00C6560D">
      <w:pPr>
        <w:pStyle w:val="Heading1"/>
        <w:spacing w:before="55"/>
        <w:ind w:left="2899" w:right="2920"/>
        <w:jc w:val="center"/>
        <w:rPr>
          <w:color w:val="231F20"/>
        </w:rPr>
      </w:pPr>
      <w:r>
        <w:rPr>
          <w:color w:val="231F20"/>
        </w:rPr>
        <w:t>NEW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HAMP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H</w:t>
      </w:r>
      <w:r>
        <w:rPr>
          <w:color w:val="231F20"/>
        </w:rPr>
        <w:t>IRE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COMPANY</w:t>
      </w:r>
    </w:p>
    <w:p w:rsidR="009F42D7" w:rsidRDefault="009F42D7">
      <w:pPr>
        <w:pStyle w:val="Heading1"/>
        <w:spacing w:before="55"/>
        <w:ind w:left="2899" w:right="2920"/>
        <w:jc w:val="center"/>
        <w:rPr>
          <w:b w:val="0"/>
          <w:bCs w:val="0"/>
        </w:rPr>
      </w:pPr>
    </w:p>
    <w:p w:rsidR="00124B43" w:rsidRDefault="00124B43">
      <w:pPr>
        <w:spacing w:line="200" w:lineRule="exact"/>
        <w:rPr>
          <w:sz w:val="20"/>
          <w:szCs w:val="20"/>
        </w:rPr>
      </w:pPr>
    </w:p>
    <w:p w:rsidR="00124B43" w:rsidRDefault="00124B43">
      <w:pPr>
        <w:spacing w:line="200" w:lineRule="exact"/>
        <w:rPr>
          <w:sz w:val="20"/>
          <w:szCs w:val="20"/>
        </w:rPr>
      </w:pPr>
    </w:p>
    <w:p w:rsidR="00124B43" w:rsidRDefault="00FC1F34">
      <w:pPr>
        <w:ind w:right="2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color w:val="231F20"/>
        </w:rPr>
        <w:t xml:space="preserve">COMMERCIAL AUTO </w:t>
      </w:r>
      <w:r w:rsidR="00C6560D">
        <w:rPr>
          <w:rFonts w:ascii="Calibri" w:eastAsia="Calibri" w:hAnsi="Calibri" w:cs="Calibri"/>
          <w:b/>
          <w:bCs/>
          <w:color w:val="231F20"/>
        </w:rPr>
        <w:t>EXPLANATORY</w:t>
      </w:r>
      <w:r w:rsidR="00C6560D">
        <w:rPr>
          <w:rFonts w:ascii="Calibri" w:eastAsia="Calibri" w:hAnsi="Calibri" w:cs="Calibri"/>
          <w:b/>
          <w:bCs/>
          <w:color w:val="231F20"/>
          <w:spacing w:val="-21"/>
        </w:rPr>
        <w:t xml:space="preserve"> </w:t>
      </w:r>
      <w:r w:rsidR="00C6560D">
        <w:rPr>
          <w:rFonts w:ascii="Calibri" w:eastAsia="Calibri" w:hAnsi="Calibri" w:cs="Calibri"/>
          <w:b/>
          <w:bCs/>
          <w:color w:val="231F20"/>
          <w:spacing w:val="1"/>
        </w:rPr>
        <w:t>M</w:t>
      </w:r>
      <w:r w:rsidR="00C6560D">
        <w:rPr>
          <w:rFonts w:ascii="Calibri" w:eastAsia="Calibri" w:hAnsi="Calibri" w:cs="Calibri"/>
          <w:b/>
          <w:bCs/>
          <w:color w:val="231F20"/>
          <w:spacing w:val="-1"/>
        </w:rPr>
        <w:t>E</w:t>
      </w:r>
      <w:r w:rsidR="00C6560D">
        <w:rPr>
          <w:rFonts w:ascii="Calibri" w:eastAsia="Calibri" w:hAnsi="Calibri" w:cs="Calibri"/>
          <w:b/>
          <w:bCs/>
          <w:color w:val="231F20"/>
        </w:rPr>
        <w:t>MO</w:t>
      </w:r>
    </w:p>
    <w:p w:rsidR="00124B43" w:rsidRDefault="00124B43">
      <w:pPr>
        <w:spacing w:before="9" w:line="260" w:lineRule="exact"/>
        <w:rPr>
          <w:sz w:val="26"/>
          <w:szCs w:val="26"/>
        </w:rPr>
      </w:pPr>
    </w:p>
    <w:p w:rsidR="00EB5987" w:rsidRDefault="00C6560D" w:rsidP="00E262BD">
      <w:pPr>
        <w:rPr>
          <w:color w:val="231F20"/>
          <w:spacing w:val="11"/>
        </w:rPr>
      </w:pP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refer</w:t>
      </w:r>
      <w:r>
        <w:rPr>
          <w:color w:val="231F20"/>
          <w:spacing w:val="1"/>
        </w:rPr>
        <w:t>e</w:t>
      </w:r>
      <w:r>
        <w:rPr>
          <w:color w:val="231F20"/>
        </w:rPr>
        <w:t>nced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Companies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“Companies”)</w:t>
      </w:r>
      <w:r>
        <w:rPr>
          <w:color w:val="231F20"/>
          <w:spacing w:val="-6"/>
        </w:rPr>
        <w:t xml:space="preserve"> </w:t>
      </w:r>
      <w:r w:rsidR="00E262BD">
        <w:rPr>
          <w:rFonts w:ascii="Verdana" w:hAnsi="Verdana"/>
          <w:color w:val="000000"/>
          <w:sz w:val="17"/>
          <w:szCs w:val="17"/>
        </w:rPr>
        <w:t>submit for your review and approval our Commercial Auto Enhancement Endorsement – 119780 (3/16) and rule page to offer</w:t>
      </w:r>
      <w:r w:rsidR="00E262BD">
        <w:rPr>
          <w:color w:val="231F20"/>
        </w:rPr>
        <w:t xml:space="preserve"> </w:t>
      </w:r>
      <w:r>
        <w:rPr>
          <w:color w:val="231F20"/>
        </w:rPr>
        <w:t>commercial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auto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covera</w:t>
      </w:r>
      <w:r>
        <w:rPr>
          <w:color w:val="231F20"/>
          <w:spacing w:val="1"/>
        </w:rPr>
        <w:t>g</w:t>
      </w:r>
      <w:r>
        <w:rPr>
          <w:color w:val="231F20"/>
        </w:rPr>
        <w:t>e</w:t>
      </w:r>
      <w:r>
        <w:rPr>
          <w:color w:val="231F20"/>
          <w:w w:val="9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 w:rsidR="002001EF">
        <w:rPr>
          <w:color w:val="231F20"/>
        </w:rPr>
        <w:t>fuel</w:t>
      </w:r>
      <w:r>
        <w:rPr>
          <w:color w:val="231F20"/>
        </w:rPr>
        <w:t>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sept</w:t>
      </w:r>
      <w:r>
        <w:rPr>
          <w:color w:val="231F20"/>
          <w:spacing w:val="1"/>
        </w:rPr>
        <w:t>i</w:t>
      </w:r>
      <w:r>
        <w:rPr>
          <w:color w:val="231F20"/>
        </w:rPr>
        <w:t>c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bus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ope</w:t>
      </w:r>
      <w:r>
        <w:rPr>
          <w:color w:val="231F20"/>
          <w:spacing w:val="1"/>
        </w:rPr>
        <w:t>r</w:t>
      </w:r>
      <w:r>
        <w:rPr>
          <w:color w:val="231F20"/>
        </w:rPr>
        <w:t>ator</w:t>
      </w:r>
      <w:r w:rsidR="002001EF">
        <w:rPr>
          <w:color w:val="231F20"/>
        </w:rPr>
        <w:t>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market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e</w:t>
      </w:r>
      <w:r>
        <w:rPr>
          <w:color w:val="231F20"/>
        </w:rPr>
        <w:t>gme</w:t>
      </w:r>
      <w:r>
        <w:rPr>
          <w:color w:val="231F20"/>
          <w:spacing w:val="1"/>
        </w:rPr>
        <w:t>n</w:t>
      </w:r>
      <w:r>
        <w:rPr>
          <w:color w:val="231F20"/>
        </w:rPr>
        <w:t>ts.</w:t>
      </w:r>
      <w:r>
        <w:rPr>
          <w:color w:val="231F20"/>
          <w:spacing w:val="11"/>
        </w:rPr>
        <w:t xml:space="preserve"> </w:t>
      </w:r>
      <w:r w:rsidR="00BF522B">
        <w:rPr>
          <w:color w:val="231F20"/>
          <w:spacing w:val="11"/>
        </w:rPr>
        <w:t xml:space="preserve"> </w:t>
      </w:r>
    </w:p>
    <w:p w:rsidR="00EB5987" w:rsidRDefault="00EB5987" w:rsidP="00E262BD">
      <w:pPr>
        <w:rPr>
          <w:color w:val="231F20"/>
          <w:spacing w:val="11"/>
        </w:rPr>
      </w:pPr>
    </w:p>
    <w:p w:rsidR="00EB5987" w:rsidRPr="00EB5987" w:rsidRDefault="00EB5987" w:rsidP="00EB5987">
      <w:pPr>
        <w:rPr>
          <w:color w:val="231F20"/>
        </w:rPr>
      </w:pPr>
      <w:r>
        <w:rPr>
          <w:color w:val="231F20"/>
        </w:rPr>
        <w:t>Please</w:t>
      </w:r>
      <w:r w:rsidRPr="00EB5987">
        <w:rPr>
          <w:color w:val="231F20"/>
        </w:rPr>
        <w:t xml:space="preserve"> </w:t>
      </w:r>
      <w:r>
        <w:rPr>
          <w:color w:val="231F20"/>
        </w:rPr>
        <w:t>note</w:t>
      </w:r>
      <w:r w:rsidRPr="00EB5987">
        <w:rPr>
          <w:color w:val="231F20"/>
        </w:rPr>
        <w:t xml:space="preserve"> </w:t>
      </w:r>
      <w:r>
        <w:rPr>
          <w:color w:val="231F20"/>
        </w:rPr>
        <w:t>that</w:t>
      </w:r>
      <w:r w:rsidRPr="00EB5987">
        <w:rPr>
          <w:color w:val="231F20"/>
        </w:rPr>
        <w:t xml:space="preserve"> we are filing a companion commercial package program separately to change the name of the program from </w:t>
      </w:r>
      <w:proofErr w:type="spellStart"/>
      <w:r w:rsidRPr="00EB5987">
        <w:rPr>
          <w:color w:val="231F20"/>
        </w:rPr>
        <w:t>Alteris</w:t>
      </w:r>
      <w:proofErr w:type="spellEnd"/>
      <w:r w:rsidRPr="00EB5987">
        <w:rPr>
          <w:color w:val="231F20"/>
        </w:rPr>
        <w:t xml:space="preserve"> </w:t>
      </w:r>
      <w:r>
        <w:rPr>
          <w:color w:val="231F20"/>
        </w:rPr>
        <w:t>to</w:t>
      </w:r>
      <w:r w:rsidRPr="00EB5987">
        <w:rPr>
          <w:color w:val="231F20"/>
        </w:rPr>
        <w:t xml:space="preserve"> </w:t>
      </w:r>
      <w:r>
        <w:rPr>
          <w:color w:val="231F20"/>
        </w:rPr>
        <w:t>Fuel,</w:t>
      </w:r>
      <w:r w:rsidRPr="00EB5987">
        <w:rPr>
          <w:color w:val="231F20"/>
        </w:rPr>
        <w:t xml:space="preserve"> </w:t>
      </w:r>
      <w:r>
        <w:rPr>
          <w:color w:val="231F20"/>
        </w:rPr>
        <w:t>Septic</w:t>
      </w:r>
      <w:r w:rsidRPr="00EB5987">
        <w:rPr>
          <w:color w:val="231F20"/>
        </w:rPr>
        <w:t xml:space="preserve"> </w:t>
      </w:r>
      <w:r>
        <w:rPr>
          <w:color w:val="231F20"/>
        </w:rPr>
        <w:t>and</w:t>
      </w:r>
      <w:r w:rsidRPr="00EB5987">
        <w:rPr>
          <w:color w:val="231F20"/>
        </w:rPr>
        <w:t xml:space="preserve"> </w:t>
      </w:r>
      <w:r>
        <w:rPr>
          <w:color w:val="231F20"/>
        </w:rPr>
        <w:t>Bus</w:t>
      </w:r>
      <w:r w:rsidRPr="00EB5987">
        <w:rPr>
          <w:color w:val="231F20"/>
        </w:rPr>
        <w:t xml:space="preserve"> </w:t>
      </w:r>
      <w:r>
        <w:rPr>
          <w:color w:val="231F20"/>
        </w:rPr>
        <w:t>Operators</w:t>
      </w:r>
      <w:r w:rsidRPr="00EB5987">
        <w:rPr>
          <w:color w:val="231F20"/>
        </w:rPr>
        <w:t xml:space="preserve"> </w:t>
      </w:r>
      <w:r>
        <w:rPr>
          <w:color w:val="231F20"/>
        </w:rPr>
        <w:t>(the</w:t>
      </w:r>
      <w:r w:rsidRPr="00EB5987">
        <w:rPr>
          <w:color w:val="231F20"/>
        </w:rPr>
        <w:t xml:space="preserve"> </w:t>
      </w:r>
      <w:r>
        <w:rPr>
          <w:color w:val="231F20"/>
        </w:rPr>
        <w:t>“Program</w:t>
      </w:r>
      <w:r w:rsidR="00064F0E">
        <w:rPr>
          <w:color w:val="231F20"/>
        </w:rPr>
        <w:t>”)</w:t>
      </w:r>
      <w:r w:rsidR="00064F0E">
        <w:rPr>
          <w:color w:val="231F20"/>
        </w:rPr>
        <w:t xml:space="preserve"> </w:t>
      </w:r>
      <w:r w:rsidR="00064F0E" w:rsidRPr="00EB5987">
        <w:rPr>
          <w:color w:val="231F20"/>
        </w:rPr>
        <w:t xml:space="preserve">  </w:t>
      </w:r>
      <w:r>
        <w:rPr>
          <w:color w:val="231F20"/>
        </w:rPr>
        <w:t>for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market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segme</w:t>
      </w:r>
      <w:r>
        <w:rPr>
          <w:color w:val="231F20"/>
          <w:spacing w:val="1"/>
        </w:rPr>
        <w:t>n</w:t>
      </w:r>
      <w:r>
        <w:rPr>
          <w:color w:val="231F20"/>
        </w:rPr>
        <w:t>ts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file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y</w:t>
      </w:r>
      <w:r>
        <w:rPr>
          <w:color w:val="231F20"/>
          <w:spacing w:val="2"/>
        </w:rPr>
        <w:t>o</w:t>
      </w:r>
      <w:r>
        <w:rPr>
          <w:color w:val="231F20"/>
        </w:rPr>
        <w:t>ur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Dep</w:t>
      </w:r>
      <w:r>
        <w:rPr>
          <w:color w:val="231F20"/>
          <w:spacing w:val="1"/>
        </w:rPr>
        <w:t>a</w:t>
      </w:r>
      <w:r>
        <w:rPr>
          <w:color w:val="231F20"/>
        </w:rPr>
        <w:t>rtm</w:t>
      </w:r>
      <w:r>
        <w:rPr>
          <w:color w:val="231F20"/>
          <w:spacing w:val="1"/>
        </w:rPr>
        <w:t>e</w:t>
      </w:r>
      <w:r>
        <w:rPr>
          <w:color w:val="231F20"/>
        </w:rPr>
        <w:t>nt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filing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no.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</w:t>
      </w:r>
      <w:r w:rsidRPr="00EB5987">
        <w:rPr>
          <w:color w:val="231F20"/>
        </w:rPr>
        <w:t>I</w:t>
      </w:r>
      <w:r>
        <w:rPr>
          <w:color w:val="231F20"/>
        </w:rPr>
        <w:t>G-14</w:t>
      </w:r>
      <w:r w:rsidRPr="00EB5987">
        <w:rPr>
          <w:color w:val="231F20"/>
        </w:rPr>
        <w:t>-</w:t>
      </w:r>
      <w:r>
        <w:rPr>
          <w:color w:val="231F20"/>
        </w:rPr>
        <w:t>MP-11.</w:t>
      </w:r>
      <w:r w:rsidRPr="00EB5987">
        <w:rPr>
          <w:color w:val="231F20"/>
        </w:rPr>
        <w:t xml:space="preserve">  </w:t>
      </w:r>
    </w:p>
    <w:p w:rsidR="00EB5987" w:rsidRDefault="00EB5987" w:rsidP="00E262BD">
      <w:pPr>
        <w:rPr>
          <w:color w:val="231F20"/>
        </w:rPr>
      </w:pPr>
    </w:p>
    <w:p w:rsidR="00A3550A" w:rsidRPr="00EB5987" w:rsidRDefault="00E262BD" w:rsidP="00EB5987">
      <w:pPr>
        <w:rPr>
          <w:color w:val="231F20"/>
        </w:rPr>
      </w:pPr>
      <w:r w:rsidRPr="00EB5987">
        <w:rPr>
          <w:color w:val="231F20"/>
        </w:rPr>
        <w:t>The Companies certify that this Commercial Auto portion of the program will be issued on a mono-line policy and not as part of a combination or package policy.</w:t>
      </w:r>
      <w:r w:rsidR="00EB5987">
        <w:rPr>
          <w:color w:val="231F20"/>
        </w:rPr>
        <w:t xml:space="preserve"> </w:t>
      </w:r>
      <w:r>
        <w:rPr>
          <w:color w:val="231F20"/>
        </w:rPr>
        <w:t>The</w:t>
      </w:r>
      <w:r w:rsidRPr="00EB5987">
        <w:rPr>
          <w:color w:val="231F20"/>
        </w:rPr>
        <w:t xml:space="preserve"> </w:t>
      </w:r>
      <w:r>
        <w:rPr>
          <w:color w:val="231F20"/>
        </w:rPr>
        <w:t>comme</w:t>
      </w:r>
      <w:r w:rsidRPr="00EB5987">
        <w:rPr>
          <w:color w:val="231F20"/>
        </w:rPr>
        <w:t>r</w:t>
      </w:r>
      <w:r>
        <w:rPr>
          <w:color w:val="231F20"/>
        </w:rPr>
        <w:t>cial</w:t>
      </w:r>
      <w:r w:rsidRPr="00EB5987">
        <w:rPr>
          <w:color w:val="231F20"/>
        </w:rPr>
        <w:t xml:space="preserve"> </w:t>
      </w:r>
      <w:r>
        <w:rPr>
          <w:color w:val="231F20"/>
        </w:rPr>
        <w:t>auto</w:t>
      </w:r>
      <w:r w:rsidRPr="00EB5987">
        <w:rPr>
          <w:color w:val="231F20"/>
        </w:rPr>
        <w:t xml:space="preserve"> </w:t>
      </w:r>
      <w:r>
        <w:rPr>
          <w:color w:val="231F20"/>
        </w:rPr>
        <w:t>cover</w:t>
      </w:r>
      <w:r w:rsidRPr="00EB5987">
        <w:rPr>
          <w:color w:val="231F20"/>
        </w:rPr>
        <w:t>a</w:t>
      </w:r>
      <w:r>
        <w:rPr>
          <w:color w:val="231F20"/>
        </w:rPr>
        <w:t>ge</w:t>
      </w:r>
      <w:r w:rsidRPr="00EB5987">
        <w:rPr>
          <w:color w:val="231F20"/>
        </w:rPr>
        <w:t xml:space="preserve"> </w:t>
      </w:r>
      <w:r>
        <w:rPr>
          <w:color w:val="231F20"/>
        </w:rPr>
        <w:t>will</w:t>
      </w:r>
      <w:r w:rsidRPr="00EB5987">
        <w:rPr>
          <w:color w:val="231F20"/>
        </w:rPr>
        <w:t xml:space="preserve"> </w:t>
      </w:r>
      <w:r>
        <w:rPr>
          <w:color w:val="231F20"/>
        </w:rPr>
        <w:t>be</w:t>
      </w:r>
      <w:r w:rsidRPr="00EB5987">
        <w:rPr>
          <w:color w:val="231F20"/>
        </w:rPr>
        <w:t xml:space="preserve"> </w:t>
      </w:r>
      <w:r>
        <w:rPr>
          <w:color w:val="231F20"/>
        </w:rPr>
        <w:t>offered</w:t>
      </w:r>
      <w:r w:rsidRPr="00EB5987">
        <w:rPr>
          <w:color w:val="231F20"/>
        </w:rPr>
        <w:t xml:space="preserve"> </w:t>
      </w:r>
      <w:r>
        <w:rPr>
          <w:color w:val="231F20"/>
        </w:rPr>
        <w:t>using</w:t>
      </w:r>
      <w:r w:rsidRPr="00EB5987">
        <w:rPr>
          <w:color w:val="231F20"/>
        </w:rPr>
        <w:t xml:space="preserve"> </w:t>
      </w:r>
      <w:r>
        <w:rPr>
          <w:color w:val="231F20"/>
        </w:rPr>
        <w:t>the</w:t>
      </w:r>
      <w:r w:rsidRPr="00EB5987">
        <w:rPr>
          <w:color w:val="231F20"/>
        </w:rPr>
        <w:t xml:space="preserve"> </w:t>
      </w:r>
      <w:r>
        <w:rPr>
          <w:color w:val="231F20"/>
        </w:rPr>
        <w:t>ISO</w:t>
      </w:r>
      <w:r w:rsidRPr="00EB5987">
        <w:rPr>
          <w:color w:val="231F20"/>
        </w:rPr>
        <w:t xml:space="preserve"> </w:t>
      </w:r>
      <w:r>
        <w:rPr>
          <w:color w:val="231F20"/>
        </w:rPr>
        <w:t>Business</w:t>
      </w:r>
      <w:r w:rsidRPr="00EB5987">
        <w:rPr>
          <w:color w:val="231F20"/>
        </w:rPr>
        <w:t xml:space="preserve"> </w:t>
      </w:r>
      <w:r>
        <w:rPr>
          <w:color w:val="231F20"/>
        </w:rPr>
        <w:t>Auto</w:t>
      </w:r>
      <w:r w:rsidRPr="00EB5987">
        <w:rPr>
          <w:color w:val="231F20"/>
        </w:rPr>
        <w:t xml:space="preserve"> </w:t>
      </w:r>
      <w:r>
        <w:rPr>
          <w:color w:val="231F20"/>
        </w:rPr>
        <w:t>Coverage</w:t>
      </w:r>
      <w:r w:rsidRPr="00EB5987">
        <w:rPr>
          <w:color w:val="231F20"/>
        </w:rPr>
        <w:t xml:space="preserve"> </w:t>
      </w:r>
      <w:r>
        <w:rPr>
          <w:color w:val="231F20"/>
        </w:rPr>
        <w:t>F</w:t>
      </w:r>
      <w:r w:rsidRPr="00EB5987">
        <w:rPr>
          <w:color w:val="231F20"/>
        </w:rPr>
        <w:t>or</w:t>
      </w:r>
      <w:r>
        <w:rPr>
          <w:color w:val="231F20"/>
        </w:rPr>
        <w:t xml:space="preserve">m </w:t>
      </w:r>
      <w:r w:rsidRPr="00EB5987">
        <w:rPr>
          <w:color w:val="231F20"/>
        </w:rPr>
        <w:t xml:space="preserve">-CA 00 01 </w:t>
      </w:r>
      <w:bookmarkStart w:id="0" w:name="_GoBack"/>
      <w:bookmarkEnd w:id="0"/>
      <w:r>
        <w:rPr>
          <w:color w:val="231F20"/>
        </w:rPr>
        <w:t>and</w:t>
      </w:r>
      <w:r w:rsidRPr="00EB5987">
        <w:rPr>
          <w:color w:val="231F20"/>
        </w:rPr>
        <w:t xml:space="preserve"> </w:t>
      </w:r>
      <w:r>
        <w:rPr>
          <w:color w:val="231F20"/>
        </w:rPr>
        <w:t>amendatory</w:t>
      </w:r>
      <w:r w:rsidRPr="00EB5987">
        <w:rPr>
          <w:color w:val="231F20"/>
        </w:rPr>
        <w:t xml:space="preserve"> </w:t>
      </w:r>
      <w:r>
        <w:rPr>
          <w:color w:val="231F20"/>
        </w:rPr>
        <w:t>endorsements</w:t>
      </w:r>
      <w:r w:rsidRPr="00EB5987">
        <w:rPr>
          <w:color w:val="231F20"/>
        </w:rPr>
        <w:t xml:space="preserve"> </w:t>
      </w:r>
      <w:r>
        <w:rPr>
          <w:color w:val="231F20"/>
        </w:rPr>
        <w:t>adopted</w:t>
      </w:r>
      <w:r w:rsidRPr="00EB5987">
        <w:rPr>
          <w:color w:val="231F20"/>
        </w:rPr>
        <w:t xml:space="preserve"> </w:t>
      </w:r>
      <w:r>
        <w:rPr>
          <w:color w:val="231F20"/>
        </w:rPr>
        <w:t>under</w:t>
      </w:r>
      <w:r w:rsidRPr="00EB5987">
        <w:rPr>
          <w:color w:val="231F20"/>
        </w:rPr>
        <w:t xml:space="preserve"> </w:t>
      </w:r>
      <w:r>
        <w:rPr>
          <w:color w:val="231F20"/>
        </w:rPr>
        <w:t>ISO</w:t>
      </w:r>
      <w:r w:rsidRPr="00EB5987">
        <w:rPr>
          <w:color w:val="231F20"/>
        </w:rPr>
        <w:t xml:space="preserve"> </w:t>
      </w:r>
      <w:r>
        <w:rPr>
          <w:color w:val="231F20"/>
        </w:rPr>
        <w:t>rules</w:t>
      </w:r>
      <w:r w:rsidR="008A22A6">
        <w:rPr>
          <w:color w:val="231F20"/>
        </w:rPr>
        <w:t xml:space="preserve"> </w:t>
      </w:r>
      <w:r w:rsidR="008A22A6" w:rsidRPr="00EB5987">
        <w:rPr>
          <w:color w:val="231F20"/>
        </w:rPr>
        <w:t>and the form included in this submission</w:t>
      </w:r>
      <w:r>
        <w:rPr>
          <w:color w:val="231F20"/>
        </w:rPr>
        <w:t>.</w:t>
      </w:r>
    </w:p>
    <w:p w:rsidR="00A3550A" w:rsidRPr="00EB5987" w:rsidRDefault="00A3550A" w:rsidP="00EB5987">
      <w:pPr>
        <w:rPr>
          <w:color w:val="231F20"/>
        </w:rPr>
      </w:pPr>
    </w:p>
    <w:p w:rsidR="00BF522B" w:rsidRPr="00EB5987" w:rsidRDefault="00C6560D" w:rsidP="00EB5987">
      <w:pPr>
        <w:rPr>
          <w:color w:val="231F20"/>
        </w:rPr>
      </w:pPr>
      <w:r w:rsidRPr="00EB5987">
        <w:rPr>
          <w:color w:val="231F20"/>
        </w:rPr>
        <w:t xml:space="preserve">The purpose of this </w:t>
      </w:r>
      <w:r w:rsidR="00281B6F" w:rsidRPr="00EB5987">
        <w:rPr>
          <w:color w:val="231F20"/>
        </w:rPr>
        <w:t>endorsement</w:t>
      </w:r>
      <w:r w:rsidRPr="00EB5987">
        <w:rPr>
          <w:color w:val="231F20"/>
        </w:rPr>
        <w:t xml:space="preserve"> is to </w:t>
      </w:r>
      <w:r w:rsidR="00BF522B" w:rsidRPr="00EB5987">
        <w:rPr>
          <w:color w:val="231F20"/>
        </w:rPr>
        <w:t xml:space="preserve">broaden the Additional Temporary Transportation Expense provided in the </w:t>
      </w:r>
      <w:r w:rsidR="00F07CC7" w:rsidRPr="00EB5987">
        <w:rPr>
          <w:color w:val="231F20"/>
        </w:rPr>
        <w:t xml:space="preserve">ISO </w:t>
      </w:r>
      <w:r w:rsidR="00816BBD" w:rsidRPr="00EB5987">
        <w:rPr>
          <w:color w:val="231F20"/>
        </w:rPr>
        <w:t>Business Auto Coverage form</w:t>
      </w:r>
      <w:r w:rsidR="00BF522B" w:rsidRPr="00EB5987">
        <w:rPr>
          <w:color w:val="231F20"/>
        </w:rPr>
        <w:t xml:space="preserve"> to incl</w:t>
      </w:r>
      <w:r w:rsidRPr="00EB5987">
        <w:rPr>
          <w:color w:val="231F20"/>
        </w:rPr>
        <w:t>ude all vehicles not just PPTs and</w:t>
      </w:r>
      <w:r w:rsidR="00F07CC7" w:rsidRPr="00EB5987">
        <w:rPr>
          <w:color w:val="231F20"/>
        </w:rPr>
        <w:t xml:space="preserve"> to</w:t>
      </w:r>
      <w:r w:rsidRPr="00EB5987">
        <w:rPr>
          <w:color w:val="231F20"/>
        </w:rPr>
        <w:t xml:space="preserve"> </w:t>
      </w:r>
      <w:r w:rsidR="00BF522B" w:rsidRPr="00EB5987">
        <w:rPr>
          <w:color w:val="231F20"/>
        </w:rPr>
        <w:t xml:space="preserve">add coverage for towing expense. </w:t>
      </w:r>
    </w:p>
    <w:p w:rsidR="002D5E0F" w:rsidRPr="00EB5987" w:rsidRDefault="002D5E0F" w:rsidP="00EB5987">
      <w:pPr>
        <w:rPr>
          <w:color w:val="231F20"/>
        </w:rPr>
      </w:pPr>
    </w:p>
    <w:p w:rsidR="002D5E0F" w:rsidRPr="00EB5987" w:rsidRDefault="00E262BD" w:rsidP="00EB5987">
      <w:pPr>
        <w:rPr>
          <w:color w:val="231F20"/>
        </w:rPr>
      </w:pPr>
      <w:r w:rsidRPr="00EB5987">
        <w:rPr>
          <w:color w:val="231F20"/>
        </w:rPr>
        <w:t xml:space="preserve">The Companies </w:t>
      </w:r>
      <w:r w:rsidR="002D5E0F" w:rsidRPr="00EB5987">
        <w:rPr>
          <w:color w:val="231F20"/>
        </w:rPr>
        <w:t xml:space="preserve">are also filing to introduce an exception page supplement to the ISO Commercial Lines Manual for the Commercial Automobile </w:t>
      </w:r>
      <w:r w:rsidR="00BE3A37" w:rsidRPr="00EB5987">
        <w:rPr>
          <w:color w:val="231F20"/>
        </w:rPr>
        <w:t xml:space="preserve">Liability and Physical Damage </w:t>
      </w:r>
      <w:r w:rsidR="002D5E0F" w:rsidRPr="00EB5987">
        <w:rPr>
          <w:color w:val="231F20"/>
        </w:rPr>
        <w:t>schedule rating rules for this program.</w:t>
      </w:r>
    </w:p>
    <w:p w:rsidR="00124B43" w:rsidRPr="00EB5987" w:rsidRDefault="00124B43" w:rsidP="00EB5987">
      <w:pPr>
        <w:rPr>
          <w:color w:val="231F20"/>
        </w:rPr>
      </w:pPr>
    </w:p>
    <w:p w:rsidR="00124B43" w:rsidRPr="00EB5987" w:rsidRDefault="008A22A6" w:rsidP="00EB5987">
      <w:pPr>
        <w:rPr>
          <w:color w:val="231F20"/>
        </w:rPr>
      </w:pPr>
      <w:r w:rsidRPr="00EB5987">
        <w:rPr>
          <w:color w:val="231F20"/>
        </w:rPr>
        <w:t>Please refer to the forms listing and manual pages for information about the forms and rules included in this submission.</w:t>
      </w:r>
    </w:p>
    <w:sectPr w:rsidR="00124B43" w:rsidRPr="00EB5987">
      <w:type w:val="continuous"/>
      <w:pgSz w:w="12240" w:h="15840"/>
      <w:pgMar w:top="12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43"/>
    <w:rsid w:val="00064F0E"/>
    <w:rsid w:val="00124B43"/>
    <w:rsid w:val="002001EF"/>
    <w:rsid w:val="00267705"/>
    <w:rsid w:val="00281B6F"/>
    <w:rsid w:val="002D5E0F"/>
    <w:rsid w:val="00552D86"/>
    <w:rsid w:val="00816BBD"/>
    <w:rsid w:val="008A22A6"/>
    <w:rsid w:val="00976B58"/>
    <w:rsid w:val="009F42D7"/>
    <w:rsid w:val="00A3550A"/>
    <w:rsid w:val="00BE3A37"/>
    <w:rsid w:val="00BF522B"/>
    <w:rsid w:val="00C6560D"/>
    <w:rsid w:val="00D27204"/>
    <w:rsid w:val="00E262BD"/>
    <w:rsid w:val="00EB5987"/>
    <w:rsid w:val="00F07CC7"/>
    <w:rsid w:val="00FA7122"/>
    <w:rsid w:val="00FA799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hanging="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hanging="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B59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hanging="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hanging="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B59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1323</Characters>
  <Application>Microsoft Office Word</Application>
  <DocSecurity>0</DocSecurity>
  <Lines>33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viewScheduleItemAttachment.do</vt:lpstr>
    </vt:vector>
  </TitlesOfParts>
  <Company>AIG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viewScheduleItemAttachment.do</dc:title>
  <dc:creator>japarker</dc:creator>
  <cp:lastModifiedBy>Hennessy, Gail</cp:lastModifiedBy>
  <cp:revision>2</cp:revision>
  <dcterms:created xsi:type="dcterms:W3CDTF">2016-04-20T15:05:00Z</dcterms:created>
  <dcterms:modified xsi:type="dcterms:W3CDTF">2016-04-20T15:05:00Z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2015-12-07T00:00:00Z</vt:filetime>
  </property>
  <property fmtid="{D5CDD505-2E9C-101B-9397-08002B2CF9AE}" pid="3" name="LastSaved">
    <vt:filetime>2015-12-08T00:00:00Z</vt:filetime>
  </property>
</Properties>
</file>