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bookmarkStart w:id="0" w:name="_GoBack"/>
      <w:bookmarkEnd w:id="0"/>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pStyle w:val="Header"/>
        <w:rPr>
          <w:rFonts w:ascii="Arial" w:hAnsi="Arial" w:cs="Arial"/>
        </w:rPr>
      </w:pPr>
    </w:p>
    <w:p w:rsidR="00152B15" w:rsidRPr="001A73E7" w:rsidRDefault="00152B15" w:rsidP="00152B15">
      <w:pPr>
        <w:rPr>
          <w:rFonts w:ascii="Arial" w:hAnsi="Arial" w:cs="Arial"/>
          <w:sz w:val="20"/>
          <w:szCs w:val="20"/>
        </w:rPr>
      </w:pPr>
    </w:p>
    <w:p w:rsidR="00152B15" w:rsidRPr="001A73E7" w:rsidRDefault="00152B15" w:rsidP="00152B15">
      <w:pPr>
        <w:pStyle w:val="Subtitle"/>
        <w:rPr>
          <w:rFonts w:cs="Arial"/>
          <w:sz w:val="20"/>
        </w:rPr>
      </w:pPr>
    </w:p>
    <w:p w:rsidR="004A3C05" w:rsidRDefault="004A3C05" w:rsidP="004A3C05">
      <w:pPr>
        <w:rPr>
          <w:rFonts w:ascii="Arial" w:hAnsi="Arial" w:cs="Arial"/>
          <w:sz w:val="20"/>
          <w:szCs w:val="20"/>
        </w:rPr>
      </w:pPr>
    </w:p>
    <w:p w:rsidR="008071C8" w:rsidRDefault="000F5833" w:rsidP="008071C8">
      <w:pPr>
        <w:widowControl w:val="0"/>
        <w:ind w:left="1329" w:hanging="1181"/>
        <w:jc w:val="center"/>
        <w:rPr>
          <w:rFonts w:ascii="Arial" w:eastAsia="Arial" w:hAnsi="Arial" w:cs="Arial"/>
          <w:b/>
          <w:bCs/>
          <w:color w:val="231F20"/>
        </w:rPr>
      </w:pPr>
      <w:r w:rsidRPr="000F5833">
        <w:rPr>
          <w:rFonts w:ascii="Arial" w:eastAsia="Arial" w:hAnsi="Arial" w:cs="Arial"/>
          <w:b/>
          <w:bCs/>
          <w:color w:val="231F20"/>
          <w:spacing w:val="-1"/>
        </w:rPr>
        <w:t>PHYSICAL DAMAGE INSURANCE FOR AUTOS EXCESS</w:t>
      </w:r>
      <w:r w:rsidRPr="000F5833">
        <w:rPr>
          <w:rFonts w:ascii="Arial" w:eastAsia="Arial" w:hAnsi="Arial" w:cs="Arial"/>
          <w:b/>
          <w:bCs/>
          <w:color w:val="231F20"/>
          <w:spacing w:val="25"/>
        </w:rPr>
        <w:t xml:space="preserve"> </w:t>
      </w:r>
      <w:r w:rsidRPr="000F5833">
        <w:rPr>
          <w:rFonts w:ascii="Arial" w:eastAsia="Arial" w:hAnsi="Arial" w:cs="Arial"/>
          <w:b/>
          <w:bCs/>
          <w:color w:val="231F20"/>
          <w:spacing w:val="-1"/>
        </w:rPr>
        <w:t xml:space="preserve">COVERAGE </w:t>
      </w:r>
      <w:r w:rsidRPr="000F5833">
        <w:rPr>
          <w:rFonts w:ascii="Arial" w:eastAsia="Arial" w:hAnsi="Arial" w:cs="Arial"/>
          <w:b/>
          <w:bCs/>
          <w:color w:val="231F20"/>
        </w:rPr>
        <w:t>–</w:t>
      </w:r>
    </w:p>
    <w:p w:rsidR="000F5833" w:rsidRPr="000F5833" w:rsidRDefault="000F5833" w:rsidP="008071C8">
      <w:pPr>
        <w:widowControl w:val="0"/>
        <w:ind w:left="1329" w:hanging="1181"/>
        <w:jc w:val="center"/>
        <w:rPr>
          <w:rFonts w:ascii="Arial" w:eastAsia="Arial" w:hAnsi="Arial" w:cs="Arial"/>
        </w:rPr>
      </w:pPr>
      <w:r w:rsidRPr="000F5833">
        <w:rPr>
          <w:rFonts w:ascii="Arial" w:eastAsia="Arial" w:hAnsi="Arial" w:cs="Arial"/>
          <w:b/>
          <w:bCs/>
          <w:color w:val="231F20"/>
          <w:spacing w:val="-1"/>
        </w:rPr>
        <w:t xml:space="preserve"> EMERGENCY CALLS ONLY</w:t>
      </w:r>
      <w:r w:rsidR="00ED4DF1">
        <w:rPr>
          <w:rFonts w:ascii="Arial" w:eastAsia="Arial" w:hAnsi="Arial" w:cs="Arial"/>
          <w:b/>
          <w:bCs/>
          <w:color w:val="231F20"/>
          <w:spacing w:val="-1"/>
        </w:rPr>
        <w:t xml:space="preserve">  - MAINE</w:t>
      </w:r>
    </w:p>
    <w:p w:rsidR="000F5833" w:rsidRPr="000F5833" w:rsidRDefault="000F5833" w:rsidP="000F5833">
      <w:pPr>
        <w:widowControl w:val="0"/>
        <w:spacing w:before="228"/>
        <w:ind w:left="118" w:right="2865"/>
        <w:rPr>
          <w:rFonts w:ascii="Arial" w:eastAsia="Arial" w:hAnsi="Arial" w:cstheme="minorBidi"/>
          <w:sz w:val="20"/>
          <w:szCs w:val="20"/>
        </w:rPr>
      </w:pPr>
      <w:r w:rsidRPr="000F5833">
        <w:rPr>
          <w:rFonts w:ascii="Arial" w:eastAsia="Arial" w:hAnsi="Arial" w:cstheme="minorBidi"/>
          <w:color w:val="231F20"/>
          <w:spacing w:val="-1"/>
          <w:sz w:val="20"/>
          <w:szCs w:val="20"/>
        </w:rPr>
        <w:t>This endorsement modifies insurance provided under the following:</w:t>
      </w:r>
      <w:r w:rsidRPr="000F5833">
        <w:rPr>
          <w:rFonts w:ascii="Arial" w:eastAsia="Arial" w:hAnsi="Arial" w:cstheme="minorBidi"/>
          <w:color w:val="231F20"/>
          <w:spacing w:val="28"/>
          <w:sz w:val="20"/>
          <w:szCs w:val="20"/>
        </w:rPr>
        <w:t xml:space="preserve"> </w:t>
      </w:r>
      <w:r w:rsidRPr="000F5833">
        <w:rPr>
          <w:rFonts w:ascii="Arial" w:eastAsia="Arial" w:hAnsi="Arial" w:cstheme="minorBidi"/>
          <w:color w:val="231F20"/>
          <w:spacing w:val="-1"/>
          <w:sz w:val="20"/>
          <w:szCs w:val="20"/>
        </w:rPr>
        <w:t>BUSINESS AUTO</w:t>
      </w:r>
      <w:r w:rsidRPr="000F5833">
        <w:rPr>
          <w:rFonts w:ascii="Arial" w:eastAsia="Arial" w:hAnsi="Arial" w:cstheme="minorBidi"/>
          <w:color w:val="231F20"/>
          <w:spacing w:val="-2"/>
          <w:sz w:val="20"/>
          <w:szCs w:val="20"/>
        </w:rPr>
        <w:t xml:space="preserve"> </w:t>
      </w:r>
      <w:r w:rsidRPr="000F5833">
        <w:rPr>
          <w:rFonts w:ascii="Arial" w:eastAsia="Arial" w:hAnsi="Arial" w:cstheme="minorBidi"/>
          <w:color w:val="231F20"/>
          <w:spacing w:val="-1"/>
          <w:sz w:val="20"/>
          <w:szCs w:val="20"/>
        </w:rPr>
        <w:t>COVERAGE FORM</w:t>
      </w:r>
    </w:p>
    <w:p w:rsidR="000F5833" w:rsidRPr="000F5833" w:rsidRDefault="000F5833" w:rsidP="000F5833">
      <w:pPr>
        <w:widowControl w:val="0"/>
        <w:spacing w:before="11"/>
        <w:rPr>
          <w:rFonts w:ascii="Arial" w:eastAsia="Arial" w:hAnsi="Arial" w:cs="Arial"/>
          <w:sz w:val="19"/>
          <w:szCs w:val="19"/>
        </w:rPr>
      </w:pPr>
    </w:p>
    <w:p w:rsidR="000F5833" w:rsidRPr="000D545C" w:rsidRDefault="000F5833" w:rsidP="000F5833">
      <w:pPr>
        <w:widowControl w:val="0"/>
        <w:ind w:left="118"/>
        <w:rPr>
          <w:rFonts w:ascii="Arial" w:eastAsia="Arial" w:hAnsi="Arial" w:cs="Arial"/>
          <w:sz w:val="20"/>
          <w:szCs w:val="20"/>
        </w:rPr>
      </w:pPr>
      <w:r w:rsidRPr="000F5833">
        <w:rPr>
          <w:rFonts w:ascii="Arial" w:eastAsiaTheme="minorHAnsi" w:hAnsiTheme="minorHAnsi" w:cstheme="minorBidi"/>
          <w:color w:val="231F20"/>
          <w:sz w:val="20"/>
          <w:szCs w:val="22"/>
        </w:rPr>
        <w:t>The</w:t>
      </w:r>
      <w:r w:rsidRPr="000F5833">
        <w:rPr>
          <w:rFonts w:ascii="Arial" w:eastAsiaTheme="minorHAnsi" w:hAnsiTheme="minorHAnsi" w:cstheme="minorBidi"/>
          <w:color w:val="231F20"/>
          <w:spacing w:val="-1"/>
          <w:sz w:val="20"/>
          <w:szCs w:val="22"/>
        </w:rPr>
        <w:t xml:space="preserve"> following</w:t>
      </w:r>
      <w:r w:rsidRPr="000F5833">
        <w:rPr>
          <w:rFonts w:ascii="Arial" w:eastAsiaTheme="minorHAnsi" w:hAnsiTheme="minorHAnsi" w:cstheme="minorBidi"/>
          <w:color w:val="231F20"/>
          <w:spacing w:val="-2"/>
          <w:sz w:val="20"/>
          <w:szCs w:val="22"/>
        </w:rPr>
        <w:t xml:space="preserve"> </w:t>
      </w:r>
      <w:r w:rsidRPr="000F5833">
        <w:rPr>
          <w:rFonts w:ascii="Arial" w:eastAsiaTheme="minorHAnsi" w:hAnsiTheme="minorHAnsi" w:cstheme="minorBidi"/>
          <w:color w:val="231F20"/>
          <w:spacing w:val="-1"/>
          <w:sz w:val="20"/>
          <w:szCs w:val="22"/>
        </w:rPr>
        <w:t xml:space="preserve">Coverage Extension </w:t>
      </w:r>
      <w:r w:rsidRPr="000F5833">
        <w:rPr>
          <w:rFonts w:ascii="Arial" w:eastAsiaTheme="minorHAnsi" w:hAnsiTheme="minorHAnsi" w:cstheme="minorBidi"/>
          <w:color w:val="231F20"/>
          <w:sz w:val="20"/>
          <w:szCs w:val="22"/>
        </w:rPr>
        <w:t>is</w:t>
      </w:r>
      <w:r w:rsidRPr="000F5833">
        <w:rPr>
          <w:rFonts w:ascii="Arial" w:eastAsiaTheme="minorHAnsi" w:hAnsiTheme="minorHAnsi" w:cstheme="minorBidi"/>
          <w:color w:val="231F20"/>
          <w:spacing w:val="-1"/>
          <w:sz w:val="20"/>
          <w:szCs w:val="22"/>
        </w:rPr>
        <w:t xml:space="preserve"> added </w:t>
      </w:r>
      <w:r w:rsidRPr="000F5833">
        <w:rPr>
          <w:rFonts w:ascii="Arial" w:eastAsiaTheme="minorHAnsi" w:hAnsiTheme="minorHAnsi" w:cstheme="minorBidi"/>
          <w:color w:val="231F20"/>
          <w:sz w:val="20"/>
          <w:szCs w:val="22"/>
        </w:rPr>
        <w:t>to</w:t>
      </w:r>
      <w:r w:rsidRPr="000F5833">
        <w:rPr>
          <w:rFonts w:ascii="Arial" w:eastAsiaTheme="minorHAnsi" w:hAnsiTheme="minorHAnsi" w:cstheme="minorBidi"/>
          <w:color w:val="231F20"/>
          <w:spacing w:val="1"/>
          <w:sz w:val="20"/>
          <w:szCs w:val="22"/>
        </w:rPr>
        <w:t xml:space="preserve"> </w:t>
      </w:r>
      <w:r w:rsidRPr="000F5833">
        <w:rPr>
          <w:rFonts w:ascii="Arial" w:eastAsiaTheme="minorHAnsi" w:hAnsiTheme="minorHAnsi" w:cstheme="minorBidi"/>
          <w:b/>
          <w:color w:val="231F20"/>
          <w:spacing w:val="-1"/>
          <w:sz w:val="20"/>
          <w:szCs w:val="22"/>
        </w:rPr>
        <w:t xml:space="preserve">Section III </w:t>
      </w:r>
      <w:r w:rsidRPr="000F5833">
        <w:rPr>
          <w:rFonts w:ascii="Arial" w:eastAsiaTheme="minorHAnsi" w:hAnsiTheme="minorHAnsi" w:cstheme="minorBidi"/>
          <w:b/>
          <w:color w:val="231F20"/>
          <w:sz w:val="20"/>
          <w:szCs w:val="22"/>
        </w:rPr>
        <w:t>-</w:t>
      </w:r>
      <w:r w:rsidRPr="000F5833">
        <w:rPr>
          <w:rFonts w:ascii="Arial" w:eastAsiaTheme="minorHAnsi" w:hAnsiTheme="minorHAnsi" w:cstheme="minorBidi"/>
          <w:b/>
          <w:color w:val="231F20"/>
          <w:spacing w:val="-1"/>
          <w:sz w:val="20"/>
          <w:szCs w:val="22"/>
        </w:rPr>
        <w:t xml:space="preserve"> Physical Damage</w:t>
      </w:r>
      <w:r w:rsidRPr="000F5833">
        <w:rPr>
          <w:rFonts w:ascii="Arial" w:eastAsiaTheme="minorHAnsi" w:hAnsiTheme="minorHAnsi" w:cstheme="minorBidi"/>
          <w:b/>
          <w:color w:val="231F20"/>
          <w:spacing w:val="-2"/>
          <w:sz w:val="20"/>
          <w:szCs w:val="22"/>
        </w:rPr>
        <w:t xml:space="preserve"> </w:t>
      </w:r>
      <w:r w:rsidRPr="000F5833">
        <w:rPr>
          <w:rFonts w:ascii="Arial" w:eastAsiaTheme="minorHAnsi" w:hAnsiTheme="minorHAnsi" w:cstheme="minorBidi"/>
          <w:b/>
          <w:color w:val="231F20"/>
          <w:spacing w:val="-1"/>
          <w:sz w:val="20"/>
          <w:szCs w:val="22"/>
        </w:rPr>
        <w:t xml:space="preserve">Coverage, </w:t>
      </w:r>
      <w:r w:rsidRPr="000F5833">
        <w:rPr>
          <w:rFonts w:ascii="Arial" w:eastAsiaTheme="minorHAnsi" w:hAnsiTheme="minorHAnsi" w:cstheme="minorBidi"/>
          <w:color w:val="231F20"/>
          <w:spacing w:val="-1"/>
          <w:sz w:val="20"/>
          <w:szCs w:val="22"/>
        </w:rPr>
        <w:t>Paragraph</w:t>
      </w:r>
      <w:r w:rsidRPr="000F5833">
        <w:rPr>
          <w:rFonts w:ascii="Arial" w:eastAsiaTheme="minorHAnsi" w:hAnsiTheme="minorHAnsi" w:cstheme="minorBidi"/>
          <w:color w:val="231F20"/>
          <w:sz w:val="20"/>
          <w:szCs w:val="22"/>
        </w:rPr>
        <w:t xml:space="preserve"> </w:t>
      </w:r>
      <w:r w:rsidRPr="000F5833">
        <w:rPr>
          <w:rFonts w:ascii="Arial" w:eastAsiaTheme="minorHAnsi" w:hAnsiTheme="minorHAnsi" w:cstheme="minorBidi"/>
          <w:b/>
          <w:color w:val="231F20"/>
          <w:spacing w:val="-1"/>
          <w:sz w:val="20"/>
          <w:szCs w:val="22"/>
        </w:rPr>
        <w:t>A.</w:t>
      </w:r>
      <w:r w:rsidRPr="000F5833">
        <w:rPr>
          <w:rFonts w:ascii="Arial" w:eastAsiaTheme="minorHAnsi" w:hAnsiTheme="minorHAnsi" w:cstheme="minorBidi"/>
          <w:b/>
          <w:color w:val="231F20"/>
          <w:spacing w:val="72"/>
          <w:sz w:val="20"/>
          <w:szCs w:val="22"/>
        </w:rPr>
        <w:t xml:space="preserve"> </w:t>
      </w:r>
      <w:r w:rsidRPr="000D545C">
        <w:rPr>
          <w:rFonts w:ascii="Arial" w:eastAsiaTheme="minorHAnsi" w:hAnsi="Arial" w:cstheme="minorBidi"/>
          <w:b/>
          <w:color w:val="231F20"/>
          <w:sz w:val="20"/>
          <w:szCs w:val="22"/>
        </w:rPr>
        <w:t>Coverage:</w:t>
      </w:r>
    </w:p>
    <w:p w:rsidR="000F5833" w:rsidRPr="000D545C" w:rsidRDefault="000F5833" w:rsidP="000F5833">
      <w:pPr>
        <w:widowControl w:val="0"/>
        <w:spacing w:before="11"/>
        <w:rPr>
          <w:rFonts w:ascii="Arial" w:eastAsia="Arial" w:hAnsi="Arial" w:cs="Arial"/>
          <w:b/>
          <w:bCs/>
          <w:sz w:val="19"/>
          <w:szCs w:val="19"/>
        </w:rPr>
      </w:pPr>
    </w:p>
    <w:p w:rsidR="000F5833" w:rsidRPr="000D545C" w:rsidRDefault="000F5833" w:rsidP="000F5833">
      <w:pPr>
        <w:widowControl w:val="0"/>
        <w:numPr>
          <w:ilvl w:val="0"/>
          <w:numId w:val="1"/>
        </w:numPr>
        <w:tabs>
          <w:tab w:val="left" w:pos="395"/>
        </w:tabs>
        <w:outlineLvl w:val="0"/>
        <w:rPr>
          <w:rFonts w:ascii="Arial" w:eastAsia="Arial" w:hAnsi="Arial" w:cstheme="minorBidi"/>
          <w:sz w:val="20"/>
          <w:szCs w:val="20"/>
        </w:rPr>
      </w:pPr>
      <w:r w:rsidRPr="000D545C">
        <w:rPr>
          <w:rFonts w:ascii="Arial" w:eastAsia="Arial" w:hAnsi="Arial" w:cstheme="minorBidi"/>
          <w:b/>
          <w:bCs/>
          <w:color w:val="231F20"/>
          <w:sz w:val="20"/>
          <w:szCs w:val="20"/>
        </w:rPr>
        <w:t>Coverage Extension - Physical Damage Insurance for Non-Owned Autos Excess Coverage –</w:t>
      </w:r>
    </w:p>
    <w:p w:rsidR="000F5833" w:rsidRPr="000D545C" w:rsidRDefault="000F5833" w:rsidP="000F5833">
      <w:pPr>
        <w:widowControl w:val="0"/>
        <w:ind w:left="388"/>
        <w:jc w:val="both"/>
        <w:rPr>
          <w:rFonts w:ascii="Arial" w:eastAsia="Arial" w:hAnsi="Arial" w:cs="Arial"/>
          <w:sz w:val="20"/>
          <w:szCs w:val="20"/>
        </w:rPr>
      </w:pPr>
      <w:r w:rsidRPr="000D545C">
        <w:rPr>
          <w:rFonts w:ascii="Arial" w:eastAsiaTheme="minorHAnsi" w:hAnsi="Arial" w:cstheme="minorBidi"/>
          <w:b/>
          <w:color w:val="231F20"/>
          <w:sz w:val="20"/>
          <w:szCs w:val="22"/>
        </w:rPr>
        <w:t>Emergency Only</w:t>
      </w:r>
    </w:p>
    <w:p w:rsidR="000F5833" w:rsidRPr="000D545C" w:rsidRDefault="000F5833" w:rsidP="000F5833">
      <w:pPr>
        <w:widowControl w:val="0"/>
        <w:spacing w:before="4"/>
        <w:rPr>
          <w:rFonts w:ascii="Arial" w:eastAsia="Arial" w:hAnsi="Arial" w:cs="Arial"/>
          <w:b/>
          <w:bCs/>
          <w:sz w:val="26"/>
          <w:szCs w:val="26"/>
        </w:rPr>
      </w:pPr>
    </w:p>
    <w:p w:rsidR="000F5833" w:rsidRPr="000D545C" w:rsidRDefault="000F5833" w:rsidP="000F5833">
      <w:pPr>
        <w:widowControl w:val="0"/>
        <w:numPr>
          <w:ilvl w:val="1"/>
          <w:numId w:val="1"/>
        </w:numPr>
        <w:tabs>
          <w:tab w:val="left" w:pos="611"/>
        </w:tabs>
        <w:ind w:hanging="360"/>
        <w:jc w:val="both"/>
        <w:rPr>
          <w:rFonts w:ascii="Arial" w:eastAsia="Arial" w:hAnsi="Arial" w:cstheme="minorBidi"/>
          <w:sz w:val="20"/>
          <w:szCs w:val="20"/>
        </w:rPr>
      </w:pPr>
      <w:r w:rsidRPr="000D545C">
        <w:rPr>
          <w:rFonts w:ascii="Arial" w:eastAsia="Arial" w:hAnsi="Arial" w:cstheme="minorBidi"/>
          <w:color w:val="231F20"/>
          <w:sz w:val="20"/>
          <w:szCs w:val="20"/>
        </w:rPr>
        <w:t xml:space="preserve">We will pay up to a </w:t>
      </w:r>
      <w:r w:rsidR="000D545C" w:rsidRPr="000D545C">
        <w:rPr>
          <w:rFonts w:ascii="Arial" w:eastAsia="Arial" w:hAnsi="Arial" w:cstheme="minorBidi"/>
          <w:color w:val="231F20"/>
          <w:sz w:val="20"/>
          <w:szCs w:val="20"/>
        </w:rPr>
        <w:t xml:space="preserve">$5,000 </w:t>
      </w:r>
      <w:r w:rsidRPr="000D545C">
        <w:rPr>
          <w:rFonts w:ascii="Arial" w:eastAsia="Arial" w:hAnsi="Arial" w:cstheme="minorBidi"/>
          <w:color w:val="231F20"/>
          <w:sz w:val="20"/>
          <w:szCs w:val="20"/>
        </w:rPr>
        <w:t>Limit of Insurance  for any one “accident” for “loss” if caused by:</w:t>
      </w:r>
    </w:p>
    <w:p w:rsidR="000F5833" w:rsidRPr="000D545C" w:rsidRDefault="000F5833" w:rsidP="000F5833">
      <w:pPr>
        <w:widowControl w:val="0"/>
        <w:spacing w:before="7"/>
        <w:rPr>
          <w:rFonts w:ascii="Arial" w:eastAsia="Arial" w:hAnsi="Arial" w:cs="Arial"/>
          <w:sz w:val="17"/>
          <w:szCs w:val="17"/>
        </w:rPr>
      </w:pPr>
    </w:p>
    <w:p w:rsidR="000F5833" w:rsidRPr="000D545C" w:rsidRDefault="000F5833" w:rsidP="000F5833">
      <w:pPr>
        <w:widowControl w:val="0"/>
        <w:numPr>
          <w:ilvl w:val="2"/>
          <w:numId w:val="1"/>
        </w:numPr>
        <w:tabs>
          <w:tab w:val="left" w:pos="1160"/>
        </w:tabs>
        <w:spacing w:line="220" w:lineRule="exact"/>
        <w:ind w:right="117" w:hanging="270"/>
        <w:jc w:val="both"/>
        <w:rPr>
          <w:rFonts w:ascii="Arial" w:eastAsia="Arial" w:hAnsi="Arial" w:cstheme="minorBidi"/>
          <w:sz w:val="20"/>
          <w:szCs w:val="20"/>
        </w:rPr>
      </w:pPr>
      <w:r w:rsidRPr="000D545C">
        <w:rPr>
          <w:rFonts w:ascii="Arial" w:eastAsia="Arial" w:hAnsi="Arial" w:cstheme="minorBidi"/>
          <w:color w:val="231F20"/>
          <w:sz w:val="20"/>
          <w:szCs w:val="20"/>
        </w:rPr>
        <w:t>Other than collision only if the Declarations indicate that Comprehensive Coverage is provided for any covered "auto";</w:t>
      </w:r>
    </w:p>
    <w:p w:rsidR="000F5833" w:rsidRPr="000D545C" w:rsidRDefault="000F5833" w:rsidP="000F5833">
      <w:pPr>
        <w:widowControl w:val="0"/>
        <w:numPr>
          <w:ilvl w:val="2"/>
          <w:numId w:val="1"/>
        </w:numPr>
        <w:tabs>
          <w:tab w:val="left" w:pos="1199"/>
        </w:tabs>
        <w:spacing w:before="81" w:line="220" w:lineRule="exact"/>
        <w:ind w:left="1198" w:right="117" w:hanging="360"/>
        <w:jc w:val="both"/>
        <w:rPr>
          <w:rFonts w:ascii="Arial" w:eastAsia="Arial" w:hAnsi="Arial" w:cstheme="minorBidi"/>
          <w:sz w:val="20"/>
          <w:szCs w:val="20"/>
        </w:rPr>
      </w:pPr>
      <w:r w:rsidRPr="000D545C">
        <w:rPr>
          <w:rFonts w:ascii="Arial" w:eastAsia="Arial" w:hAnsi="Arial" w:cstheme="minorBidi"/>
          <w:color w:val="231F20"/>
          <w:sz w:val="20"/>
          <w:szCs w:val="20"/>
        </w:rPr>
        <w:t>Specified Causes Of Loss only if the Declarations indicate that Specified Causes Of Loss Coverage is provided for any covered "auto"; or</w:t>
      </w:r>
    </w:p>
    <w:p w:rsidR="000F5833" w:rsidRPr="000D545C" w:rsidRDefault="000F5833" w:rsidP="000F5833">
      <w:pPr>
        <w:widowControl w:val="0"/>
        <w:numPr>
          <w:ilvl w:val="2"/>
          <w:numId w:val="1"/>
        </w:numPr>
        <w:tabs>
          <w:tab w:val="left" w:pos="1169"/>
        </w:tabs>
        <w:spacing w:before="80" w:line="220" w:lineRule="exact"/>
        <w:ind w:left="1198" w:right="117" w:hanging="360"/>
        <w:jc w:val="both"/>
        <w:rPr>
          <w:rFonts w:ascii="Arial" w:eastAsia="Arial" w:hAnsi="Arial" w:cstheme="minorBidi"/>
          <w:sz w:val="20"/>
          <w:szCs w:val="20"/>
        </w:rPr>
      </w:pPr>
      <w:r w:rsidRPr="000D545C">
        <w:rPr>
          <w:rFonts w:ascii="Arial" w:eastAsia="Arial" w:hAnsi="Arial" w:cstheme="minorBidi"/>
          <w:color w:val="231F20"/>
          <w:sz w:val="20"/>
          <w:szCs w:val="20"/>
        </w:rPr>
        <w:t>Collision only if the Declarations indicate that Collision Coverage is provided for any covered "auto";</w:t>
      </w:r>
    </w:p>
    <w:p w:rsidR="000F5833" w:rsidRPr="000D545C" w:rsidRDefault="000F5833" w:rsidP="000F5833">
      <w:pPr>
        <w:widowControl w:val="0"/>
        <w:spacing w:before="8"/>
        <w:rPr>
          <w:rFonts w:ascii="Arial" w:eastAsia="Arial" w:hAnsi="Arial" w:cs="Arial"/>
          <w:sz w:val="19"/>
          <w:szCs w:val="19"/>
        </w:rPr>
      </w:pPr>
    </w:p>
    <w:p w:rsidR="000D545C" w:rsidRPr="00ED4DF1" w:rsidRDefault="000F5833" w:rsidP="000F5833">
      <w:pPr>
        <w:widowControl w:val="0"/>
        <w:ind w:left="478" w:right="115"/>
        <w:jc w:val="both"/>
        <w:rPr>
          <w:rFonts w:ascii="Arial" w:eastAsia="Arial" w:hAnsi="Arial" w:cstheme="minorBidi"/>
          <w:color w:val="231F20"/>
          <w:sz w:val="20"/>
          <w:szCs w:val="20"/>
        </w:rPr>
      </w:pPr>
      <w:r w:rsidRPr="000D545C">
        <w:rPr>
          <w:rFonts w:ascii="Arial" w:eastAsia="Arial" w:hAnsi="Arial" w:cstheme="minorBidi"/>
          <w:color w:val="231F20"/>
          <w:sz w:val="20"/>
          <w:szCs w:val="20"/>
        </w:rPr>
        <w:t xml:space="preserve">to an “auto” owned by, leased, or rented to your </w:t>
      </w:r>
      <w:r w:rsidRPr="00ED4DF1">
        <w:rPr>
          <w:rFonts w:ascii="Arial" w:eastAsia="Arial" w:hAnsi="Arial" w:cstheme="minorBidi"/>
          <w:color w:val="231F20"/>
          <w:sz w:val="20"/>
          <w:szCs w:val="20"/>
        </w:rPr>
        <w:t>“employee” or your “volunteer worker”, including</w:t>
      </w:r>
      <w:r w:rsidRPr="000D545C">
        <w:rPr>
          <w:rFonts w:ascii="Arial" w:eastAsia="Arial" w:hAnsi="Arial" w:cstheme="minorBidi"/>
          <w:color w:val="231F20"/>
          <w:sz w:val="20"/>
          <w:szCs w:val="20"/>
        </w:rPr>
        <w:t xml:space="preserve"> any substitute or replacement “auto”, while being used </w:t>
      </w:r>
      <w:r w:rsidRPr="00ED4DF1">
        <w:rPr>
          <w:rFonts w:ascii="Arial" w:eastAsia="Arial" w:hAnsi="Arial" w:cstheme="minorBidi"/>
          <w:color w:val="231F20"/>
          <w:sz w:val="20"/>
          <w:szCs w:val="20"/>
        </w:rPr>
        <w:t xml:space="preserve">by such persons but only while such persons are going directly to or returning directly from an official emergency called by you. </w:t>
      </w:r>
    </w:p>
    <w:p w:rsidR="000D545C" w:rsidRPr="00ED4DF1" w:rsidRDefault="000D545C" w:rsidP="000F5833">
      <w:pPr>
        <w:widowControl w:val="0"/>
        <w:ind w:left="478" w:right="115"/>
        <w:jc w:val="both"/>
        <w:rPr>
          <w:rFonts w:ascii="Arial" w:eastAsia="Arial" w:hAnsi="Arial" w:cstheme="minorBidi"/>
          <w:color w:val="231F20"/>
          <w:sz w:val="20"/>
          <w:szCs w:val="20"/>
        </w:rPr>
      </w:pPr>
    </w:p>
    <w:p w:rsidR="000F5833" w:rsidRPr="00ED4DF1" w:rsidRDefault="000F5833" w:rsidP="000F5833">
      <w:pPr>
        <w:widowControl w:val="0"/>
        <w:ind w:left="478" w:right="115"/>
        <w:jc w:val="both"/>
        <w:rPr>
          <w:rFonts w:ascii="Arial" w:eastAsia="Arial" w:hAnsi="Arial" w:cstheme="minorBidi"/>
          <w:sz w:val="20"/>
          <w:szCs w:val="20"/>
        </w:rPr>
      </w:pPr>
      <w:r w:rsidRPr="00ED4DF1">
        <w:rPr>
          <w:rFonts w:ascii="Arial" w:eastAsia="Arial" w:hAnsi="Arial" w:cstheme="minorBidi"/>
          <w:color w:val="231F20"/>
          <w:sz w:val="20"/>
          <w:szCs w:val="20"/>
        </w:rPr>
        <w:t>“Autos” parked at the area of an emergency will be considered going to or returning from an emergency call.</w:t>
      </w:r>
    </w:p>
    <w:p w:rsidR="000F5833" w:rsidRPr="00ED4DF1" w:rsidRDefault="000F5833" w:rsidP="000F5833">
      <w:pPr>
        <w:widowControl w:val="0"/>
        <w:spacing w:before="11"/>
        <w:rPr>
          <w:rFonts w:ascii="Arial" w:eastAsia="Arial" w:hAnsi="Arial" w:cs="Arial"/>
          <w:sz w:val="19"/>
          <w:szCs w:val="19"/>
        </w:rPr>
      </w:pPr>
    </w:p>
    <w:p w:rsidR="000F5833" w:rsidRPr="00ED4DF1" w:rsidRDefault="000F5833" w:rsidP="000F5833">
      <w:pPr>
        <w:widowControl w:val="0"/>
        <w:numPr>
          <w:ilvl w:val="1"/>
          <w:numId w:val="1"/>
        </w:numPr>
        <w:tabs>
          <w:tab w:val="left" w:pos="712"/>
        </w:tabs>
        <w:ind w:left="711" w:hanging="233"/>
        <w:jc w:val="both"/>
        <w:rPr>
          <w:rFonts w:ascii="Arial" w:eastAsia="Arial" w:hAnsi="Arial" w:cstheme="minorBidi"/>
          <w:sz w:val="20"/>
          <w:szCs w:val="20"/>
        </w:rPr>
      </w:pPr>
      <w:r w:rsidRPr="00ED4DF1">
        <w:rPr>
          <w:rFonts w:ascii="Arial" w:eastAsia="Arial" w:hAnsi="Arial" w:cstheme="minorBidi"/>
          <w:color w:val="231F20"/>
          <w:sz w:val="20"/>
          <w:szCs w:val="20"/>
        </w:rPr>
        <w:t>The following conditions apply to this Coverage Extension:</w:t>
      </w:r>
    </w:p>
    <w:p w:rsidR="000F5833" w:rsidRPr="00ED4DF1" w:rsidRDefault="000F5833" w:rsidP="000F5833">
      <w:pPr>
        <w:widowControl w:val="0"/>
        <w:spacing w:before="1"/>
        <w:rPr>
          <w:rFonts w:ascii="Arial" w:eastAsia="Arial" w:hAnsi="Arial" w:cs="Arial"/>
          <w:sz w:val="20"/>
          <w:szCs w:val="20"/>
        </w:rPr>
      </w:pPr>
    </w:p>
    <w:p w:rsidR="000F5833" w:rsidRPr="00ED4DF1" w:rsidRDefault="000F5833" w:rsidP="000F5833">
      <w:pPr>
        <w:widowControl w:val="0"/>
        <w:numPr>
          <w:ilvl w:val="2"/>
          <w:numId w:val="1"/>
        </w:numPr>
        <w:tabs>
          <w:tab w:val="left" w:pos="1199"/>
        </w:tabs>
        <w:ind w:left="1198" w:right="116" w:hanging="360"/>
        <w:jc w:val="both"/>
        <w:rPr>
          <w:rFonts w:ascii="Arial" w:eastAsia="Arial" w:hAnsi="Arial" w:cstheme="minorBidi"/>
          <w:sz w:val="20"/>
          <w:szCs w:val="20"/>
        </w:rPr>
      </w:pPr>
      <w:r w:rsidRPr="00ED4DF1">
        <w:rPr>
          <w:rFonts w:ascii="Arial" w:eastAsia="Arial" w:hAnsi="Arial" w:cstheme="minorBidi"/>
          <w:color w:val="231F20"/>
          <w:sz w:val="20"/>
          <w:szCs w:val="20"/>
        </w:rPr>
        <w:t>We will pay your “employee” or your “volunteer worker” covered under this Coverage Extension for covered “loss” to an “auto” only as his or her interest may appear.</w:t>
      </w:r>
    </w:p>
    <w:p w:rsidR="000F5833" w:rsidRPr="00ED4DF1" w:rsidRDefault="000F5833" w:rsidP="000F5833">
      <w:pPr>
        <w:widowControl w:val="0"/>
        <w:spacing w:before="1"/>
        <w:rPr>
          <w:rFonts w:ascii="Arial" w:eastAsia="Arial" w:hAnsi="Arial" w:cs="Arial"/>
          <w:sz w:val="20"/>
          <w:szCs w:val="20"/>
        </w:rPr>
      </w:pPr>
    </w:p>
    <w:p w:rsidR="000F5833" w:rsidRPr="00ED4DF1" w:rsidRDefault="000F5833" w:rsidP="000F5833">
      <w:pPr>
        <w:widowControl w:val="0"/>
        <w:numPr>
          <w:ilvl w:val="2"/>
          <w:numId w:val="1"/>
        </w:numPr>
        <w:tabs>
          <w:tab w:val="left" w:pos="1199"/>
        </w:tabs>
        <w:ind w:left="1198" w:right="116" w:hanging="360"/>
        <w:jc w:val="both"/>
        <w:rPr>
          <w:rFonts w:ascii="Arial" w:eastAsia="Arial" w:hAnsi="Arial" w:cstheme="minorBidi"/>
          <w:sz w:val="20"/>
          <w:szCs w:val="20"/>
        </w:rPr>
      </w:pPr>
      <w:r w:rsidRPr="00ED4DF1">
        <w:rPr>
          <w:rFonts w:ascii="Arial" w:eastAsia="Arial" w:hAnsi="Arial" w:cstheme="minorBidi"/>
          <w:color w:val="231F20"/>
          <w:sz w:val="20"/>
          <w:szCs w:val="20"/>
        </w:rPr>
        <w:t xml:space="preserve">No coverage is provided for “loss” resulting from fraudulent acts or omissions on the part of your “employee” or your “volunteer worker”. </w:t>
      </w:r>
      <w:r w:rsidR="000D545C" w:rsidRPr="00ED4DF1">
        <w:rPr>
          <w:rFonts w:ascii="Arial" w:eastAsia="Arial" w:hAnsi="Arial" w:cstheme="minorBidi"/>
          <w:color w:val="231F20"/>
          <w:sz w:val="20"/>
          <w:szCs w:val="20"/>
        </w:rPr>
        <w:t xml:space="preserve"> </w:t>
      </w:r>
      <w:r w:rsidRPr="00ED4DF1">
        <w:rPr>
          <w:rFonts w:ascii="Arial" w:eastAsia="Arial" w:hAnsi="Arial" w:cstheme="minorBidi"/>
          <w:color w:val="231F20"/>
          <w:sz w:val="20"/>
          <w:szCs w:val="20"/>
        </w:rPr>
        <w:t>We will not pay if the “loss” to the “auto” is the result of arson or theft committed by, or at the direction of, your “employee” or your “volunteer worker” covered under this Coverage Extension.</w:t>
      </w:r>
    </w:p>
    <w:p w:rsidR="000F5833" w:rsidRPr="00ED4DF1" w:rsidRDefault="000F5833" w:rsidP="000F5833">
      <w:pPr>
        <w:widowControl w:val="0"/>
        <w:spacing w:before="1"/>
        <w:rPr>
          <w:rFonts w:ascii="Arial" w:eastAsia="Arial" w:hAnsi="Arial" w:cs="Arial"/>
          <w:sz w:val="20"/>
          <w:szCs w:val="20"/>
        </w:rPr>
      </w:pPr>
    </w:p>
    <w:p w:rsidR="000F5833" w:rsidRPr="000D545C" w:rsidRDefault="000F5833" w:rsidP="000F5833">
      <w:pPr>
        <w:widowControl w:val="0"/>
        <w:numPr>
          <w:ilvl w:val="2"/>
          <w:numId w:val="1"/>
        </w:numPr>
        <w:tabs>
          <w:tab w:val="left" w:pos="1199"/>
        </w:tabs>
        <w:ind w:left="1198" w:right="114" w:hanging="360"/>
        <w:jc w:val="both"/>
        <w:rPr>
          <w:rFonts w:ascii="Arial" w:eastAsia="Arial" w:hAnsi="Arial" w:cstheme="minorBidi"/>
          <w:sz w:val="20"/>
          <w:szCs w:val="20"/>
        </w:rPr>
      </w:pPr>
      <w:r w:rsidRPr="00ED4DF1">
        <w:rPr>
          <w:rFonts w:ascii="Arial" w:eastAsia="Arial" w:hAnsi="Arial" w:cstheme="minorBidi"/>
          <w:color w:val="231F20"/>
          <w:sz w:val="20"/>
          <w:szCs w:val="20"/>
        </w:rPr>
        <w:t>If other insurance is available to your “employee” or your “volunteer worker” covered under this Coverage Extension, our obligations are limited to paying the amount of any deductible under that other insurance, subject to the $5,000 Limit of Insurance stated above.</w:t>
      </w:r>
      <w:r w:rsidR="000D545C" w:rsidRPr="00ED4DF1">
        <w:rPr>
          <w:rFonts w:ascii="Arial" w:eastAsia="Arial" w:hAnsi="Arial" w:cstheme="minorBidi"/>
          <w:color w:val="231F20"/>
          <w:sz w:val="20"/>
          <w:szCs w:val="20"/>
        </w:rPr>
        <w:t xml:space="preserve"> </w:t>
      </w:r>
      <w:r w:rsidRPr="00ED4DF1">
        <w:rPr>
          <w:rFonts w:ascii="Arial" w:eastAsia="Arial" w:hAnsi="Arial" w:cstheme="minorBidi"/>
          <w:color w:val="231F20"/>
          <w:sz w:val="20"/>
          <w:szCs w:val="20"/>
        </w:rPr>
        <w:t xml:space="preserve"> If other Insurance is not available for a “loss” we cover under this Coverage Extension, our obligations are limited to paying the “loss” in</w:t>
      </w:r>
      <w:r w:rsidRPr="000D545C">
        <w:rPr>
          <w:rFonts w:ascii="Arial" w:eastAsia="Arial" w:hAnsi="Arial" w:cstheme="minorBidi"/>
          <w:color w:val="231F20"/>
          <w:sz w:val="20"/>
          <w:szCs w:val="20"/>
        </w:rPr>
        <w:t xml:space="preserve"> accordance with </w:t>
      </w:r>
      <w:r w:rsidRPr="000D545C">
        <w:rPr>
          <w:rFonts w:ascii="Arial" w:eastAsia="Arial" w:hAnsi="Arial" w:cs="Arial"/>
          <w:b/>
          <w:bCs/>
          <w:color w:val="231F20"/>
          <w:sz w:val="20"/>
          <w:szCs w:val="20"/>
        </w:rPr>
        <w:t xml:space="preserve">Section IV - </w:t>
      </w:r>
      <w:r w:rsidRPr="000D545C">
        <w:rPr>
          <w:rFonts w:ascii="Arial" w:eastAsia="Arial" w:hAnsi="Arial" w:cs="Arial"/>
          <w:b/>
          <w:bCs/>
          <w:color w:val="231F20"/>
          <w:sz w:val="20"/>
          <w:szCs w:val="20"/>
        </w:rPr>
        <w:lastRenderedPageBreak/>
        <w:t xml:space="preserve">Business Auto Conditions, </w:t>
      </w:r>
      <w:r w:rsidRPr="000D545C">
        <w:rPr>
          <w:rFonts w:ascii="Arial" w:eastAsia="Arial" w:hAnsi="Arial" w:cstheme="minorBidi"/>
          <w:color w:val="231F20"/>
          <w:sz w:val="20"/>
          <w:szCs w:val="20"/>
        </w:rPr>
        <w:t xml:space="preserve">Paragraph </w:t>
      </w:r>
      <w:r w:rsidRPr="000D545C">
        <w:rPr>
          <w:rFonts w:ascii="Arial" w:eastAsia="Arial" w:hAnsi="Arial" w:cs="Arial"/>
          <w:b/>
          <w:bCs/>
          <w:color w:val="231F20"/>
          <w:sz w:val="20"/>
          <w:szCs w:val="20"/>
        </w:rPr>
        <w:t xml:space="preserve">A. Loss Conditions, </w:t>
      </w:r>
      <w:r w:rsidRPr="000D545C">
        <w:rPr>
          <w:rFonts w:ascii="Arial" w:eastAsia="Arial" w:hAnsi="Arial" w:cstheme="minorBidi"/>
          <w:color w:val="231F20"/>
          <w:sz w:val="20"/>
          <w:szCs w:val="20"/>
        </w:rPr>
        <w:t xml:space="preserve">Item </w:t>
      </w:r>
      <w:r w:rsidRPr="000D545C">
        <w:rPr>
          <w:rFonts w:ascii="Arial" w:eastAsia="Arial" w:hAnsi="Arial" w:cs="Arial"/>
          <w:b/>
          <w:bCs/>
          <w:color w:val="231F20"/>
          <w:sz w:val="20"/>
          <w:szCs w:val="20"/>
        </w:rPr>
        <w:t>1. Appraisal for Physical Damage Loss</w:t>
      </w:r>
      <w:r w:rsidRPr="000D545C">
        <w:rPr>
          <w:rFonts w:ascii="Arial" w:eastAsia="Arial" w:hAnsi="Arial" w:cstheme="minorBidi"/>
          <w:color w:val="231F20"/>
          <w:sz w:val="20"/>
          <w:szCs w:val="20"/>
        </w:rPr>
        <w:t>, without any deduction for deductibles, subject to the $5,000 Limit of Insurance stated above.</w:t>
      </w:r>
    </w:p>
    <w:p w:rsidR="000F5833" w:rsidRPr="000D545C" w:rsidRDefault="000F5833" w:rsidP="000F5833">
      <w:pPr>
        <w:widowControl w:val="0"/>
        <w:spacing w:before="11"/>
        <w:rPr>
          <w:rFonts w:ascii="Arial" w:eastAsia="Arial" w:hAnsi="Arial" w:cs="Arial"/>
          <w:sz w:val="19"/>
          <w:szCs w:val="19"/>
        </w:rPr>
      </w:pPr>
    </w:p>
    <w:p w:rsidR="000F5833" w:rsidRPr="000D545C" w:rsidRDefault="000F5833" w:rsidP="000F5833">
      <w:pPr>
        <w:widowControl w:val="0"/>
        <w:numPr>
          <w:ilvl w:val="2"/>
          <w:numId w:val="1"/>
        </w:numPr>
        <w:tabs>
          <w:tab w:val="left" w:pos="1199"/>
        </w:tabs>
        <w:ind w:left="1198" w:right="118" w:hanging="360"/>
        <w:jc w:val="both"/>
        <w:rPr>
          <w:rFonts w:ascii="Arial" w:eastAsia="Arial" w:hAnsi="Arial" w:cstheme="minorBidi"/>
          <w:sz w:val="20"/>
          <w:szCs w:val="20"/>
        </w:rPr>
      </w:pPr>
      <w:r w:rsidRPr="000D545C">
        <w:rPr>
          <w:rFonts w:ascii="Arial" w:eastAsia="Arial" w:hAnsi="Arial" w:cstheme="minorBidi"/>
          <w:color w:val="231F20"/>
          <w:sz w:val="20"/>
          <w:szCs w:val="20"/>
        </w:rPr>
        <w:t>If we make any payment to a person covered under this Coverage Extension, we will have any rights against any other party assigned to us.</w:t>
      </w:r>
    </w:p>
    <w:p w:rsidR="000F5833" w:rsidRPr="000D545C" w:rsidRDefault="000F5833" w:rsidP="000F5833">
      <w:pPr>
        <w:widowControl w:val="0"/>
        <w:numPr>
          <w:ilvl w:val="2"/>
          <w:numId w:val="1"/>
        </w:numPr>
        <w:tabs>
          <w:tab w:val="left" w:pos="1199"/>
        </w:tabs>
        <w:spacing w:before="57"/>
        <w:ind w:left="1198" w:right="116" w:hanging="360"/>
        <w:jc w:val="both"/>
        <w:rPr>
          <w:rFonts w:ascii="Arial" w:eastAsia="Arial" w:hAnsi="Arial" w:cstheme="minorBidi"/>
          <w:sz w:val="20"/>
          <w:szCs w:val="20"/>
        </w:rPr>
      </w:pPr>
      <w:r w:rsidRPr="000D545C">
        <w:rPr>
          <w:rFonts w:ascii="Arial" w:eastAsia="Arial" w:hAnsi="Arial" w:cstheme="minorBidi"/>
          <w:color w:val="231F20"/>
          <w:sz w:val="20"/>
          <w:szCs w:val="20"/>
        </w:rPr>
        <w:t>Except as otherwise provided in this Coverage Extension, all terms, conditions and exclusions contained in this Coverage Form are applicable to the coverage afforded under this Coverage Extension.</w:t>
      </w:r>
    </w:p>
    <w:p w:rsidR="000F5833" w:rsidRPr="000D545C" w:rsidRDefault="000F5833" w:rsidP="000F5833">
      <w:pPr>
        <w:widowControl w:val="0"/>
        <w:spacing w:before="1"/>
        <w:rPr>
          <w:rFonts w:ascii="Arial" w:eastAsia="Arial" w:hAnsi="Arial" w:cs="Arial"/>
          <w:sz w:val="20"/>
          <w:szCs w:val="20"/>
        </w:rPr>
      </w:pPr>
    </w:p>
    <w:p w:rsidR="000F5833" w:rsidRPr="00ED4DF1" w:rsidRDefault="000F5833" w:rsidP="000F5833">
      <w:pPr>
        <w:widowControl w:val="0"/>
        <w:numPr>
          <w:ilvl w:val="1"/>
          <w:numId w:val="1"/>
        </w:numPr>
        <w:tabs>
          <w:tab w:val="left" w:pos="764"/>
        </w:tabs>
        <w:ind w:right="117" w:hanging="270"/>
        <w:jc w:val="both"/>
        <w:rPr>
          <w:rFonts w:ascii="Arial" w:eastAsia="Arial" w:hAnsi="Arial" w:cstheme="minorBidi"/>
          <w:sz w:val="20"/>
          <w:szCs w:val="20"/>
        </w:rPr>
      </w:pPr>
      <w:r w:rsidRPr="00ED4DF1">
        <w:rPr>
          <w:rFonts w:ascii="Arial" w:eastAsia="Arial" w:hAnsi="Arial" w:cstheme="minorBidi"/>
          <w:color w:val="231F20"/>
          <w:sz w:val="20"/>
          <w:szCs w:val="20"/>
        </w:rPr>
        <w:t xml:space="preserve">As used in this Coverage Extension, "volunteer worker" means a person who is not your "employee", and who donates his or her work and acts at the direction of and within the scope of duties determined by you, and is not </w:t>
      </w:r>
      <w:r w:rsidR="00E83B0A" w:rsidRPr="00ED4DF1">
        <w:rPr>
          <w:rFonts w:ascii="Arial" w:eastAsia="Arial" w:hAnsi="Arial" w:cstheme="minorBidi"/>
          <w:color w:val="231F20"/>
          <w:sz w:val="20"/>
          <w:szCs w:val="20"/>
        </w:rPr>
        <w:t>paid</w:t>
      </w:r>
      <w:r w:rsidRPr="00ED4DF1">
        <w:rPr>
          <w:rFonts w:ascii="Arial" w:eastAsia="Arial" w:hAnsi="Arial" w:cstheme="minorBidi"/>
          <w:color w:val="231F20"/>
          <w:sz w:val="20"/>
          <w:szCs w:val="20"/>
        </w:rPr>
        <w:t xml:space="preserve"> a salary by you or anyone else for their work performed for you.</w:t>
      </w:r>
    </w:p>
    <w:p w:rsidR="00073B8E" w:rsidRPr="000D545C" w:rsidRDefault="00073B8E" w:rsidP="004A3C05">
      <w:pPr>
        <w:rPr>
          <w:rFonts w:ascii="Arial" w:hAnsi="Arial" w:cs="Arial"/>
          <w:sz w:val="20"/>
          <w:szCs w:val="20"/>
        </w:rPr>
      </w:pPr>
    </w:p>
    <w:p w:rsidR="00152B15" w:rsidRPr="000D545C" w:rsidRDefault="00152B15" w:rsidP="004A3C05">
      <w:pPr>
        <w:rPr>
          <w:rFonts w:ascii="Arial" w:hAnsi="Arial" w:cs="Arial"/>
          <w:sz w:val="20"/>
          <w:szCs w:val="20"/>
        </w:rPr>
      </w:pPr>
    </w:p>
    <w:p w:rsidR="00152B15" w:rsidRPr="000D545C" w:rsidRDefault="00152B15" w:rsidP="00152B15">
      <w:pPr>
        <w:rPr>
          <w:rFonts w:ascii="Arial" w:hAnsi="Arial" w:cs="Arial"/>
          <w:sz w:val="20"/>
          <w:szCs w:val="20"/>
        </w:rPr>
      </w:pPr>
      <w:r w:rsidRPr="000D545C">
        <w:rPr>
          <w:rFonts w:ascii="Arial" w:hAnsi="Arial" w:cs="Arial"/>
          <w:sz w:val="20"/>
          <w:szCs w:val="20"/>
        </w:rPr>
        <w:t>All other terms and conditions of the policy remain the same.</w:t>
      </w: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pStyle w:val="Title"/>
        <w:tabs>
          <w:tab w:val="left" w:pos="5040"/>
        </w:tabs>
        <w:jc w:val="left"/>
        <w:rPr>
          <w:rFonts w:ascii="Arial" w:hAnsi="Arial" w:cs="Arial"/>
          <w:b w:val="0"/>
          <w:sz w:val="20"/>
        </w:rPr>
      </w:pPr>
      <w:r w:rsidRPr="000D545C">
        <w:rPr>
          <w:rFonts w:ascii="Arial" w:hAnsi="Arial" w:cs="Arial"/>
          <w:b w:val="0"/>
          <w:sz w:val="20"/>
        </w:rPr>
        <w:tab/>
        <w:t>__________________________</w:t>
      </w:r>
    </w:p>
    <w:p w:rsidR="00152B15" w:rsidRPr="000D545C" w:rsidRDefault="00152B15" w:rsidP="00152B15">
      <w:pPr>
        <w:tabs>
          <w:tab w:val="left" w:pos="5040"/>
        </w:tabs>
        <w:rPr>
          <w:rFonts w:ascii="Arial" w:hAnsi="Arial" w:cs="Arial"/>
          <w:sz w:val="20"/>
          <w:szCs w:val="20"/>
        </w:rPr>
      </w:pPr>
      <w:r w:rsidRPr="000D545C">
        <w:rPr>
          <w:rFonts w:ascii="Arial" w:hAnsi="Arial" w:cs="Arial"/>
          <w:sz w:val="20"/>
          <w:szCs w:val="20"/>
        </w:rPr>
        <w:tab/>
        <w:t>Authorized Representative</w:t>
      </w:r>
    </w:p>
    <w:p w:rsidR="00152B15" w:rsidRPr="000D545C" w:rsidRDefault="00152B15" w:rsidP="00152B15">
      <w:pPr>
        <w:rPr>
          <w:rFonts w:ascii="Arial" w:hAnsi="Arial" w:cs="Arial"/>
        </w:rPr>
      </w:pPr>
    </w:p>
    <w:p w:rsidR="003F459C" w:rsidRPr="000D545C" w:rsidRDefault="003F459C" w:rsidP="006436CC">
      <w:pPr>
        <w:rPr>
          <w:rFonts w:ascii="Arial" w:hAnsi="Arial" w:cs="Arial"/>
        </w:rPr>
      </w:pPr>
    </w:p>
    <w:sectPr w:rsidR="003F459C" w:rsidRPr="000D545C" w:rsidSect="00A61E59">
      <w:footerReference w:type="even" r:id="rId9"/>
      <w:footerReference w:type="default" r:id="rId10"/>
      <w:headerReference w:type="first" r:id="rId11"/>
      <w:footerReference w:type="first" r:id="rId12"/>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AA6" w:rsidRDefault="00087AA6" w:rsidP="001905BD">
      <w:r>
        <w:separator/>
      </w:r>
    </w:p>
  </w:endnote>
  <w:endnote w:type="continuationSeparator" w:id="0">
    <w:p w:rsidR="00087AA6" w:rsidRDefault="00087AA6"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r w:rsidRPr="001A73E7">
            <w:rPr>
              <w:rFonts w:ascii="Arial" w:hAnsi="Arial" w:cs="Arial"/>
              <w:sz w:val="18"/>
              <w:szCs w:val="18"/>
            </w:rPr>
            <w:t>XXXXXX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w:t>
          </w:r>
          <w:r w:rsidR="0043270F" w:rsidRPr="001A73E7">
            <w:rPr>
              <w:rFonts w:cs="Arial"/>
              <w:sz w:val="18"/>
              <w:szCs w:val="18"/>
            </w:rPr>
            <w:t>Inc.</w:t>
          </w:r>
          <w:r w:rsidRPr="001A73E7">
            <w:rPr>
              <w:rFonts w:cs="Arial"/>
              <w:sz w:val="18"/>
              <w:szCs w:val="18"/>
            </w:rPr>
            <w:t xml:space="preserve">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2401D5">
            <w:rPr>
              <w:rStyle w:val="PageNumber"/>
              <w:rFonts w:ascii="Arial" w:hAnsi="Arial" w:cs="Arial"/>
              <w:noProof/>
              <w:sz w:val="18"/>
              <w:szCs w:val="18"/>
            </w:rPr>
            <w:t>2</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E10B6C" w:rsidP="0006357F">
          <w:pPr>
            <w:pStyle w:val="Footer"/>
            <w:rPr>
              <w:rFonts w:ascii="Arial" w:hAnsi="Arial" w:cs="Arial"/>
              <w:sz w:val="18"/>
              <w:szCs w:val="18"/>
            </w:rPr>
          </w:pPr>
          <w:r>
            <w:rPr>
              <w:rFonts w:ascii="Arial" w:hAnsi="Arial" w:cs="Arial"/>
              <w:sz w:val="18"/>
              <w:szCs w:val="18"/>
            </w:rPr>
            <w:t>121866</w:t>
          </w:r>
          <w:r w:rsidR="00ED4DF1">
            <w:rPr>
              <w:rFonts w:ascii="Arial" w:hAnsi="Arial" w:cs="Arial"/>
              <w:sz w:val="18"/>
              <w:szCs w:val="18"/>
            </w:rPr>
            <w:t xml:space="preserve">  (5</w:t>
          </w:r>
          <w:r w:rsidR="00D246A2">
            <w:rPr>
              <w:rFonts w:ascii="Arial" w:hAnsi="Arial" w:cs="Arial"/>
              <w:sz w:val="18"/>
              <w:szCs w:val="18"/>
            </w:rPr>
            <w:t>/17</w:t>
          </w:r>
          <w:r w:rsidR="0006357F" w:rsidRPr="00AD5EDA">
            <w:rPr>
              <w:rFonts w:ascii="Arial" w:hAnsi="Arial" w:cs="Arial"/>
              <w:sz w:val="18"/>
              <w:szCs w:val="18"/>
            </w:rPr>
            <w:t>)</w:t>
          </w:r>
        </w:p>
      </w:tc>
      <w:tc>
        <w:tcPr>
          <w:tcW w:w="5760" w:type="dxa"/>
        </w:tcPr>
        <w:p w:rsidR="0006357F" w:rsidRPr="00AD5EDA" w:rsidRDefault="0006357F" w:rsidP="008071C8">
          <w:pPr>
            <w:pStyle w:val="isof1"/>
            <w:jc w:val="center"/>
            <w:rPr>
              <w:rFonts w:cs="Arial"/>
              <w:sz w:val="18"/>
              <w:szCs w:val="18"/>
            </w:rPr>
          </w:pPr>
          <w:r w:rsidRPr="00AD5EDA">
            <w:rPr>
              <w:rFonts w:cs="Arial"/>
              <w:sz w:val="18"/>
              <w:szCs w:val="18"/>
            </w:rPr>
            <w:t>Includes copyrighted material of</w:t>
          </w:r>
          <w:r w:rsidR="00D315D4" w:rsidRPr="00AD5EDA">
            <w:rPr>
              <w:rFonts w:cs="Arial"/>
              <w:sz w:val="18"/>
              <w:szCs w:val="18"/>
            </w:rPr>
            <w:t xml:space="preserve"> Insurance Services Office, Inc.</w:t>
          </w:r>
          <w:r w:rsidR="007D0A44">
            <w:rPr>
              <w:rFonts w:cs="Arial"/>
              <w:sz w:val="18"/>
              <w:szCs w:val="18"/>
            </w:rPr>
            <w:t xml:space="preserve">,  </w:t>
          </w:r>
          <w:r w:rsidR="00D315D4" w:rsidRPr="00AD5EDA">
            <w:rPr>
              <w:rFonts w:cs="Arial"/>
              <w:sz w:val="18"/>
              <w:szCs w:val="18"/>
            </w:rPr>
            <w:t xml:space="preserve"> </w:t>
          </w:r>
          <w:r w:rsidRPr="00AD5EDA">
            <w:rPr>
              <w:rFonts w:cs="Arial"/>
              <w:sz w:val="18"/>
              <w:szCs w:val="18"/>
            </w:rPr>
            <w:t>with</w:t>
          </w:r>
          <w:r w:rsidR="007D0A44">
            <w:rPr>
              <w:rFonts w:cs="Arial"/>
              <w:sz w:val="18"/>
              <w:szCs w:val="18"/>
            </w:rPr>
            <w:t xml:space="preserve"> its</w:t>
          </w:r>
          <w:r w:rsidRPr="00AD5EDA">
            <w:rPr>
              <w:rFonts w:cs="Arial"/>
              <w:sz w:val="18"/>
              <w:szCs w:val="18"/>
            </w:rPr>
            <w:t xml:space="preserve"> permission. </w:t>
          </w: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E10B6C">
            <w:rPr>
              <w:rStyle w:val="PageNumber"/>
              <w:rFonts w:ascii="Arial" w:hAnsi="Arial" w:cs="Arial"/>
              <w:noProof/>
              <w:sz w:val="18"/>
              <w:szCs w:val="18"/>
            </w:rPr>
            <w:t>1</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E10B6C">
            <w:rPr>
              <w:rStyle w:val="PageNumber"/>
              <w:rFonts w:ascii="Arial" w:hAnsi="Arial" w:cs="Arial"/>
              <w:noProof/>
              <w:sz w:val="18"/>
              <w:szCs w:val="18"/>
            </w:rPr>
            <w:t>2</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r w:rsidRPr="001A73E7">
            <w:rPr>
              <w:rFonts w:ascii="Arial" w:hAnsi="Arial" w:cs="Arial"/>
              <w:sz w:val="18"/>
              <w:szCs w:val="18"/>
            </w:rPr>
            <w:t>XXXXXX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w:t>
          </w:r>
          <w:r w:rsidR="0043270F" w:rsidRPr="001A73E7">
            <w:rPr>
              <w:rFonts w:cs="Arial"/>
              <w:sz w:val="18"/>
              <w:szCs w:val="18"/>
            </w:rPr>
            <w:t>Inc.</w:t>
          </w:r>
          <w:r w:rsidRPr="001A73E7">
            <w:rPr>
              <w:rFonts w:cs="Arial"/>
              <w:sz w:val="18"/>
              <w:szCs w:val="18"/>
            </w:rPr>
            <w:t xml:space="preserve">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2401D5">
            <w:rPr>
              <w:rStyle w:val="PageNumber"/>
              <w:rFonts w:ascii="Arial" w:hAnsi="Arial" w:cs="Arial"/>
              <w:noProof/>
              <w:sz w:val="18"/>
              <w:szCs w:val="18"/>
            </w:rPr>
            <w:t>2</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AA6" w:rsidRDefault="00087AA6" w:rsidP="001905BD">
      <w:r>
        <w:separator/>
      </w:r>
    </w:p>
  </w:footnote>
  <w:footnote w:type="continuationSeparator" w:id="0">
    <w:p w:rsidR="00087AA6" w:rsidRDefault="00087AA6"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E33E7"/>
    <w:multiLevelType w:val="hybridMultilevel"/>
    <w:tmpl w:val="B94C0FFC"/>
    <w:lvl w:ilvl="0" w:tplc="B0AE874C">
      <w:start w:val="5"/>
      <w:numFmt w:val="decimal"/>
      <w:lvlText w:val="%1."/>
      <w:lvlJc w:val="left"/>
      <w:pPr>
        <w:ind w:left="394" w:hanging="276"/>
        <w:jc w:val="left"/>
      </w:pPr>
      <w:rPr>
        <w:rFonts w:ascii="Arial" w:eastAsia="Arial" w:hAnsi="Arial" w:hint="default"/>
        <w:b/>
        <w:bCs/>
        <w:color w:val="231F20"/>
        <w:sz w:val="20"/>
        <w:szCs w:val="20"/>
      </w:rPr>
    </w:lvl>
    <w:lvl w:ilvl="1" w:tplc="D5E8A7C8">
      <w:start w:val="1"/>
      <w:numFmt w:val="lowerLetter"/>
      <w:lvlText w:val="%2."/>
      <w:lvlJc w:val="left"/>
      <w:pPr>
        <w:ind w:left="748" w:hanging="222"/>
        <w:jc w:val="right"/>
      </w:pPr>
      <w:rPr>
        <w:rFonts w:ascii="Arial" w:eastAsia="Arial" w:hAnsi="Arial" w:hint="default"/>
        <w:b/>
        <w:bCs/>
        <w:color w:val="231F20"/>
        <w:sz w:val="20"/>
        <w:szCs w:val="20"/>
      </w:rPr>
    </w:lvl>
    <w:lvl w:ilvl="2" w:tplc="1742B608">
      <w:start w:val="1"/>
      <w:numFmt w:val="decimal"/>
      <w:lvlText w:val="(%3)"/>
      <w:lvlJc w:val="left"/>
      <w:pPr>
        <w:ind w:left="1108" w:hanging="321"/>
        <w:jc w:val="left"/>
      </w:pPr>
      <w:rPr>
        <w:rFonts w:ascii="Arial" w:eastAsia="Arial" w:hAnsi="Arial" w:hint="default"/>
        <w:b/>
        <w:bCs/>
        <w:color w:val="231F20"/>
        <w:sz w:val="20"/>
        <w:szCs w:val="20"/>
      </w:rPr>
    </w:lvl>
    <w:lvl w:ilvl="3" w:tplc="DCA8B976">
      <w:start w:val="1"/>
      <w:numFmt w:val="bullet"/>
      <w:lvlText w:val="•"/>
      <w:lvlJc w:val="left"/>
      <w:pPr>
        <w:ind w:left="1198" w:hanging="321"/>
      </w:pPr>
      <w:rPr>
        <w:rFonts w:hint="default"/>
      </w:rPr>
    </w:lvl>
    <w:lvl w:ilvl="4" w:tplc="5DCE1100">
      <w:start w:val="1"/>
      <w:numFmt w:val="bullet"/>
      <w:lvlText w:val="•"/>
      <w:lvlJc w:val="left"/>
      <w:pPr>
        <w:ind w:left="2433" w:hanging="321"/>
      </w:pPr>
      <w:rPr>
        <w:rFonts w:hint="default"/>
      </w:rPr>
    </w:lvl>
    <w:lvl w:ilvl="5" w:tplc="6E5C5F52">
      <w:start w:val="1"/>
      <w:numFmt w:val="bullet"/>
      <w:lvlText w:val="•"/>
      <w:lvlJc w:val="left"/>
      <w:pPr>
        <w:ind w:left="3667" w:hanging="321"/>
      </w:pPr>
      <w:rPr>
        <w:rFonts w:hint="default"/>
      </w:rPr>
    </w:lvl>
    <w:lvl w:ilvl="6" w:tplc="686EB584">
      <w:start w:val="1"/>
      <w:numFmt w:val="bullet"/>
      <w:lvlText w:val="•"/>
      <w:lvlJc w:val="left"/>
      <w:pPr>
        <w:ind w:left="4902" w:hanging="321"/>
      </w:pPr>
      <w:rPr>
        <w:rFonts w:hint="default"/>
      </w:rPr>
    </w:lvl>
    <w:lvl w:ilvl="7" w:tplc="33385ED6">
      <w:start w:val="1"/>
      <w:numFmt w:val="bullet"/>
      <w:lvlText w:val="•"/>
      <w:lvlJc w:val="left"/>
      <w:pPr>
        <w:ind w:left="6136" w:hanging="321"/>
      </w:pPr>
      <w:rPr>
        <w:rFonts w:hint="default"/>
      </w:rPr>
    </w:lvl>
    <w:lvl w:ilvl="8" w:tplc="C6A2C0D0">
      <w:start w:val="1"/>
      <w:numFmt w:val="bullet"/>
      <w:lvlText w:val="•"/>
      <w:lvlJc w:val="left"/>
      <w:pPr>
        <w:ind w:left="7371" w:hanging="32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87AA6"/>
    <w:rsid w:val="000B7E98"/>
    <w:rsid w:val="000C6BC6"/>
    <w:rsid w:val="000D545C"/>
    <w:rsid w:val="000F5833"/>
    <w:rsid w:val="00152B15"/>
    <w:rsid w:val="001905BD"/>
    <w:rsid w:val="001A4E06"/>
    <w:rsid w:val="001A73E7"/>
    <w:rsid w:val="001D5B9D"/>
    <w:rsid w:val="002401D5"/>
    <w:rsid w:val="002D7A33"/>
    <w:rsid w:val="003611E7"/>
    <w:rsid w:val="003F459C"/>
    <w:rsid w:val="003F5630"/>
    <w:rsid w:val="0043270F"/>
    <w:rsid w:val="0049302F"/>
    <w:rsid w:val="004A3C05"/>
    <w:rsid w:val="004C739F"/>
    <w:rsid w:val="0056175F"/>
    <w:rsid w:val="0060212C"/>
    <w:rsid w:val="006436CC"/>
    <w:rsid w:val="006901D5"/>
    <w:rsid w:val="006910E5"/>
    <w:rsid w:val="00725A8F"/>
    <w:rsid w:val="007D0A44"/>
    <w:rsid w:val="007E6471"/>
    <w:rsid w:val="008071C8"/>
    <w:rsid w:val="008C7E3B"/>
    <w:rsid w:val="009B5168"/>
    <w:rsid w:val="00A61E59"/>
    <w:rsid w:val="00AD5EDA"/>
    <w:rsid w:val="00BE3CFC"/>
    <w:rsid w:val="00BF0DEC"/>
    <w:rsid w:val="00CC421B"/>
    <w:rsid w:val="00D246A2"/>
    <w:rsid w:val="00D315D4"/>
    <w:rsid w:val="00E10B6C"/>
    <w:rsid w:val="00E83B0A"/>
    <w:rsid w:val="00ED4DF1"/>
    <w:rsid w:val="00F93757"/>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F5833"/>
    <w:pPr>
      <w:spacing w:after="120"/>
    </w:pPr>
  </w:style>
  <w:style w:type="character" w:customStyle="1" w:styleId="BodyTextChar">
    <w:name w:val="Body Text Char"/>
    <w:basedOn w:val="DefaultParagraphFont"/>
    <w:link w:val="BodyText"/>
    <w:uiPriority w:val="99"/>
    <w:semiHidden/>
    <w:rsid w:val="000F583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F5833"/>
    <w:pPr>
      <w:spacing w:after="120"/>
    </w:pPr>
  </w:style>
  <w:style w:type="character" w:customStyle="1" w:styleId="BodyTextChar">
    <w:name w:val="Body Text Char"/>
    <w:basedOn w:val="DefaultParagraphFont"/>
    <w:link w:val="BodyText"/>
    <w:uiPriority w:val="99"/>
    <w:semiHidden/>
    <w:rsid w:val="000F583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9283D-CA90-4837-936B-B4AC7DF68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2017-05-09T11:52:00Z</dcterms:created>
  <dcterms:modified xsi:type="dcterms:W3CDTF">2017-05-09T14:48:00Z</dcterms:modified>
</cp:coreProperties>
</file>