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39" w:rsidRPr="00D434F2" w:rsidRDefault="00ED3339" w:rsidP="00ED33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4F2">
        <w:rPr>
          <w:rFonts w:ascii="Arial" w:hAnsi="Arial" w:cs="Arial"/>
        </w:rPr>
        <w:t>The referenced companies (the “Companies”) are introducing the Public Entity Program which employs a combination of I</w:t>
      </w:r>
      <w:r w:rsidR="00610076">
        <w:rPr>
          <w:rFonts w:ascii="Arial" w:hAnsi="Arial" w:cs="Arial"/>
        </w:rPr>
        <w:t xml:space="preserve">SO and independent forms </w:t>
      </w:r>
      <w:r w:rsidRPr="00D434F2">
        <w:rPr>
          <w:rFonts w:ascii="Arial" w:hAnsi="Arial" w:cs="Arial"/>
        </w:rPr>
        <w:t>and rules. This filing is designed to offer Automobile coverage to fulfill the insurance needs of a risk of this nature that is not available under the conventional ISO lines of business.</w:t>
      </w:r>
    </w:p>
    <w:p w:rsidR="00ED3339" w:rsidRPr="00D434F2" w:rsidRDefault="00ED3339" w:rsidP="00ED33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339" w:rsidRPr="00D434F2" w:rsidRDefault="00ED3339" w:rsidP="00ED33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4F2">
        <w:rPr>
          <w:rFonts w:ascii="Arial" w:hAnsi="Arial" w:cs="Arial"/>
        </w:rPr>
        <w:t>The Companies a</w:t>
      </w:r>
      <w:r w:rsidRPr="00D434F2">
        <w:rPr>
          <w:rFonts w:ascii="Arial" w:hAnsi="Arial" w:cs="Arial"/>
          <w:color w:val="231F20"/>
        </w:rPr>
        <w:t>re proposing a risk quality factor pricing structure for the commercial automobile</w:t>
      </w:r>
      <w:r w:rsidRPr="00D434F2">
        <w:rPr>
          <w:rFonts w:ascii="Arial" w:hAnsi="Arial" w:cs="Arial"/>
          <w:color w:val="231F20"/>
          <w:w w:val="99"/>
        </w:rPr>
        <w:t xml:space="preserve"> </w:t>
      </w:r>
      <w:r w:rsidRPr="00D434F2">
        <w:rPr>
          <w:rFonts w:ascii="Arial" w:hAnsi="Arial" w:cs="Arial"/>
          <w:color w:val="231F20"/>
        </w:rPr>
        <w:t>coverage to contemplate the unique risk characteristics found in qualifying commercial auto operators.</w:t>
      </w:r>
    </w:p>
    <w:p w:rsidR="00ED3339" w:rsidRPr="00D434F2" w:rsidRDefault="00ED3339" w:rsidP="00ED3339">
      <w:pPr>
        <w:widowControl w:val="0"/>
        <w:spacing w:after="0" w:line="240" w:lineRule="auto"/>
        <w:ind w:right="116"/>
        <w:jc w:val="both"/>
        <w:rPr>
          <w:rFonts w:ascii="Arial" w:eastAsia="Calibri" w:hAnsi="Arial" w:cs="Arial"/>
          <w:color w:val="231F20"/>
        </w:rPr>
      </w:pPr>
    </w:p>
    <w:p w:rsidR="00ED3339" w:rsidRPr="00D434F2" w:rsidRDefault="00ED3339" w:rsidP="00ED3339">
      <w:pPr>
        <w:widowControl w:val="0"/>
        <w:spacing w:after="0" w:line="240" w:lineRule="auto"/>
        <w:ind w:right="116"/>
        <w:jc w:val="both"/>
        <w:rPr>
          <w:rFonts w:ascii="Arial" w:eastAsia="Calibri" w:hAnsi="Arial" w:cs="Arial"/>
          <w:color w:val="231F20"/>
        </w:rPr>
      </w:pPr>
      <w:r w:rsidRPr="00D434F2">
        <w:rPr>
          <w:rFonts w:ascii="Arial" w:eastAsia="Calibri" w:hAnsi="Arial" w:cs="Arial"/>
          <w:color w:val="231F20"/>
        </w:rPr>
        <w:t>The eligible accounts contemplated for commercial auto coverage will be evaluated by the various risk</w:t>
      </w:r>
      <w:r w:rsidRPr="00D434F2">
        <w:rPr>
          <w:rFonts w:ascii="Arial" w:eastAsia="Calibri" w:hAnsi="Arial" w:cs="Arial"/>
          <w:color w:val="231F20"/>
          <w:w w:val="99"/>
        </w:rPr>
        <w:t xml:space="preserve"> </w:t>
      </w:r>
      <w:r w:rsidRPr="00D434F2">
        <w:rPr>
          <w:rFonts w:ascii="Arial" w:eastAsia="Calibri" w:hAnsi="Arial" w:cs="Arial"/>
          <w:color w:val="231F20"/>
        </w:rPr>
        <w:t>characteristics as outlined in the attached program manual. This risk quality factor approach will assign</w:t>
      </w:r>
      <w:r w:rsidRPr="00D434F2">
        <w:rPr>
          <w:rFonts w:ascii="Arial" w:eastAsia="Calibri" w:hAnsi="Arial" w:cs="Arial"/>
          <w:color w:val="231F20"/>
          <w:w w:val="99"/>
        </w:rPr>
        <w:t xml:space="preserve"> </w:t>
      </w:r>
      <w:r w:rsidRPr="00D434F2">
        <w:rPr>
          <w:rFonts w:ascii="Arial" w:eastAsia="Calibri" w:hAnsi="Arial" w:cs="Arial"/>
          <w:color w:val="231F20"/>
        </w:rPr>
        <w:t>one of the three risk quality factors to each account: Superior, Standard or Substandard. These are the</w:t>
      </w:r>
      <w:r w:rsidRPr="00D434F2">
        <w:rPr>
          <w:rFonts w:ascii="Arial" w:eastAsia="Calibri" w:hAnsi="Arial" w:cs="Arial"/>
          <w:color w:val="231F20"/>
          <w:w w:val="99"/>
        </w:rPr>
        <w:t xml:space="preserve"> </w:t>
      </w:r>
      <w:r w:rsidRPr="00D434F2">
        <w:rPr>
          <w:rFonts w:ascii="Arial" w:eastAsia="Calibri" w:hAnsi="Arial" w:cs="Arial"/>
          <w:color w:val="231F20"/>
        </w:rPr>
        <w:t>risk characteristics previously approved in our company filing approved by the Department under AIG-16-CA-09.</w:t>
      </w:r>
    </w:p>
    <w:p w:rsidR="00ED3339" w:rsidRPr="00D434F2" w:rsidRDefault="00ED3339" w:rsidP="00ED3339">
      <w:pPr>
        <w:widowControl w:val="0"/>
        <w:spacing w:after="0" w:line="240" w:lineRule="auto"/>
        <w:ind w:right="116"/>
        <w:jc w:val="both"/>
        <w:rPr>
          <w:rFonts w:ascii="Arial" w:eastAsia="Calibri" w:hAnsi="Arial" w:cs="Arial"/>
        </w:rPr>
      </w:pP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</w:rPr>
      </w:pPr>
      <w:r w:rsidRPr="00D434F2">
        <w:rPr>
          <w:rFonts w:ascii="Arial" w:eastAsia="Times New Roman" w:hAnsi="Arial" w:cs="Arial"/>
        </w:rPr>
        <w:t>Below is a description of the endorsements submitted for approval:</w:t>
      </w: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</w:rPr>
      </w:pP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  <w:b/>
        </w:rPr>
      </w:pP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</w:rPr>
      </w:pPr>
      <w:r w:rsidRPr="00D434F2">
        <w:rPr>
          <w:rFonts w:ascii="Arial" w:eastAsia="Times New Roman" w:hAnsi="Arial" w:cs="Arial"/>
          <w:b/>
        </w:rPr>
        <w:t>EXCLUDE OTHER POLICY</w:t>
      </w:r>
      <w:r w:rsidRPr="00D434F2">
        <w:rPr>
          <w:rFonts w:ascii="Arial" w:eastAsia="Times New Roman" w:hAnsi="Arial" w:cs="Arial"/>
        </w:rPr>
        <w:t xml:space="preserve"> -   The endorsement excludes coverage for autos that are currently covered under the insurance policy listed in the endorsement.</w:t>
      </w: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</w:rPr>
      </w:pP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</w:rPr>
      </w:pPr>
      <w:r w:rsidRPr="00D434F2">
        <w:rPr>
          <w:rFonts w:ascii="Arial" w:eastAsia="Times New Roman" w:hAnsi="Arial" w:cs="Arial"/>
          <w:b/>
        </w:rPr>
        <w:t>EXCLUSION AIRPORTS &amp; RUNWAYS</w:t>
      </w:r>
      <w:r w:rsidRPr="00D434F2">
        <w:rPr>
          <w:rFonts w:ascii="Arial" w:eastAsia="Times New Roman" w:hAnsi="Arial" w:cs="Arial"/>
        </w:rPr>
        <w:t xml:space="preserve"> – The endorsement excludes bodily injury or property damage arising out of the operation or use of a covered auto at any airport, runway or landing strip.</w:t>
      </w:r>
    </w:p>
    <w:p w:rsidR="00ED3339" w:rsidRPr="00D434F2" w:rsidRDefault="00ED3339" w:rsidP="00ED3339">
      <w:pPr>
        <w:spacing w:after="0" w:line="240" w:lineRule="auto"/>
        <w:rPr>
          <w:rFonts w:ascii="Arial" w:eastAsia="Times New Roman" w:hAnsi="Arial" w:cs="Arial"/>
        </w:rPr>
      </w:pPr>
    </w:p>
    <w:p w:rsidR="00ED3339" w:rsidRPr="00D434F2" w:rsidRDefault="00ED3339" w:rsidP="00ED3339">
      <w:pPr>
        <w:spacing w:after="0" w:line="240" w:lineRule="auto"/>
        <w:rPr>
          <w:rFonts w:ascii="Arial" w:eastAsia="Arial" w:hAnsi="Arial"/>
          <w:color w:val="231F20"/>
        </w:rPr>
      </w:pPr>
      <w:r w:rsidRPr="00D434F2">
        <w:rPr>
          <w:rFonts w:ascii="Arial" w:eastAsia="Times New Roman" w:hAnsi="Arial" w:cs="Arial"/>
          <w:b/>
        </w:rPr>
        <w:t>FIRE DISTRICTS OR DEPARTMENTS FREEZING COVERAGE</w:t>
      </w:r>
      <w:r w:rsidRPr="00D434F2">
        <w:rPr>
          <w:rFonts w:ascii="Arial" w:eastAsia="Times New Roman" w:hAnsi="Arial" w:cs="Arial"/>
        </w:rPr>
        <w:t xml:space="preserve"> - The endorsement amends B. Exclusions., 3.a., to include</w:t>
      </w:r>
      <w:r w:rsidRPr="00D434F2">
        <w:rPr>
          <w:rFonts w:ascii="Arial" w:eastAsia="Arial" w:hAnsi="Arial"/>
          <w:color w:val="231F20"/>
        </w:rPr>
        <w:t xml:space="preserve"> loss to permanently attached special</w:t>
      </w:r>
      <w:r w:rsidRPr="00D434F2">
        <w:rPr>
          <w:rFonts w:ascii="Arial" w:eastAsia="Arial" w:hAnsi="Arial"/>
          <w:color w:val="231F20"/>
          <w:w w:val="99"/>
        </w:rPr>
        <w:t xml:space="preserve"> </w:t>
      </w:r>
      <w:r w:rsidRPr="00D434F2">
        <w:rPr>
          <w:rFonts w:ascii="Arial" w:eastAsia="Arial" w:hAnsi="Arial"/>
          <w:color w:val="231F20"/>
        </w:rPr>
        <w:t>equipment common to a fire department emergency vehicle caused by freezing when Comprehensive coverage is retained on the policy.</w:t>
      </w:r>
    </w:p>
    <w:p w:rsidR="00ED3339" w:rsidRPr="00D434F2" w:rsidRDefault="00ED3339" w:rsidP="00ED3339">
      <w:pPr>
        <w:spacing w:after="0" w:line="240" w:lineRule="auto"/>
        <w:rPr>
          <w:rFonts w:ascii="Arial" w:eastAsia="Arial" w:hAnsi="Arial"/>
          <w:color w:val="231F20"/>
        </w:rPr>
      </w:pPr>
    </w:p>
    <w:p w:rsidR="00ED3339" w:rsidRPr="00D434F2" w:rsidRDefault="00ED3339" w:rsidP="00ED3339">
      <w:pPr>
        <w:spacing w:after="0" w:line="240" w:lineRule="auto"/>
        <w:rPr>
          <w:rFonts w:ascii="Arial" w:eastAsia="Arial" w:hAnsi="Arial"/>
        </w:rPr>
      </w:pPr>
      <w:r w:rsidRPr="00D434F2">
        <w:rPr>
          <w:rFonts w:ascii="Arial" w:eastAsia="Arial" w:hAnsi="Arial"/>
          <w:b/>
        </w:rPr>
        <w:t>PHYSICAL DAMAGE INSURANCE FOR NON-OWNED AUTOS EXCESS COVERAGE – EMERGENCY CALLS ONLY</w:t>
      </w:r>
      <w:r w:rsidRPr="00D434F2">
        <w:rPr>
          <w:rFonts w:ascii="Arial" w:eastAsia="Arial" w:hAnsi="Arial"/>
        </w:rPr>
        <w:t xml:space="preserve">  -  </w:t>
      </w:r>
      <w:r w:rsidR="008B692C" w:rsidRPr="00D434F2">
        <w:rPr>
          <w:rFonts w:ascii="Arial" w:eastAsia="Arial" w:hAnsi="Arial"/>
        </w:rPr>
        <w:t xml:space="preserve"> </w:t>
      </w:r>
      <w:r w:rsidR="007F663E" w:rsidRPr="00D434F2">
        <w:rPr>
          <w:rFonts w:ascii="Arial" w:eastAsia="Arial" w:hAnsi="Arial"/>
        </w:rPr>
        <w:t>The endorsement provides excess physical damage coverage for non-owned autos of the insured’s employees or volunteer workers up to a limit of $5,000.</w:t>
      </w:r>
    </w:p>
    <w:p w:rsidR="007F663E" w:rsidRPr="00D434F2" w:rsidRDefault="007F663E" w:rsidP="00ED3339">
      <w:pPr>
        <w:spacing w:after="0" w:line="240" w:lineRule="auto"/>
        <w:rPr>
          <w:rFonts w:ascii="Arial" w:eastAsia="Arial" w:hAnsi="Arial"/>
        </w:rPr>
      </w:pPr>
    </w:p>
    <w:p w:rsidR="007F663E" w:rsidRPr="00D434F2" w:rsidRDefault="007F663E" w:rsidP="00ED3339">
      <w:pPr>
        <w:spacing w:after="0" w:line="240" w:lineRule="auto"/>
        <w:rPr>
          <w:rFonts w:ascii="Arial" w:eastAsia="Arial" w:hAnsi="Arial"/>
        </w:rPr>
      </w:pPr>
      <w:r w:rsidRPr="00D434F2">
        <w:rPr>
          <w:rFonts w:ascii="Arial" w:eastAsia="Arial" w:hAnsi="Arial"/>
          <w:b/>
        </w:rPr>
        <w:t>UNINTENTIONAL ERRORS AND OMISSIONS</w:t>
      </w:r>
      <w:r w:rsidRPr="00D434F2">
        <w:rPr>
          <w:rFonts w:ascii="Arial" w:eastAsia="Arial" w:hAnsi="Arial"/>
        </w:rPr>
        <w:t xml:space="preserve"> – The</w:t>
      </w:r>
      <w:r w:rsidR="00D434F2" w:rsidRPr="00D434F2">
        <w:rPr>
          <w:rFonts w:ascii="Arial" w:eastAsia="Arial" w:hAnsi="Arial"/>
        </w:rPr>
        <w:t xml:space="preserve"> endorsement provides errors or omissions coverage to the policy  when it is unintentional.</w:t>
      </w:r>
    </w:p>
    <w:p w:rsidR="00610076" w:rsidRPr="00D434F2" w:rsidRDefault="00610076" w:rsidP="006100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610076" w:rsidRPr="00D434F2" w:rsidRDefault="00610076" w:rsidP="006100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4F2">
        <w:rPr>
          <w:rFonts w:ascii="Arial" w:hAnsi="Arial" w:cs="Arial"/>
        </w:rPr>
        <w:t>There is no premium charge for the endorsements.</w:t>
      </w:r>
    </w:p>
    <w:p w:rsidR="00ED3339" w:rsidRPr="00D434F2" w:rsidRDefault="00ED3339"/>
    <w:sectPr w:rsidR="00ED3339" w:rsidRPr="00D43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11" w:rsidRDefault="00A17211" w:rsidP="00A17211">
      <w:pPr>
        <w:spacing w:after="0" w:line="240" w:lineRule="auto"/>
      </w:pPr>
      <w:r>
        <w:separator/>
      </w:r>
    </w:p>
  </w:endnote>
  <w:endnote w:type="continuationSeparator" w:id="0">
    <w:p w:rsidR="00A17211" w:rsidRDefault="00A17211" w:rsidP="00A17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11" w:rsidRDefault="00A172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11" w:rsidRDefault="00A172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11" w:rsidRDefault="00A172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11" w:rsidRDefault="00A17211" w:rsidP="00A17211">
      <w:pPr>
        <w:spacing w:after="0" w:line="240" w:lineRule="auto"/>
      </w:pPr>
      <w:r>
        <w:separator/>
      </w:r>
    </w:p>
  </w:footnote>
  <w:footnote w:type="continuationSeparator" w:id="0">
    <w:p w:rsidR="00A17211" w:rsidRDefault="00A17211" w:rsidP="00A17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11" w:rsidRDefault="00A172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11" w:rsidRPr="00A17211" w:rsidRDefault="00A17211" w:rsidP="00A17211">
    <w:pPr>
      <w:pStyle w:val="Header"/>
      <w:jc w:val="center"/>
      <w:rPr>
        <w:rFonts w:ascii="Arial" w:hAnsi="Arial" w:cs="Arial"/>
      </w:rPr>
    </w:pPr>
    <w:r w:rsidRPr="00A17211">
      <w:rPr>
        <w:rFonts w:ascii="Arial" w:hAnsi="Arial" w:cs="Arial"/>
      </w:rPr>
      <w:t>EXPLANATORY MEMORANDUM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11" w:rsidRDefault="00A172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AE"/>
    <w:rsid w:val="00610076"/>
    <w:rsid w:val="007720D8"/>
    <w:rsid w:val="007C3A63"/>
    <w:rsid w:val="007F663E"/>
    <w:rsid w:val="008B692C"/>
    <w:rsid w:val="00A17211"/>
    <w:rsid w:val="00D434F2"/>
    <w:rsid w:val="00ED3339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11"/>
  </w:style>
  <w:style w:type="paragraph" w:styleId="Footer">
    <w:name w:val="footer"/>
    <w:basedOn w:val="Normal"/>
    <w:link w:val="Foot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11"/>
  </w:style>
  <w:style w:type="paragraph" w:styleId="Footer">
    <w:name w:val="footer"/>
    <w:basedOn w:val="Normal"/>
    <w:link w:val="FooterChar"/>
    <w:uiPriority w:val="99"/>
    <w:unhideWhenUsed/>
    <w:rsid w:val="00A17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6</cp:revision>
  <cp:lastPrinted>2017-03-21T14:49:00Z</cp:lastPrinted>
  <dcterms:created xsi:type="dcterms:W3CDTF">2017-03-21T14:08:00Z</dcterms:created>
  <dcterms:modified xsi:type="dcterms:W3CDTF">2017-03-21T14:55:00Z</dcterms:modified>
</cp:coreProperties>
</file>