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5F3" w:rsidRPr="00AD024D" w:rsidRDefault="008F55F3" w:rsidP="008F55F3">
      <w:pPr>
        <w:pStyle w:val="Header"/>
        <w:jc w:val="center"/>
        <w:rPr>
          <w:rFonts w:ascii="Arial" w:hAnsi="Arial" w:cs="Arial"/>
          <w:b/>
        </w:rPr>
      </w:pPr>
      <w:r w:rsidRPr="00AD024D">
        <w:rPr>
          <w:rFonts w:ascii="Arial" w:hAnsi="Arial" w:cs="Arial"/>
          <w:b/>
        </w:rPr>
        <w:t>RATE NARRATIVE</w:t>
      </w:r>
    </w:p>
    <w:p w:rsidR="008F55F3" w:rsidRDefault="008F55F3" w:rsidP="00036E51">
      <w:pPr>
        <w:autoSpaceDE w:val="0"/>
        <w:autoSpaceDN w:val="0"/>
        <w:adjustRightInd w:val="0"/>
        <w:spacing w:after="0" w:line="240" w:lineRule="auto"/>
        <w:jc w:val="both"/>
        <w:rPr>
          <w:rFonts w:ascii="Arial" w:hAnsi="Arial" w:cs="Arial"/>
          <w:sz w:val="20"/>
          <w:szCs w:val="20"/>
        </w:rPr>
      </w:pPr>
    </w:p>
    <w:p w:rsidR="00352DC0" w:rsidRPr="00976791" w:rsidRDefault="00352DC0" w:rsidP="00352DC0">
      <w:pPr>
        <w:autoSpaceDE w:val="0"/>
        <w:autoSpaceDN w:val="0"/>
        <w:adjustRightInd w:val="0"/>
        <w:spacing w:after="0" w:line="240" w:lineRule="auto"/>
        <w:jc w:val="both"/>
        <w:rPr>
          <w:rFonts w:ascii="Arial" w:eastAsia="Calibri" w:hAnsi="Arial" w:cs="Arial"/>
          <w:color w:val="231F20"/>
          <w:sz w:val="20"/>
          <w:szCs w:val="20"/>
        </w:rPr>
      </w:pPr>
      <w:r>
        <w:rPr>
          <w:rFonts w:ascii="Arial" w:hAnsi="Arial" w:cs="Arial"/>
          <w:sz w:val="20"/>
          <w:szCs w:val="20"/>
        </w:rPr>
        <w:t>The referenced companies are</w:t>
      </w:r>
      <w:r w:rsidRPr="00976791">
        <w:rPr>
          <w:rFonts w:ascii="Arial" w:hAnsi="Arial" w:cs="Arial"/>
          <w:sz w:val="20"/>
          <w:szCs w:val="20"/>
        </w:rPr>
        <w:t xml:space="preserve"> introducin</w:t>
      </w:r>
      <w:r w:rsidRPr="007D07EF">
        <w:rPr>
          <w:rFonts w:ascii="Arial" w:hAnsi="Arial" w:cs="Arial"/>
          <w:sz w:val="20"/>
          <w:szCs w:val="20"/>
        </w:rPr>
        <w:t>g the Public Entity Program which em</w:t>
      </w:r>
      <w:r w:rsidRPr="00976791">
        <w:rPr>
          <w:rFonts w:ascii="Arial" w:hAnsi="Arial" w:cs="Arial"/>
          <w:sz w:val="20"/>
          <w:szCs w:val="20"/>
        </w:rPr>
        <w:t xml:space="preserve">ploys a combination of ISO and independent forms and rules. </w:t>
      </w:r>
      <w:r>
        <w:rPr>
          <w:rFonts w:ascii="Arial" w:hAnsi="Arial" w:cs="Arial"/>
          <w:sz w:val="20"/>
          <w:szCs w:val="20"/>
        </w:rPr>
        <w:t xml:space="preserve"> </w:t>
      </w:r>
      <w:r w:rsidRPr="00352DC0">
        <w:rPr>
          <w:rFonts w:ascii="Arial" w:hAnsi="Arial" w:cs="Arial"/>
          <w:sz w:val="20"/>
          <w:szCs w:val="20"/>
        </w:rPr>
        <w:t>The Companies are proposing a risk quality factor pricing structure for the commercial general liability coverage to contemplate the unique risk characteristics found in qualifying public entities</w:t>
      </w:r>
      <w:r>
        <w:rPr>
          <w:rFonts w:ascii="Arial" w:hAnsi="Arial" w:cs="Arial"/>
          <w:sz w:val="20"/>
          <w:szCs w:val="20"/>
        </w:rPr>
        <w:t xml:space="preserve"> </w:t>
      </w:r>
      <w:r w:rsidRPr="00352DC0">
        <w:rPr>
          <w:rFonts w:ascii="Arial" w:hAnsi="Arial" w:cs="Arial"/>
          <w:sz w:val="20"/>
          <w:szCs w:val="20"/>
        </w:rPr>
        <w:t>as set forth in the proposed Commercial Lines Manual – Commercial General Liability Public Entities submitted with this filing.</w:t>
      </w:r>
      <w:r>
        <w:rPr>
          <w:rFonts w:ascii="Arial" w:hAnsi="Arial" w:cs="Arial"/>
          <w:sz w:val="20"/>
          <w:szCs w:val="20"/>
        </w:rPr>
        <w:t xml:space="preserve">  </w:t>
      </w:r>
      <w:r w:rsidR="00C07E22">
        <w:rPr>
          <w:rFonts w:ascii="Arial" w:eastAsia="Calibri" w:hAnsi="Arial" w:cs="Arial"/>
          <w:color w:val="231F20"/>
          <w:sz w:val="20"/>
          <w:szCs w:val="20"/>
        </w:rPr>
        <w:t>We are proposing three additional optional coverage forms</w:t>
      </w:r>
      <w:r w:rsidR="00C92E7F">
        <w:rPr>
          <w:rFonts w:ascii="Arial" w:eastAsia="Calibri" w:hAnsi="Arial" w:cs="Arial"/>
          <w:color w:val="231F20"/>
          <w:sz w:val="20"/>
          <w:szCs w:val="20"/>
        </w:rPr>
        <w:t xml:space="preserve"> which are </w:t>
      </w:r>
      <w:r w:rsidR="00C07E22">
        <w:rPr>
          <w:rFonts w:ascii="Arial" w:eastAsia="Calibri" w:hAnsi="Arial" w:cs="Arial"/>
          <w:color w:val="231F20"/>
          <w:sz w:val="20"/>
          <w:szCs w:val="20"/>
        </w:rPr>
        <w:t>subject to premium charges as follows:</w:t>
      </w:r>
    </w:p>
    <w:p w:rsidR="00036E51" w:rsidRPr="00976791" w:rsidRDefault="00036E51" w:rsidP="00ED3339">
      <w:pPr>
        <w:widowControl w:val="0"/>
        <w:spacing w:after="0" w:line="240" w:lineRule="auto"/>
        <w:ind w:right="116"/>
        <w:jc w:val="both"/>
        <w:rPr>
          <w:rFonts w:ascii="Arial" w:eastAsia="Calibri" w:hAnsi="Arial" w:cs="Arial"/>
          <w:sz w:val="20"/>
          <w:szCs w:val="20"/>
        </w:rPr>
      </w:pPr>
    </w:p>
    <w:p w:rsidR="008F55F3" w:rsidRDefault="008F55F3" w:rsidP="008F55F3">
      <w:pPr>
        <w:spacing w:after="0" w:line="240" w:lineRule="auto"/>
        <w:rPr>
          <w:rFonts w:ascii="Arial" w:eastAsia="Times New Roman" w:hAnsi="Arial" w:cs="Arial"/>
          <w:b/>
          <w:sz w:val="20"/>
          <w:szCs w:val="20"/>
          <w:u w:val="single"/>
        </w:rPr>
      </w:pPr>
      <w:r w:rsidRPr="008F55F3">
        <w:rPr>
          <w:rFonts w:ascii="Arial" w:eastAsia="Times New Roman" w:hAnsi="Arial" w:cs="Arial"/>
          <w:b/>
          <w:sz w:val="20"/>
          <w:szCs w:val="20"/>
          <w:u w:val="single"/>
        </w:rPr>
        <w:t>Optional and Additional Coverage Charges</w:t>
      </w:r>
    </w:p>
    <w:p w:rsidR="00D84FFE" w:rsidRPr="00D84FFE" w:rsidRDefault="00D84FFE" w:rsidP="00ED3339">
      <w:pPr>
        <w:spacing w:after="0" w:line="240" w:lineRule="auto"/>
        <w:rPr>
          <w:rFonts w:ascii="Arial" w:eastAsia="Times New Roman" w:hAnsi="Arial" w:cs="Arial"/>
          <w:b/>
          <w:sz w:val="20"/>
          <w:szCs w:val="20"/>
        </w:rPr>
      </w:pPr>
    </w:p>
    <w:p w:rsidR="00B34545" w:rsidRDefault="00B34545" w:rsidP="00414A21">
      <w:pPr>
        <w:spacing w:after="0" w:line="240" w:lineRule="auto"/>
        <w:rPr>
          <w:rFonts w:ascii="Arial" w:eastAsia="Times New Roman" w:hAnsi="Arial" w:cs="Arial"/>
          <w:b/>
          <w:bCs/>
          <w:color w:val="000000"/>
          <w:sz w:val="20"/>
          <w:szCs w:val="20"/>
        </w:rPr>
      </w:pPr>
    </w:p>
    <w:p w:rsidR="0061025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FIRE DISTRICTS OR DEPARTMENTS PROFESSIONAL LIABILITY ENDORSEMENT</w:t>
      </w:r>
    </w:p>
    <w:p w:rsidR="00414A21"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adds p</w:t>
      </w:r>
      <w:r w:rsidR="007D07EF">
        <w:rPr>
          <w:rFonts w:ascii="Arial" w:eastAsia="Times New Roman" w:hAnsi="Arial" w:cs="Arial"/>
          <w:color w:val="000000"/>
          <w:sz w:val="20"/>
          <w:szCs w:val="20"/>
        </w:rPr>
        <w:t xml:space="preserve">rofessional liability and good </w:t>
      </w:r>
      <w:r w:rsidR="00B03447">
        <w:rPr>
          <w:rFonts w:ascii="Arial" w:eastAsia="Times New Roman" w:hAnsi="Arial" w:cs="Arial"/>
          <w:color w:val="000000"/>
          <w:sz w:val="20"/>
          <w:szCs w:val="20"/>
        </w:rPr>
        <w:t>s</w:t>
      </w:r>
      <w:r w:rsidR="00B03447" w:rsidRPr="00D84FFE">
        <w:rPr>
          <w:rFonts w:ascii="Arial" w:eastAsia="Times New Roman" w:hAnsi="Arial" w:cs="Arial"/>
          <w:color w:val="000000"/>
          <w:sz w:val="20"/>
          <w:szCs w:val="20"/>
        </w:rPr>
        <w:t xml:space="preserve">amaritan </w:t>
      </w:r>
      <w:r w:rsidRPr="00D84FFE">
        <w:rPr>
          <w:rFonts w:ascii="Arial" w:eastAsia="Times New Roman" w:hAnsi="Arial" w:cs="Arial"/>
          <w:color w:val="000000"/>
          <w:sz w:val="20"/>
          <w:szCs w:val="20"/>
        </w:rPr>
        <w:t xml:space="preserve">coverage for fire departments and amends the expected or intended injury </w:t>
      </w:r>
      <w:r w:rsidR="007D07EF">
        <w:rPr>
          <w:rFonts w:ascii="Arial" w:eastAsia="Times New Roman" w:hAnsi="Arial" w:cs="Arial"/>
          <w:color w:val="000000"/>
          <w:sz w:val="20"/>
          <w:szCs w:val="20"/>
        </w:rPr>
        <w:t xml:space="preserve">exclusion </w:t>
      </w:r>
      <w:r w:rsidR="00052902">
        <w:rPr>
          <w:rFonts w:ascii="Arial" w:eastAsia="Times New Roman" w:hAnsi="Arial" w:cs="Arial"/>
          <w:color w:val="000000"/>
          <w:sz w:val="20"/>
          <w:szCs w:val="20"/>
        </w:rPr>
        <w:t xml:space="preserve">for an occurrence </w:t>
      </w:r>
      <w:r w:rsidR="007D07EF">
        <w:rPr>
          <w:rFonts w:ascii="Arial" w:eastAsia="Times New Roman" w:hAnsi="Arial" w:cs="Arial"/>
          <w:color w:val="000000"/>
          <w:sz w:val="20"/>
          <w:szCs w:val="20"/>
        </w:rPr>
        <w:t>in the course of fire-</w:t>
      </w:r>
      <w:r w:rsidRPr="00D84FFE">
        <w:rPr>
          <w:rFonts w:ascii="Arial" w:eastAsia="Times New Roman" w:hAnsi="Arial" w:cs="Arial"/>
          <w:color w:val="000000"/>
          <w:sz w:val="20"/>
          <w:szCs w:val="20"/>
        </w:rPr>
        <w:t>fighting or emergency operations.</w:t>
      </w:r>
    </w:p>
    <w:p w:rsidR="007D07EF" w:rsidRPr="007D07EF" w:rsidRDefault="004B3EBD" w:rsidP="007D07EF">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 xml:space="preserve">There is an additional premium charge for this endorsement </w:t>
      </w:r>
      <w:r w:rsidR="007D07EF">
        <w:rPr>
          <w:rFonts w:ascii="Arial" w:eastAsia="Times New Roman" w:hAnsi="Arial" w:cs="Arial"/>
          <w:color w:val="000000"/>
          <w:sz w:val="20"/>
          <w:szCs w:val="20"/>
        </w:rPr>
        <w:t xml:space="preserve">of </w:t>
      </w:r>
      <w:r w:rsidR="007D07EF" w:rsidRPr="007D07EF">
        <w:rPr>
          <w:rFonts w:ascii="Arial" w:eastAsia="Times New Roman" w:hAnsi="Arial" w:cs="Arial"/>
          <w:color w:val="000000"/>
          <w:sz w:val="20"/>
          <w:szCs w:val="20"/>
        </w:rPr>
        <w:t>$</w:t>
      </w:r>
      <w:r w:rsidR="0093720A">
        <w:rPr>
          <w:rFonts w:ascii="Arial" w:eastAsia="Times New Roman" w:hAnsi="Arial" w:cs="Arial"/>
          <w:color w:val="000000"/>
          <w:sz w:val="20"/>
          <w:szCs w:val="20"/>
        </w:rPr>
        <w:t>5</w:t>
      </w:r>
      <w:r w:rsidR="0093720A" w:rsidRPr="007D07EF">
        <w:rPr>
          <w:rFonts w:ascii="Arial" w:eastAsia="Times New Roman" w:hAnsi="Arial" w:cs="Arial"/>
          <w:color w:val="000000"/>
          <w:sz w:val="20"/>
          <w:szCs w:val="20"/>
        </w:rPr>
        <w:t xml:space="preserve"> </w:t>
      </w:r>
      <w:r w:rsidR="007D07EF" w:rsidRPr="007D07EF">
        <w:rPr>
          <w:rFonts w:ascii="Arial" w:eastAsia="Times New Roman" w:hAnsi="Arial" w:cs="Arial"/>
          <w:color w:val="000000"/>
          <w:sz w:val="20"/>
          <w:szCs w:val="20"/>
        </w:rPr>
        <w:t>per firefighter, whether employed or volunteer, subject to a $</w:t>
      </w:r>
      <w:r w:rsidR="0093720A">
        <w:rPr>
          <w:rFonts w:ascii="Arial" w:eastAsia="Times New Roman" w:hAnsi="Arial" w:cs="Arial"/>
          <w:color w:val="000000"/>
          <w:sz w:val="20"/>
          <w:szCs w:val="20"/>
        </w:rPr>
        <w:t>100</w:t>
      </w:r>
      <w:r w:rsidR="0093720A" w:rsidRPr="007D07EF">
        <w:rPr>
          <w:rFonts w:ascii="Arial" w:eastAsia="Times New Roman" w:hAnsi="Arial" w:cs="Arial"/>
          <w:color w:val="000000"/>
          <w:sz w:val="20"/>
          <w:szCs w:val="20"/>
        </w:rPr>
        <w:t xml:space="preserve"> </w:t>
      </w:r>
      <w:r w:rsidR="007D07EF" w:rsidRPr="007D07EF">
        <w:rPr>
          <w:rFonts w:ascii="Arial" w:eastAsia="Times New Roman" w:hAnsi="Arial" w:cs="Arial"/>
          <w:color w:val="000000"/>
          <w:sz w:val="20"/>
          <w:szCs w:val="20"/>
        </w:rPr>
        <w:t>minimum premium.</w:t>
      </w:r>
      <w:r w:rsidR="00C07E22">
        <w:rPr>
          <w:rFonts w:ascii="Arial" w:eastAsia="Times New Roman" w:hAnsi="Arial" w:cs="Arial"/>
          <w:color w:val="000000"/>
          <w:sz w:val="20"/>
          <w:szCs w:val="20"/>
        </w:rPr>
        <w:t xml:space="preserve">  </w:t>
      </w:r>
      <w:r w:rsidR="00C07E22" w:rsidRPr="003F35E5">
        <w:rPr>
          <w:rFonts w:ascii="Arial" w:hAnsi="Arial" w:cs="Arial"/>
          <w:sz w:val="20"/>
          <w:szCs w:val="20"/>
        </w:rPr>
        <w:t>In our underwriting judgment</w:t>
      </w:r>
      <w:r w:rsidR="00C07E22">
        <w:rPr>
          <w:rFonts w:ascii="Arial" w:hAnsi="Arial" w:cs="Arial"/>
          <w:sz w:val="20"/>
          <w:szCs w:val="20"/>
        </w:rPr>
        <w:t>,</w:t>
      </w:r>
      <w:r w:rsidR="00C07E22" w:rsidRPr="003F35E5">
        <w:rPr>
          <w:rFonts w:ascii="Arial" w:hAnsi="Arial" w:cs="Arial"/>
          <w:sz w:val="20"/>
          <w:szCs w:val="20"/>
        </w:rPr>
        <w:t xml:space="preserve"> </w:t>
      </w:r>
      <w:r w:rsidR="00C07E22">
        <w:rPr>
          <w:rFonts w:ascii="Arial" w:hAnsi="Arial" w:cs="Arial"/>
          <w:sz w:val="20"/>
          <w:szCs w:val="20"/>
        </w:rPr>
        <w:t>the proposed</w:t>
      </w:r>
      <w:r w:rsidR="00C07E22" w:rsidRPr="003F35E5">
        <w:rPr>
          <w:rFonts w:ascii="Arial" w:hAnsi="Arial" w:cs="Arial"/>
          <w:sz w:val="20"/>
          <w:szCs w:val="20"/>
        </w:rPr>
        <w:t xml:space="preserve"> rate for the limits provided is adequate but not excessive.</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LIMITED ADDITIONAL INSURED – DESIGNATED PERSON OR ORGANIZATION FOR DESIGNATED PREMISES</w:t>
      </w:r>
    </w:p>
    <w:p w:rsidR="00414A21" w:rsidRPr="00D84FFE"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amends Section II – Who Is An Insured by adding a designated person or organization for a specific purpose at a designated premises.</w:t>
      </w:r>
    </w:p>
    <w:p w:rsidR="00414A21" w:rsidRDefault="0016336B" w:rsidP="007D07EF">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There is a</w:t>
      </w:r>
      <w:r w:rsidR="004B3EBD" w:rsidRPr="007D07EF">
        <w:rPr>
          <w:rFonts w:ascii="Arial" w:eastAsia="Times New Roman" w:hAnsi="Arial" w:cs="Arial"/>
          <w:color w:val="000000"/>
          <w:sz w:val="20"/>
          <w:szCs w:val="20"/>
        </w:rPr>
        <w:t>n additional</w:t>
      </w:r>
      <w:r w:rsidRPr="007D07EF">
        <w:rPr>
          <w:rFonts w:ascii="Arial" w:eastAsia="Times New Roman" w:hAnsi="Arial" w:cs="Arial"/>
          <w:color w:val="000000"/>
          <w:sz w:val="20"/>
          <w:szCs w:val="20"/>
        </w:rPr>
        <w:t xml:space="preserve"> premium charge </w:t>
      </w:r>
      <w:r w:rsidR="004B3EBD" w:rsidRPr="007D07EF">
        <w:rPr>
          <w:rFonts w:ascii="Arial" w:eastAsia="Times New Roman" w:hAnsi="Arial" w:cs="Arial"/>
          <w:color w:val="000000"/>
          <w:sz w:val="20"/>
          <w:szCs w:val="20"/>
        </w:rPr>
        <w:t xml:space="preserve">for this endorsement </w:t>
      </w:r>
      <w:r w:rsidR="007D07EF">
        <w:rPr>
          <w:rFonts w:ascii="Arial" w:eastAsia="Times New Roman" w:hAnsi="Arial" w:cs="Arial"/>
          <w:color w:val="000000"/>
          <w:sz w:val="20"/>
          <w:szCs w:val="20"/>
        </w:rPr>
        <w:t>of $100.00 for each entity added as an additional insured.</w:t>
      </w:r>
      <w:r w:rsidR="00C07E22">
        <w:rPr>
          <w:rFonts w:ascii="Arial" w:eastAsia="Times New Roman" w:hAnsi="Arial" w:cs="Arial"/>
          <w:color w:val="000000"/>
          <w:sz w:val="20"/>
          <w:szCs w:val="20"/>
        </w:rPr>
        <w:t xml:space="preserve">    </w:t>
      </w:r>
      <w:r w:rsidR="00C07E22" w:rsidRPr="003F35E5">
        <w:rPr>
          <w:rFonts w:ascii="Arial" w:hAnsi="Arial" w:cs="Arial"/>
          <w:sz w:val="20"/>
          <w:szCs w:val="20"/>
        </w:rPr>
        <w:t>In our underwriting judgment</w:t>
      </w:r>
      <w:r w:rsidR="00C07E22">
        <w:rPr>
          <w:rFonts w:ascii="Arial" w:hAnsi="Arial" w:cs="Arial"/>
          <w:sz w:val="20"/>
          <w:szCs w:val="20"/>
        </w:rPr>
        <w:t>,</w:t>
      </w:r>
      <w:r w:rsidR="00C07E22" w:rsidRPr="003F35E5">
        <w:rPr>
          <w:rFonts w:ascii="Arial" w:hAnsi="Arial" w:cs="Arial"/>
          <w:sz w:val="20"/>
          <w:szCs w:val="20"/>
        </w:rPr>
        <w:t xml:space="preserve"> </w:t>
      </w:r>
      <w:r w:rsidR="00C07E22">
        <w:rPr>
          <w:rFonts w:ascii="Arial" w:hAnsi="Arial" w:cs="Arial"/>
          <w:sz w:val="20"/>
          <w:szCs w:val="20"/>
        </w:rPr>
        <w:t>the proposed</w:t>
      </w:r>
      <w:r w:rsidR="00C07E22" w:rsidRPr="003F35E5">
        <w:rPr>
          <w:rFonts w:ascii="Arial" w:hAnsi="Arial" w:cs="Arial"/>
          <w:sz w:val="20"/>
          <w:szCs w:val="20"/>
        </w:rPr>
        <w:t xml:space="preserve"> rate for the limits provided is adequate but not excessive.</w:t>
      </w:r>
    </w:p>
    <w:p w:rsidR="007D07EF" w:rsidRPr="007D07EF" w:rsidRDefault="007D07EF" w:rsidP="007D07EF">
      <w:pPr>
        <w:autoSpaceDE w:val="0"/>
        <w:autoSpaceDN w:val="0"/>
        <w:adjustRightInd w:val="0"/>
        <w:spacing w:after="0" w:line="240" w:lineRule="auto"/>
        <w:rPr>
          <w:rFonts w:ascii="Arial" w:hAnsi="Arial" w:cs="Arial"/>
          <w:sz w:val="20"/>
          <w:szCs w:val="20"/>
        </w:rPr>
      </w:pPr>
    </w:p>
    <w:p w:rsidR="003258C2" w:rsidRDefault="00414A21" w:rsidP="007D07EF">
      <w:pPr>
        <w:autoSpaceDE w:val="0"/>
        <w:autoSpaceDN w:val="0"/>
        <w:adjustRightInd w:val="0"/>
        <w:spacing w:after="0" w:line="240" w:lineRule="auto"/>
        <w:rPr>
          <w:rFonts w:ascii="Arial" w:eastAsia="Times New Roman" w:hAnsi="Arial" w:cs="Arial"/>
          <w:b/>
          <w:bCs/>
          <w:color w:val="000000"/>
          <w:sz w:val="20"/>
          <w:szCs w:val="20"/>
        </w:rPr>
      </w:pPr>
      <w:r w:rsidRPr="007D07EF">
        <w:rPr>
          <w:rFonts w:ascii="Arial" w:hAnsi="Arial" w:cs="Arial"/>
          <w:b/>
          <w:sz w:val="20"/>
          <w:szCs w:val="20"/>
        </w:rPr>
        <w:t>NURSES EMERGENCY MEDICAL TECHNICIANS PARAMEDICS PROFESSIONAL LIABILITY</w:t>
      </w:r>
      <w:r w:rsidRPr="00D84FFE">
        <w:rPr>
          <w:rFonts w:ascii="Arial" w:eastAsia="Times New Roman" w:hAnsi="Arial" w:cs="Arial"/>
          <w:b/>
          <w:bCs/>
          <w:color w:val="000000"/>
          <w:sz w:val="20"/>
          <w:szCs w:val="20"/>
        </w:rPr>
        <w:t xml:space="preserve"> ENDORSEMENT</w:t>
      </w:r>
    </w:p>
    <w:p w:rsidR="00C07E22" w:rsidRPr="003F35E5" w:rsidRDefault="00414A21" w:rsidP="00C07E22">
      <w:pPr>
        <w:rPr>
          <w:rFonts w:ascii="Arial" w:hAnsi="Arial" w:cs="Arial"/>
          <w:sz w:val="20"/>
          <w:szCs w:val="20"/>
        </w:rPr>
      </w:pPr>
      <w:r w:rsidRPr="00D84FFE">
        <w:rPr>
          <w:rFonts w:ascii="Arial" w:eastAsia="Times New Roman" w:hAnsi="Arial" w:cs="Arial"/>
          <w:color w:val="000000"/>
          <w:sz w:val="20"/>
          <w:szCs w:val="20"/>
        </w:rPr>
        <w:t xml:space="preserve">This optional endorsement amends Section II – Who Is An Insured by adding coverage for “bodily injury” or “personal and advertising injury” arising out of professional healthcare services provided by </w:t>
      </w:r>
      <w:r w:rsidR="00052902">
        <w:rPr>
          <w:rFonts w:ascii="Arial" w:eastAsia="Times New Roman" w:hAnsi="Arial" w:cs="Arial"/>
          <w:color w:val="000000"/>
          <w:sz w:val="20"/>
          <w:szCs w:val="20"/>
        </w:rPr>
        <w:t xml:space="preserve">employed </w:t>
      </w:r>
      <w:r w:rsidRPr="00D84FFE">
        <w:rPr>
          <w:rFonts w:ascii="Arial" w:eastAsia="Times New Roman" w:hAnsi="Arial" w:cs="Arial"/>
          <w:color w:val="000000"/>
          <w:sz w:val="20"/>
          <w:szCs w:val="20"/>
        </w:rPr>
        <w:t>nurses, emergency medical technicians or paramedics.</w:t>
      </w:r>
      <w:r w:rsidR="00C07E22">
        <w:rPr>
          <w:rFonts w:ascii="Arial" w:hAnsi="Arial" w:cs="Arial"/>
          <w:sz w:val="20"/>
          <w:szCs w:val="20"/>
        </w:rPr>
        <w:t xml:space="preserve"> </w:t>
      </w:r>
    </w:p>
    <w:p w:rsidR="00414A21" w:rsidRPr="00D84FFE" w:rsidRDefault="00414A21" w:rsidP="007D07EF">
      <w:pPr>
        <w:autoSpaceDE w:val="0"/>
        <w:autoSpaceDN w:val="0"/>
        <w:adjustRightInd w:val="0"/>
        <w:spacing w:after="0" w:line="240" w:lineRule="auto"/>
        <w:rPr>
          <w:rFonts w:ascii="Arial" w:eastAsia="Times New Roman" w:hAnsi="Arial" w:cs="Arial"/>
          <w:b/>
          <w:bCs/>
          <w:color w:val="000000"/>
          <w:sz w:val="20"/>
          <w:szCs w:val="20"/>
        </w:rPr>
      </w:pPr>
    </w:p>
    <w:p w:rsidR="007D07EF" w:rsidRPr="00683F4C" w:rsidRDefault="007D07EF" w:rsidP="007D07EF">
      <w:pPr>
        <w:autoSpaceDE w:val="0"/>
        <w:autoSpaceDN w:val="0"/>
        <w:adjustRightInd w:val="0"/>
        <w:rPr>
          <w:rFonts w:ascii="Arial" w:hAnsi="Arial" w:cs="Arial"/>
          <w:bCs/>
          <w:sz w:val="20"/>
          <w:szCs w:val="20"/>
        </w:rPr>
      </w:pPr>
      <w:r w:rsidRPr="00683F4C">
        <w:rPr>
          <w:rFonts w:ascii="Arial" w:hAnsi="Arial" w:cs="Arial"/>
          <w:bCs/>
          <w:sz w:val="20"/>
          <w:szCs w:val="20"/>
        </w:rPr>
        <w:t>The premium for this endorsement</w:t>
      </w:r>
      <w:r w:rsidRPr="00683F4C">
        <w:rPr>
          <w:rFonts w:ascii="Arial" w:hAnsi="Arial" w:cs="Arial"/>
          <w:sz w:val="20"/>
          <w:szCs w:val="20"/>
        </w:rPr>
        <w:t xml:space="preserve"> is </w:t>
      </w:r>
      <w:r>
        <w:rPr>
          <w:rFonts w:ascii="Arial" w:hAnsi="Arial" w:cs="Arial"/>
          <w:sz w:val="20"/>
          <w:szCs w:val="20"/>
        </w:rPr>
        <w:t>set forth</w:t>
      </w:r>
      <w:r w:rsidRPr="00683F4C">
        <w:rPr>
          <w:rFonts w:ascii="Arial" w:hAnsi="Arial" w:cs="Arial"/>
          <w:sz w:val="20"/>
          <w:szCs w:val="20"/>
        </w:rPr>
        <w:t xml:space="preserve"> in the following table:</w:t>
      </w:r>
    </w:p>
    <w:tbl>
      <w:tblPr>
        <w:tblStyle w:val="TableGrid"/>
        <w:tblW w:w="9828" w:type="dxa"/>
        <w:tblInd w:w="-252" w:type="dxa"/>
        <w:tblLook w:val="04A0" w:firstRow="1" w:lastRow="0" w:firstColumn="1" w:lastColumn="0" w:noHBand="0" w:noVBand="1"/>
      </w:tblPr>
      <w:tblGrid>
        <w:gridCol w:w="2487"/>
        <w:gridCol w:w="1203"/>
        <w:gridCol w:w="1227"/>
        <w:gridCol w:w="1203"/>
        <w:gridCol w:w="1260"/>
        <w:gridCol w:w="1245"/>
        <w:gridCol w:w="1203"/>
      </w:tblGrid>
      <w:tr w:rsidR="007D07EF" w:rsidRPr="007D07EF" w:rsidTr="003A7C50">
        <w:trPr>
          <w:trHeight w:val="360"/>
        </w:trPr>
        <w:tc>
          <w:tcPr>
            <w:tcW w:w="2487" w:type="dxa"/>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Professional Group</w:t>
            </w:r>
          </w:p>
        </w:tc>
        <w:tc>
          <w:tcPr>
            <w:tcW w:w="2430"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 $1M limit</w:t>
            </w:r>
          </w:p>
        </w:tc>
        <w:tc>
          <w:tcPr>
            <w:tcW w:w="2463"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 $2M limit</w:t>
            </w:r>
          </w:p>
        </w:tc>
        <w:tc>
          <w:tcPr>
            <w:tcW w:w="2448"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$3M limit</w:t>
            </w:r>
          </w:p>
        </w:tc>
      </w:tr>
      <w:tr w:rsidR="007D07EF" w:rsidRPr="007D07EF" w:rsidTr="003A7C50">
        <w:trPr>
          <w:trHeight w:val="360"/>
        </w:trPr>
        <w:tc>
          <w:tcPr>
            <w:tcW w:w="2487" w:type="dxa"/>
            <w:vAlign w:val="center"/>
          </w:tcPr>
          <w:p w:rsidR="007D07EF" w:rsidRPr="007D07EF" w:rsidRDefault="007D07EF" w:rsidP="003A7C50">
            <w:pPr>
              <w:jc w:val="center"/>
              <w:rPr>
                <w:rFonts w:ascii="Arial" w:hAnsi="Arial" w:cs="Arial"/>
              </w:rPr>
            </w:pPr>
          </w:p>
        </w:tc>
        <w:tc>
          <w:tcPr>
            <w:tcW w:w="1203"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27"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c>
          <w:tcPr>
            <w:tcW w:w="1203"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60"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c>
          <w:tcPr>
            <w:tcW w:w="1245"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03"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Registered Nurses, each</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$187</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$76</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$190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$77</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$192</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Licensed Practical Nurses, each</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$172</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$71</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$174</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$72</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$177</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Nurses minimum premium</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EMT (no ambulances), each, max 10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$121</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$316</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$123</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$321</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$125</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$325</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EMT minimum premium</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Ambulances with EMTs only (no paramedics)</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$340 per ambulance</w:t>
            </w:r>
          </w:p>
        </w:tc>
        <w:tc>
          <w:tcPr>
            <w:tcW w:w="1227" w:type="dxa"/>
            <w:vAlign w:val="center"/>
          </w:tcPr>
          <w:p w:rsidR="007D07EF" w:rsidRPr="007D07EF" w:rsidRDefault="007D07EF" w:rsidP="0061025E">
            <w:pPr>
              <w:jc w:val="center"/>
              <w:rPr>
                <w:rFonts w:ascii="Arial" w:hAnsi="Arial" w:cs="Arial"/>
                <w:sz w:val="18"/>
                <w:szCs w:val="18"/>
              </w:rPr>
            </w:pPr>
            <w:r w:rsidRPr="007D07EF">
              <w:rPr>
                <w:rFonts w:ascii="Arial" w:hAnsi="Arial" w:cs="Arial"/>
                <w:sz w:val="18"/>
                <w:szCs w:val="18"/>
              </w:rPr>
              <w:t>$</w:t>
            </w:r>
            <w:r w:rsidR="0061025E">
              <w:rPr>
                <w:rFonts w:ascii="Arial" w:hAnsi="Arial" w:cs="Arial"/>
                <w:sz w:val="18"/>
                <w:szCs w:val="18"/>
              </w:rPr>
              <w:t>730</w:t>
            </w:r>
            <w:r w:rsidRPr="007D07EF">
              <w:rPr>
                <w:rFonts w:ascii="Arial" w:hAnsi="Arial" w:cs="Arial"/>
                <w:sz w:val="18"/>
                <w:szCs w:val="18"/>
              </w:rPr>
              <w:t xml:space="preserve">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$345 per ambulance</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$740 per ambulance</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$350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 per ambulance</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Ambulances with Paramedics</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$486 per ambulance</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$1,215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$493 per ambulance</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$1,233 per ambulance</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$500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$1,250 per ambulance</w:t>
            </w:r>
          </w:p>
        </w:tc>
      </w:tr>
    </w:tbl>
    <w:p w:rsidR="004B3EBD" w:rsidRDefault="00C07E22" w:rsidP="004B3EBD">
      <w:pPr>
        <w:autoSpaceDE w:val="0"/>
        <w:autoSpaceDN w:val="0"/>
        <w:adjustRightInd w:val="0"/>
        <w:rPr>
          <w:rFonts w:ascii="Arial" w:eastAsia="Times New Roman" w:hAnsi="Arial" w:cs="Arial"/>
          <w:color w:val="000000"/>
          <w:sz w:val="20"/>
          <w:szCs w:val="20"/>
        </w:rPr>
      </w:pPr>
      <w:r w:rsidRPr="003F35E5">
        <w:rPr>
          <w:rFonts w:ascii="Arial" w:hAnsi="Arial" w:cs="Arial"/>
          <w:sz w:val="20"/>
          <w:szCs w:val="20"/>
        </w:rPr>
        <w:lastRenderedPageBreak/>
        <w:t>In our underwriting judgment</w:t>
      </w:r>
      <w:r>
        <w:rPr>
          <w:rFonts w:ascii="Arial" w:hAnsi="Arial" w:cs="Arial"/>
          <w:sz w:val="20"/>
          <w:szCs w:val="20"/>
        </w:rPr>
        <w:t>,</w:t>
      </w:r>
      <w:r w:rsidRPr="003F35E5">
        <w:rPr>
          <w:rFonts w:ascii="Arial" w:hAnsi="Arial" w:cs="Arial"/>
          <w:sz w:val="20"/>
          <w:szCs w:val="20"/>
        </w:rPr>
        <w:t xml:space="preserve"> </w:t>
      </w:r>
      <w:r>
        <w:rPr>
          <w:rFonts w:ascii="Arial" w:hAnsi="Arial" w:cs="Arial"/>
          <w:sz w:val="20"/>
          <w:szCs w:val="20"/>
        </w:rPr>
        <w:t>the proposed</w:t>
      </w:r>
      <w:r w:rsidRPr="003F35E5">
        <w:rPr>
          <w:rFonts w:ascii="Arial" w:hAnsi="Arial" w:cs="Arial"/>
          <w:sz w:val="20"/>
          <w:szCs w:val="20"/>
        </w:rPr>
        <w:t xml:space="preserve"> rate</w:t>
      </w:r>
      <w:r>
        <w:rPr>
          <w:rFonts w:ascii="Arial" w:hAnsi="Arial" w:cs="Arial"/>
          <w:sz w:val="20"/>
          <w:szCs w:val="20"/>
        </w:rPr>
        <w:t>s</w:t>
      </w:r>
      <w:r w:rsidRPr="003F35E5">
        <w:rPr>
          <w:rFonts w:ascii="Arial" w:hAnsi="Arial" w:cs="Arial"/>
          <w:sz w:val="20"/>
          <w:szCs w:val="20"/>
        </w:rPr>
        <w:t xml:space="preserve"> for the limits provided </w:t>
      </w:r>
      <w:r>
        <w:rPr>
          <w:rFonts w:ascii="Arial" w:hAnsi="Arial" w:cs="Arial"/>
          <w:sz w:val="20"/>
          <w:szCs w:val="20"/>
        </w:rPr>
        <w:t>are</w:t>
      </w:r>
      <w:r w:rsidRPr="003F35E5">
        <w:rPr>
          <w:rFonts w:ascii="Arial" w:hAnsi="Arial" w:cs="Arial"/>
          <w:sz w:val="20"/>
          <w:szCs w:val="20"/>
        </w:rPr>
        <w:t xml:space="preserve"> adequate but not excessive.</w:t>
      </w:r>
    </w:p>
    <w:p w:rsidR="007D07EF" w:rsidRPr="007D07EF" w:rsidRDefault="007D07EF" w:rsidP="007D07EF">
      <w:pPr>
        <w:jc w:val="both"/>
        <w:rPr>
          <w:rFonts w:ascii="Arial" w:hAnsi="Arial" w:cs="Arial"/>
          <w:sz w:val="20"/>
          <w:szCs w:val="20"/>
        </w:rPr>
      </w:pPr>
      <w:r w:rsidRPr="007D07EF">
        <w:rPr>
          <w:rFonts w:ascii="Arial" w:hAnsi="Arial" w:cs="Arial"/>
          <w:sz w:val="20"/>
          <w:szCs w:val="20"/>
        </w:rPr>
        <w:t>Limits are included within the Commercial General Liability Limits of Insurance on the policy to which this endorsement is attached.  Rates are based on the limits indicated</w:t>
      </w:r>
      <w:r>
        <w:rPr>
          <w:rFonts w:ascii="Arial" w:hAnsi="Arial" w:cs="Arial"/>
          <w:sz w:val="20"/>
          <w:szCs w:val="20"/>
        </w:rPr>
        <w:t xml:space="preserve"> </w:t>
      </w:r>
      <w:r w:rsidR="003258C2">
        <w:rPr>
          <w:rFonts w:ascii="Arial" w:hAnsi="Arial" w:cs="Arial"/>
          <w:sz w:val="20"/>
          <w:szCs w:val="20"/>
        </w:rPr>
        <w:t>and</w:t>
      </w:r>
      <w:r>
        <w:rPr>
          <w:rFonts w:ascii="Arial" w:hAnsi="Arial" w:cs="Arial"/>
          <w:sz w:val="20"/>
          <w:szCs w:val="20"/>
        </w:rPr>
        <w:t xml:space="preserve"> </w:t>
      </w:r>
      <w:r w:rsidRPr="007D07EF">
        <w:rPr>
          <w:rFonts w:ascii="Arial" w:hAnsi="Arial" w:cs="Arial"/>
          <w:sz w:val="20"/>
          <w:szCs w:val="20"/>
        </w:rPr>
        <w:t>are not subject to further modification by Experience or Schedule rating, as they are already deviated based on loss ratio per the following rule:</w:t>
      </w:r>
    </w:p>
    <w:p w:rsidR="007D07EF" w:rsidRPr="007D07EF" w:rsidRDefault="007D07EF" w:rsidP="007D07EF">
      <w:pPr>
        <w:pStyle w:val="ListParagraph"/>
        <w:numPr>
          <w:ilvl w:val="0"/>
          <w:numId w:val="1"/>
        </w:numPr>
        <w:jc w:val="both"/>
        <w:rPr>
          <w:rFonts w:ascii="Arial" w:hAnsi="Arial" w:cs="Arial"/>
          <w:sz w:val="20"/>
          <w:szCs w:val="20"/>
        </w:rPr>
      </w:pPr>
      <w:r w:rsidRPr="007D07EF">
        <w:rPr>
          <w:rFonts w:ascii="Arial" w:hAnsi="Arial" w:cs="Arial"/>
          <w:sz w:val="20"/>
          <w:szCs w:val="20"/>
        </w:rPr>
        <w:t>If the General Liability loss ratio is 50% or less, use Rate A.</w:t>
      </w:r>
    </w:p>
    <w:p w:rsidR="007D07EF" w:rsidRPr="007D07EF" w:rsidRDefault="007D07EF" w:rsidP="007D07EF">
      <w:pPr>
        <w:pStyle w:val="ListParagraph"/>
        <w:numPr>
          <w:ilvl w:val="0"/>
          <w:numId w:val="1"/>
        </w:numPr>
        <w:spacing w:line="240" w:lineRule="auto"/>
        <w:jc w:val="both"/>
        <w:rPr>
          <w:rFonts w:ascii="Arial" w:hAnsi="Arial" w:cs="Arial"/>
          <w:sz w:val="20"/>
          <w:szCs w:val="20"/>
        </w:rPr>
      </w:pPr>
      <w:r w:rsidRPr="007D07EF">
        <w:rPr>
          <w:rFonts w:ascii="Arial" w:hAnsi="Arial" w:cs="Arial"/>
          <w:sz w:val="20"/>
          <w:szCs w:val="20"/>
        </w:rPr>
        <w:t>If the General Liability loss ratio is 51% or greater, use Rate B.</w:t>
      </w:r>
    </w:p>
    <w:p w:rsidR="007D07EF" w:rsidRDefault="007D07EF" w:rsidP="007D07EF">
      <w:pPr>
        <w:jc w:val="both"/>
        <w:rPr>
          <w:rFonts w:ascii="Arial" w:hAnsi="Arial" w:cs="Arial"/>
          <w:sz w:val="20"/>
          <w:szCs w:val="20"/>
        </w:rPr>
      </w:pPr>
      <w:r w:rsidRPr="007D07EF">
        <w:rPr>
          <w:rFonts w:ascii="Arial" w:hAnsi="Arial" w:cs="Arial"/>
          <w:sz w:val="20"/>
          <w:szCs w:val="20"/>
        </w:rPr>
        <w:t xml:space="preserve">For minimum premiums, each rated Professional Group is subject to its own minimum premium. There is no minimum premium for the “Per Ambulance” rates.  If Nurses and EMT (no ambulances) are rated on a single policy and neither one rates above minimum premium, then the total premium for this endorsement would be the combined minimum premium values based upon </w:t>
      </w:r>
      <w:r>
        <w:rPr>
          <w:rFonts w:ascii="Arial" w:hAnsi="Arial" w:cs="Arial"/>
          <w:sz w:val="20"/>
          <w:szCs w:val="20"/>
        </w:rPr>
        <w:t>the</w:t>
      </w:r>
      <w:r w:rsidRPr="007D07EF">
        <w:rPr>
          <w:rFonts w:ascii="Arial" w:hAnsi="Arial" w:cs="Arial"/>
          <w:sz w:val="20"/>
          <w:szCs w:val="20"/>
        </w:rPr>
        <w:t xml:space="preserve"> Rate (A or B) </w:t>
      </w:r>
      <w:r>
        <w:rPr>
          <w:rFonts w:ascii="Arial" w:hAnsi="Arial" w:cs="Arial"/>
          <w:sz w:val="20"/>
          <w:szCs w:val="20"/>
        </w:rPr>
        <w:t>for which the account qualified.</w:t>
      </w:r>
      <w:r w:rsidR="00C07E22">
        <w:rPr>
          <w:rFonts w:ascii="Arial" w:hAnsi="Arial" w:cs="Arial"/>
          <w:sz w:val="20"/>
          <w:szCs w:val="20"/>
        </w:rPr>
        <w:t xml:space="preserve">  </w:t>
      </w:r>
    </w:p>
    <w:p w:rsidR="00C07E22" w:rsidRPr="007D07EF" w:rsidRDefault="00C07E22" w:rsidP="007D07EF">
      <w:pPr>
        <w:jc w:val="both"/>
        <w:rPr>
          <w:rFonts w:ascii="Arial" w:hAnsi="Arial" w:cs="Arial"/>
          <w:sz w:val="20"/>
          <w:szCs w:val="20"/>
        </w:rPr>
      </w:pPr>
    </w:p>
    <w:p w:rsidR="00ED3339" w:rsidRPr="00D84FFE" w:rsidRDefault="008F55F3" w:rsidP="0006517D">
      <w:pPr>
        <w:rPr>
          <w:rFonts w:ascii="Arial" w:hAnsi="Arial" w:cs="Arial"/>
          <w:sz w:val="20"/>
          <w:szCs w:val="20"/>
        </w:rPr>
      </w:pPr>
      <w:r w:rsidRPr="008F55F3">
        <w:rPr>
          <w:rFonts w:ascii="Arial" w:hAnsi="Arial" w:cs="Arial"/>
          <w:sz w:val="20"/>
          <w:szCs w:val="20"/>
        </w:rPr>
        <w:t>For example</w:t>
      </w:r>
      <w:r>
        <w:rPr>
          <w:rFonts w:ascii="Arial" w:hAnsi="Arial" w:cs="Arial"/>
          <w:sz w:val="20"/>
          <w:szCs w:val="20"/>
        </w:rPr>
        <w:t>: A</w:t>
      </w:r>
      <w:r w:rsidRPr="008F55F3">
        <w:rPr>
          <w:rFonts w:ascii="Arial" w:hAnsi="Arial" w:cs="Arial"/>
          <w:sz w:val="20"/>
          <w:szCs w:val="20"/>
        </w:rPr>
        <w:t>n account rated using Rate A for a $1M/$1M CGL limit, has 1 RN and 1 LPN =</w:t>
      </w:r>
      <w:r>
        <w:rPr>
          <w:rFonts w:ascii="Arial" w:hAnsi="Arial" w:cs="Arial"/>
          <w:sz w:val="20"/>
          <w:szCs w:val="20"/>
        </w:rPr>
        <w:t xml:space="preserve"> $75 + $70 =</w:t>
      </w:r>
      <w:r w:rsidRPr="008F55F3">
        <w:rPr>
          <w:rFonts w:ascii="Arial" w:hAnsi="Arial" w:cs="Arial"/>
          <w:sz w:val="20"/>
          <w:szCs w:val="20"/>
        </w:rPr>
        <w:t xml:space="preserve"> $145, </w:t>
      </w:r>
      <w:r>
        <w:rPr>
          <w:rFonts w:ascii="Arial" w:hAnsi="Arial" w:cs="Arial"/>
          <w:sz w:val="20"/>
          <w:szCs w:val="20"/>
        </w:rPr>
        <w:t xml:space="preserve">which falls below the </w:t>
      </w:r>
      <w:r w:rsidRPr="008F55F3">
        <w:rPr>
          <w:rFonts w:ascii="Arial" w:hAnsi="Arial" w:cs="Arial"/>
          <w:sz w:val="20"/>
          <w:szCs w:val="20"/>
        </w:rPr>
        <w:t>Nurse</w:t>
      </w:r>
      <w:r>
        <w:rPr>
          <w:rFonts w:ascii="Arial" w:hAnsi="Arial" w:cs="Arial"/>
          <w:sz w:val="20"/>
          <w:szCs w:val="20"/>
        </w:rPr>
        <w:t xml:space="preserve"> Minimum Premium, therefore</w:t>
      </w:r>
      <w:r w:rsidRPr="008F55F3">
        <w:rPr>
          <w:rFonts w:ascii="Arial" w:hAnsi="Arial" w:cs="Arial"/>
          <w:sz w:val="20"/>
          <w:szCs w:val="20"/>
        </w:rPr>
        <w:t xml:space="preserve"> </w:t>
      </w:r>
      <w:r>
        <w:rPr>
          <w:rFonts w:ascii="Arial" w:hAnsi="Arial" w:cs="Arial"/>
          <w:sz w:val="20"/>
          <w:szCs w:val="20"/>
        </w:rPr>
        <w:t xml:space="preserve">the </w:t>
      </w:r>
      <w:r w:rsidRPr="008F55F3">
        <w:rPr>
          <w:rFonts w:ascii="Arial" w:hAnsi="Arial" w:cs="Arial"/>
          <w:sz w:val="20"/>
          <w:szCs w:val="20"/>
        </w:rPr>
        <w:t>$200</w:t>
      </w:r>
      <w:r>
        <w:rPr>
          <w:rFonts w:ascii="Arial" w:hAnsi="Arial" w:cs="Arial"/>
          <w:sz w:val="20"/>
          <w:szCs w:val="20"/>
        </w:rPr>
        <w:t xml:space="preserve"> </w:t>
      </w:r>
      <w:r w:rsidRPr="00AD024D">
        <w:rPr>
          <w:rFonts w:ascii="Arial" w:hAnsi="Arial" w:cs="Arial"/>
          <w:sz w:val="20"/>
          <w:szCs w:val="20"/>
        </w:rPr>
        <w:t>Nurse</w:t>
      </w:r>
      <w:r>
        <w:rPr>
          <w:rFonts w:ascii="Arial" w:hAnsi="Arial" w:cs="Arial"/>
          <w:sz w:val="20"/>
          <w:szCs w:val="20"/>
        </w:rPr>
        <w:t xml:space="preserve"> Minimum Premium</w:t>
      </w:r>
      <w:r w:rsidRPr="008F55F3">
        <w:rPr>
          <w:rFonts w:ascii="Arial" w:hAnsi="Arial" w:cs="Arial"/>
          <w:sz w:val="20"/>
          <w:szCs w:val="20"/>
        </w:rPr>
        <w:t xml:space="preserve"> is charged.  Th</w:t>
      </w:r>
      <w:r>
        <w:rPr>
          <w:rFonts w:ascii="Arial" w:hAnsi="Arial" w:cs="Arial"/>
          <w:sz w:val="20"/>
          <w:szCs w:val="20"/>
        </w:rPr>
        <w:t>e</w:t>
      </w:r>
      <w:r w:rsidRPr="008F55F3">
        <w:rPr>
          <w:rFonts w:ascii="Arial" w:hAnsi="Arial" w:cs="Arial"/>
          <w:sz w:val="20"/>
          <w:szCs w:val="20"/>
        </w:rPr>
        <w:t xml:space="preserve"> account </w:t>
      </w:r>
      <w:r>
        <w:rPr>
          <w:rFonts w:ascii="Arial" w:hAnsi="Arial" w:cs="Arial"/>
          <w:sz w:val="20"/>
          <w:szCs w:val="20"/>
        </w:rPr>
        <w:t xml:space="preserve">also </w:t>
      </w:r>
      <w:r w:rsidRPr="008F55F3">
        <w:rPr>
          <w:rFonts w:ascii="Arial" w:hAnsi="Arial" w:cs="Arial"/>
          <w:sz w:val="20"/>
          <w:szCs w:val="20"/>
        </w:rPr>
        <w:t xml:space="preserve">has 2 EMT’s </w:t>
      </w:r>
      <w:r>
        <w:rPr>
          <w:rFonts w:ascii="Arial" w:hAnsi="Arial" w:cs="Arial"/>
          <w:sz w:val="20"/>
          <w:szCs w:val="20"/>
        </w:rPr>
        <w:t>@ $121 each tota</w:t>
      </w:r>
      <w:bookmarkStart w:id="0" w:name="_GoBack"/>
      <w:bookmarkEnd w:id="0"/>
      <w:r>
        <w:rPr>
          <w:rFonts w:ascii="Arial" w:hAnsi="Arial" w:cs="Arial"/>
          <w:sz w:val="20"/>
          <w:szCs w:val="20"/>
        </w:rPr>
        <w:t xml:space="preserve">ling </w:t>
      </w:r>
      <w:r w:rsidRPr="008F55F3">
        <w:rPr>
          <w:rFonts w:ascii="Arial" w:hAnsi="Arial" w:cs="Arial"/>
          <w:sz w:val="20"/>
          <w:szCs w:val="20"/>
        </w:rPr>
        <w:t>$242</w:t>
      </w:r>
      <w:r>
        <w:rPr>
          <w:rFonts w:ascii="Arial" w:hAnsi="Arial" w:cs="Arial"/>
          <w:sz w:val="20"/>
          <w:szCs w:val="20"/>
        </w:rPr>
        <w:t xml:space="preserve">, which also falls below the EMT Minimum Premium, therefore the </w:t>
      </w:r>
      <w:r w:rsidRPr="008F55F3">
        <w:rPr>
          <w:rFonts w:ascii="Arial" w:hAnsi="Arial" w:cs="Arial"/>
          <w:sz w:val="20"/>
          <w:szCs w:val="20"/>
        </w:rPr>
        <w:t xml:space="preserve">$250 </w:t>
      </w:r>
      <w:r>
        <w:rPr>
          <w:rFonts w:ascii="Arial" w:hAnsi="Arial" w:cs="Arial"/>
          <w:sz w:val="20"/>
          <w:szCs w:val="20"/>
        </w:rPr>
        <w:t>EMT Minimum Premium</w:t>
      </w:r>
      <w:r w:rsidRPr="008F55F3">
        <w:rPr>
          <w:rFonts w:ascii="Arial" w:hAnsi="Arial" w:cs="Arial"/>
          <w:sz w:val="20"/>
          <w:szCs w:val="20"/>
        </w:rPr>
        <w:t xml:space="preserve"> is charged.  The account would</w:t>
      </w:r>
      <w:r>
        <w:rPr>
          <w:rFonts w:ascii="Arial" w:hAnsi="Arial" w:cs="Arial"/>
          <w:sz w:val="20"/>
          <w:szCs w:val="20"/>
        </w:rPr>
        <w:t xml:space="preserve"> therefore</w:t>
      </w:r>
      <w:r w:rsidRPr="008F55F3">
        <w:rPr>
          <w:rFonts w:ascii="Arial" w:hAnsi="Arial" w:cs="Arial"/>
          <w:sz w:val="20"/>
          <w:szCs w:val="20"/>
        </w:rPr>
        <w:t xml:space="preserve"> pay $450 for the endorsement.</w:t>
      </w:r>
    </w:p>
    <w:sectPr w:rsidR="00ED3339" w:rsidRPr="00D84FF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48" w:rsidRDefault="00422F48" w:rsidP="00A17211">
      <w:pPr>
        <w:spacing w:after="0" w:line="240" w:lineRule="auto"/>
      </w:pPr>
      <w:r>
        <w:separator/>
      </w:r>
    </w:p>
  </w:endnote>
  <w:endnote w:type="continuationSeparator" w:id="0">
    <w:p w:rsidR="00422F48" w:rsidRDefault="00422F48" w:rsidP="00A17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F48" w:rsidRDefault="00422F4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48" w:rsidRDefault="00422F48" w:rsidP="00A17211">
      <w:pPr>
        <w:spacing w:after="0" w:line="240" w:lineRule="auto"/>
      </w:pPr>
      <w:r>
        <w:separator/>
      </w:r>
    </w:p>
  </w:footnote>
  <w:footnote w:type="continuationSeparator" w:id="0">
    <w:p w:rsidR="00422F48" w:rsidRDefault="00422F48" w:rsidP="00A17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F48" w:rsidRPr="008F55F3" w:rsidRDefault="00422F48" w:rsidP="00A17211">
    <w:pPr>
      <w:pStyle w:val="Header"/>
      <w:jc w:val="center"/>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364DB"/>
    <w:multiLevelType w:val="hybridMultilevel"/>
    <w:tmpl w:val="0844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AE"/>
    <w:rsid w:val="00031841"/>
    <w:rsid w:val="000357E0"/>
    <w:rsid w:val="00036E51"/>
    <w:rsid w:val="00052902"/>
    <w:rsid w:val="0006517D"/>
    <w:rsid w:val="00071D2F"/>
    <w:rsid w:val="00122429"/>
    <w:rsid w:val="001511EF"/>
    <w:rsid w:val="0016336B"/>
    <w:rsid w:val="001A16BB"/>
    <w:rsid w:val="00212BED"/>
    <w:rsid w:val="002624B5"/>
    <w:rsid w:val="002D1086"/>
    <w:rsid w:val="003258C2"/>
    <w:rsid w:val="00331B7A"/>
    <w:rsid w:val="00352DC0"/>
    <w:rsid w:val="003A7C50"/>
    <w:rsid w:val="00414A21"/>
    <w:rsid w:val="00422F48"/>
    <w:rsid w:val="004B3EBD"/>
    <w:rsid w:val="005E0D3D"/>
    <w:rsid w:val="005F0FC2"/>
    <w:rsid w:val="00610076"/>
    <w:rsid w:val="0061025E"/>
    <w:rsid w:val="006F72D7"/>
    <w:rsid w:val="007204AB"/>
    <w:rsid w:val="007720D8"/>
    <w:rsid w:val="007C3A63"/>
    <w:rsid w:val="007D07EF"/>
    <w:rsid w:val="007F663E"/>
    <w:rsid w:val="008B692C"/>
    <w:rsid w:val="008F55F3"/>
    <w:rsid w:val="0093720A"/>
    <w:rsid w:val="00976791"/>
    <w:rsid w:val="00981FC4"/>
    <w:rsid w:val="00A07B37"/>
    <w:rsid w:val="00A14D17"/>
    <w:rsid w:val="00A17211"/>
    <w:rsid w:val="00B03447"/>
    <w:rsid w:val="00B34545"/>
    <w:rsid w:val="00B80554"/>
    <w:rsid w:val="00C07E22"/>
    <w:rsid w:val="00C92E7F"/>
    <w:rsid w:val="00C95258"/>
    <w:rsid w:val="00CE195A"/>
    <w:rsid w:val="00D434F2"/>
    <w:rsid w:val="00D57ED6"/>
    <w:rsid w:val="00D84FFE"/>
    <w:rsid w:val="00E07F59"/>
    <w:rsid w:val="00EC1412"/>
    <w:rsid w:val="00ED3339"/>
    <w:rsid w:val="00F30B1B"/>
    <w:rsid w:val="00F93B65"/>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11"/>
  </w:style>
  <w:style w:type="paragraph" w:styleId="Footer">
    <w:name w:val="footer"/>
    <w:basedOn w:val="Normal"/>
    <w:link w:val="FooterChar"/>
    <w:uiPriority w:val="99"/>
    <w:unhideWhenUsed/>
    <w:rsid w:val="00A17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11"/>
  </w:style>
  <w:style w:type="character" w:styleId="CommentReference">
    <w:name w:val="annotation reference"/>
    <w:basedOn w:val="DefaultParagraphFont"/>
    <w:uiPriority w:val="99"/>
    <w:semiHidden/>
    <w:unhideWhenUsed/>
    <w:rsid w:val="00031841"/>
    <w:rPr>
      <w:sz w:val="16"/>
      <w:szCs w:val="16"/>
    </w:rPr>
  </w:style>
  <w:style w:type="paragraph" w:styleId="CommentText">
    <w:name w:val="annotation text"/>
    <w:basedOn w:val="Normal"/>
    <w:link w:val="CommentTextChar"/>
    <w:uiPriority w:val="99"/>
    <w:semiHidden/>
    <w:unhideWhenUsed/>
    <w:rsid w:val="00031841"/>
    <w:pPr>
      <w:spacing w:line="240" w:lineRule="auto"/>
    </w:pPr>
    <w:rPr>
      <w:sz w:val="20"/>
      <w:szCs w:val="20"/>
    </w:rPr>
  </w:style>
  <w:style w:type="character" w:customStyle="1" w:styleId="CommentTextChar">
    <w:name w:val="Comment Text Char"/>
    <w:basedOn w:val="DefaultParagraphFont"/>
    <w:link w:val="CommentText"/>
    <w:uiPriority w:val="99"/>
    <w:semiHidden/>
    <w:rsid w:val="00031841"/>
    <w:rPr>
      <w:sz w:val="20"/>
      <w:szCs w:val="20"/>
    </w:rPr>
  </w:style>
  <w:style w:type="paragraph" w:styleId="CommentSubject">
    <w:name w:val="annotation subject"/>
    <w:basedOn w:val="CommentText"/>
    <w:next w:val="CommentText"/>
    <w:link w:val="CommentSubjectChar"/>
    <w:uiPriority w:val="99"/>
    <w:semiHidden/>
    <w:unhideWhenUsed/>
    <w:rsid w:val="00031841"/>
    <w:rPr>
      <w:b/>
      <w:bCs/>
    </w:rPr>
  </w:style>
  <w:style w:type="character" w:customStyle="1" w:styleId="CommentSubjectChar">
    <w:name w:val="Comment Subject Char"/>
    <w:basedOn w:val="CommentTextChar"/>
    <w:link w:val="CommentSubject"/>
    <w:uiPriority w:val="99"/>
    <w:semiHidden/>
    <w:rsid w:val="00031841"/>
    <w:rPr>
      <w:b/>
      <w:bCs/>
      <w:sz w:val="20"/>
      <w:szCs w:val="20"/>
    </w:rPr>
  </w:style>
  <w:style w:type="paragraph" w:styleId="BalloonText">
    <w:name w:val="Balloon Text"/>
    <w:basedOn w:val="Normal"/>
    <w:link w:val="BalloonTextChar"/>
    <w:uiPriority w:val="99"/>
    <w:semiHidden/>
    <w:unhideWhenUsed/>
    <w:rsid w:val="00031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41"/>
    <w:rPr>
      <w:rFonts w:ascii="Tahoma" w:hAnsi="Tahoma" w:cs="Tahoma"/>
      <w:sz w:val="16"/>
      <w:szCs w:val="16"/>
    </w:rPr>
  </w:style>
  <w:style w:type="paragraph" w:styleId="ListParagraph">
    <w:name w:val="List Paragraph"/>
    <w:basedOn w:val="Normal"/>
    <w:uiPriority w:val="34"/>
    <w:qFormat/>
    <w:rsid w:val="005F0FC2"/>
    <w:pPr>
      <w:ind w:left="720"/>
      <w:contextualSpacing/>
    </w:pPr>
  </w:style>
  <w:style w:type="paragraph" w:styleId="BodyText">
    <w:name w:val="Body Text"/>
    <w:basedOn w:val="Normal"/>
    <w:link w:val="BodyTextChar"/>
    <w:uiPriority w:val="1"/>
    <w:qFormat/>
    <w:rsid w:val="00036E51"/>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036E51"/>
    <w:rPr>
      <w:rFonts w:ascii="Calibri" w:eastAsia="Calibri" w:hAnsi="Calibri"/>
    </w:rPr>
  </w:style>
  <w:style w:type="table" w:styleId="TableGrid">
    <w:name w:val="Table Grid"/>
    <w:basedOn w:val="TableNormal"/>
    <w:uiPriority w:val="59"/>
    <w:rsid w:val="007D0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F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11"/>
  </w:style>
  <w:style w:type="paragraph" w:styleId="Footer">
    <w:name w:val="footer"/>
    <w:basedOn w:val="Normal"/>
    <w:link w:val="FooterChar"/>
    <w:uiPriority w:val="99"/>
    <w:unhideWhenUsed/>
    <w:rsid w:val="00A17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11"/>
  </w:style>
  <w:style w:type="character" w:styleId="CommentReference">
    <w:name w:val="annotation reference"/>
    <w:basedOn w:val="DefaultParagraphFont"/>
    <w:uiPriority w:val="99"/>
    <w:semiHidden/>
    <w:unhideWhenUsed/>
    <w:rsid w:val="00031841"/>
    <w:rPr>
      <w:sz w:val="16"/>
      <w:szCs w:val="16"/>
    </w:rPr>
  </w:style>
  <w:style w:type="paragraph" w:styleId="CommentText">
    <w:name w:val="annotation text"/>
    <w:basedOn w:val="Normal"/>
    <w:link w:val="CommentTextChar"/>
    <w:uiPriority w:val="99"/>
    <w:semiHidden/>
    <w:unhideWhenUsed/>
    <w:rsid w:val="00031841"/>
    <w:pPr>
      <w:spacing w:line="240" w:lineRule="auto"/>
    </w:pPr>
    <w:rPr>
      <w:sz w:val="20"/>
      <w:szCs w:val="20"/>
    </w:rPr>
  </w:style>
  <w:style w:type="character" w:customStyle="1" w:styleId="CommentTextChar">
    <w:name w:val="Comment Text Char"/>
    <w:basedOn w:val="DefaultParagraphFont"/>
    <w:link w:val="CommentText"/>
    <w:uiPriority w:val="99"/>
    <w:semiHidden/>
    <w:rsid w:val="00031841"/>
    <w:rPr>
      <w:sz w:val="20"/>
      <w:szCs w:val="20"/>
    </w:rPr>
  </w:style>
  <w:style w:type="paragraph" w:styleId="CommentSubject">
    <w:name w:val="annotation subject"/>
    <w:basedOn w:val="CommentText"/>
    <w:next w:val="CommentText"/>
    <w:link w:val="CommentSubjectChar"/>
    <w:uiPriority w:val="99"/>
    <w:semiHidden/>
    <w:unhideWhenUsed/>
    <w:rsid w:val="00031841"/>
    <w:rPr>
      <w:b/>
      <w:bCs/>
    </w:rPr>
  </w:style>
  <w:style w:type="character" w:customStyle="1" w:styleId="CommentSubjectChar">
    <w:name w:val="Comment Subject Char"/>
    <w:basedOn w:val="CommentTextChar"/>
    <w:link w:val="CommentSubject"/>
    <w:uiPriority w:val="99"/>
    <w:semiHidden/>
    <w:rsid w:val="00031841"/>
    <w:rPr>
      <w:b/>
      <w:bCs/>
      <w:sz w:val="20"/>
      <w:szCs w:val="20"/>
    </w:rPr>
  </w:style>
  <w:style w:type="paragraph" w:styleId="BalloonText">
    <w:name w:val="Balloon Text"/>
    <w:basedOn w:val="Normal"/>
    <w:link w:val="BalloonTextChar"/>
    <w:uiPriority w:val="99"/>
    <w:semiHidden/>
    <w:unhideWhenUsed/>
    <w:rsid w:val="00031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41"/>
    <w:rPr>
      <w:rFonts w:ascii="Tahoma" w:hAnsi="Tahoma" w:cs="Tahoma"/>
      <w:sz w:val="16"/>
      <w:szCs w:val="16"/>
    </w:rPr>
  </w:style>
  <w:style w:type="paragraph" w:styleId="ListParagraph">
    <w:name w:val="List Paragraph"/>
    <w:basedOn w:val="Normal"/>
    <w:uiPriority w:val="34"/>
    <w:qFormat/>
    <w:rsid w:val="005F0FC2"/>
    <w:pPr>
      <w:ind w:left="720"/>
      <w:contextualSpacing/>
    </w:pPr>
  </w:style>
  <w:style w:type="paragraph" w:styleId="BodyText">
    <w:name w:val="Body Text"/>
    <w:basedOn w:val="Normal"/>
    <w:link w:val="BodyTextChar"/>
    <w:uiPriority w:val="1"/>
    <w:qFormat/>
    <w:rsid w:val="00036E51"/>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036E51"/>
    <w:rPr>
      <w:rFonts w:ascii="Calibri" w:eastAsia="Calibri" w:hAnsi="Calibri"/>
    </w:rPr>
  </w:style>
  <w:style w:type="table" w:styleId="TableGrid">
    <w:name w:val="Table Grid"/>
    <w:basedOn w:val="TableNormal"/>
    <w:uiPriority w:val="59"/>
    <w:rsid w:val="007D0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F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8434">
      <w:bodyDiv w:val="1"/>
      <w:marLeft w:val="0"/>
      <w:marRight w:val="0"/>
      <w:marTop w:val="0"/>
      <w:marBottom w:val="0"/>
      <w:divBdr>
        <w:top w:val="none" w:sz="0" w:space="0" w:color="auto"/>
        <w:left w:val="none" w:sz="0" w:space="0" w:color="auto"/>
        <w:bottom w:val="none" w:sz="0" w:space="0" w:color="auto"/>
        <w:right w:val="none" w:sz="0" w:space="0" w:color="auto"/>
      </w:divBdr>
    </w:div>
    <w:div w:id="203105801">
      <w:bodyDiv w:val="1"/>
      <w:marLeft w:val="0"/>
      <w:marRight w:val="0"/>
      <w:marTop w:val="0"/>
      <w:marBottom w:val="0"/>
      <w:divBdr>
        <w:top w:val="none" w:sz="0" w:space="0" w:color="auto"/>
        <w:left w:val="none" w:sz="0" w:space="0" w:color="auto"/>
        <w:bottom w:val="none" w:sz="0" w:space="0" w:color="auto"/>
        <w:right w:val="none" w:sz="0" w:space="0" w:color="auto"/>
      </w:divBdr>
    </w:div>
    <w:div w:id="388456807">
      <w:bodyDiv w:val="1"/>
      <w:marLeft w:val="0"/>
      <w:marRight w:val="0"/>
      <w:marTop w:val="0"/>
      <w:marBottom w:val="0"/>
      <w:divBdr>
        <w:top w:val="none" w:sz="0" w:space="0" w:color="auto"/>
        <w:left w:val="none" w:sz="0" w:space="0" w:color="auto"/>
        <w:bottom w:val="none" w:sz="0" w:space="0" w:color="auto"/>
        <w:right w:val="none" w:sz="0" w:space="0" w:color="auto"/>
      </w:divBdr>
    </w:div>
    <w:div w:id="447940406">
      <w:bodyDiv w:val="1"/>
      <w:marLeft w:val="0"/>
      <w:marRight w:val="0"/>
      <w:marTop w:val="0"/>
      <w:marBottom w:val="0"/>
      <w:divBdr>
        <w:top w:val="none" w:sz="0" w:space="0" w:color="auto"/>
        <w:left w:val="none" w:sz="0" w:space="0" w:color="auto"/>
        <w:bottom w:val="none" w:sz="0" w:space="0" w:color="auto"/>
        <w:right w:val="none" w:sz="0" w:space="0" w:color="auto"/>
      </w:divBdr>
    </w:div>
    <w:div w:id="638609264">
      <w:bodyDiv w:val="1"/>
      <w:marLeft w:val="0"/>
      <w:marRight w:val="0"/>
      <w:marTop w:val="0"/>
      <w:marBottom w:val="0"/>
      <w:divBdr>
        <w:top w:val="none" w:sz="0" w:space="0" w:color="auto"/>
        <w:left w:val="none" w:sz="0" w:space="0" w:color="auto"/>
        <w:bottom w:val="none" w:sz="0" w:space="0" w:color="auto"/>
        <w:right w:val="none" w:sz="0" w:space="0" w:color="auto"/>
      </w:divBdr>
    </w:div>
    <w:div w:id="883520005">
      <w:bodyDiv w:val="1"/>
      <w:marLeft w:val="0"/>
      <w:marRight w:val="0"/>
      <w:marTop w:val="0"/>
      <w:marBottom w:val="0"/>
      <w:divBdr>
        <w:top w:val="none" w:sz="0" w:space="0" w:color="auto"/>
        <w:left w:val="none" w:sz="0" w:space="0" w:color="auto"/>
        <w:bottom w:val="none" w:sz="0" w:space="0" w:color="auto"/>
        <w:right w:val="none" w:sz="0" w:space="0" w:color="auto"/>
      </w:divBdr>
    </w:div>
    <w:div w:id="952594231">
      <w:bodyDiv w:val="1"/>
      <w:marLeft w:val="0"/>
      <w:marRight w:val="0"/>
      <w:marTop w:val="0"/>
      <w:marBottom w:val="0"/>
      <w:divBdr>
        <w:top w:val="none" w:sz="0" w:space="0" w:color="auto"/>
        <w:left w:val="none" w:sz="0" w:space="0" w:color="auto"/>
        <w:bottom w:val="none" w:sz="0" w:space="0" w:color="auto"/>
        <w:right w:val="none" w:sz="0" w:space="0" w:color="auto"/>
      </w:divBdr>
    </w:div>
    <w:div w:id="1292008268">
      <w:bodyDiv w:val="1"/>
      <w:marLeft w:val="0"/>
      <w:marRight w:val="0"/>
      <w:marTop w:val="0"/>
      <w:marBottom w:val="0"/>
      <w:divBdr>
        <w:top w:val="none" w:sz="0" w:space="0" w:color="auto"/>
        <w:left w:val="none" w:sz="0" w:space="0" w:color="auto"/>
        <w:bottom w:val="none" w:sz="0" w:space="0" w:color="auto"/>
        <w:right w:val="none" w:sz="0" w:space="0" w:color="auto"/>
      </w:divBdr>
    </w:div>
    <w:div w:id="1380127380">
      <w:bodyDiv w:val="1"/>
      <w:marLeft w:val="0"/>
      <w:marRight w:val="0"/>
      <w:marTop w:val="0"/>
      <w:marBottom w:val="0"/>
      <w:divBdr>
        <w:top w:val="none" w:sz="0" w:space="0" w:color="auto"/>
        <w:left w:val="none" w:sz="0" w:space="0" w:color="auto"/>
        <w:bottom w:val="none" w:sz="0" w:space="0" w:color="auto"/>
        <w:right w:val="none" w:sz="0" w:space="0" w:color="auto"/>
      </w:divBdr>
    </w:div>
    <w:div w:id="1482965345">
      <w:bodyDiv w:val="1"/>
      <w:marLeft w:val="0"/>
      <w:marRight w:val="0"/>
      <w:marTop w:val="0"/>
      <w:marBottom w:val="0"/>
      <w:divBdr>
        <w:top w:val="none" w:sz="0" w:space="0" w:color="auto"/>
        <w:left w:val="none" w:sz="0" w:space="0" w:color="auto"/>
        <w:bottom w:val="none" w:sz="0" w:space="0" w:color="auto"/>
        <w:right w:val="none" w:sz="0" w:space="0" w:color="auto"/>
      </w:divBdr>
    </w:div>
    <w:div w:id="1582371410">
      <w:bodyDiv w:val="1"/>
      <w:marLeft w:val="0"/>
      <w:marRight w:val="0"/>
      <w:marTop w:val="0"/>
      <w:marBottom w:val="0"/>
      <w:divBdr>
        <w:top w:val="none" w:sz="0" w:space="0" w:color="auto"/>
        <w:left w:val="none" w:sz="0" w:space="0" w:color="auto"/>
        <w:bottom w:val="none" w:sz="0" w:space="0" w:color="auto"/>
        <w:right w:val="none" w:sz="0" w:space="0" w:color="auto"/>
      </w:divBdr>
    </w:div>
    <w:div w:id="170682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DFD20-1F3D-4E97-B6C6-F10EE2098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Hennessey, Gail</cp:lastModifiedBy>
  <cp:revision>3</cp:revision>
  <cp:lastPrinted>2017-03-21T14:49:00Z</cp:lastPrinted>
  <dcterms:created xsi:type="dcterms:W3CDTF">2017-05-23T15:45:00Z</dcterms:created>
  <dcterms:modified xsi:type="dcterms:W3CDTF">2017-05-23T16:03:00Z</dcterms:modified>
</cp:coreProperties>
</file>