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7A" w:rsidRDefault="00036E51" w:rsidP="00036E5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The referenced companies are</w:t>
      </w:r>
      <w:r w:rsidR="00ED3339" w:rsidRPr="00976791">
        <w:rPr>
          <w:rFonts w:ascii="Arial" w:hAnsi="Arial" w:cs="Arial"/>
          <w:sz w:val="20"/>
          <w:szCs w:val="20"/>
        </w:rPr>
        <w:t xml:space="preserve"> introducin</w:t>
      </w:r>
      <w:r w:rsidR="00ED3339" w:rsidRPr="007D07EF">
        <w:rPr>
          <w:rFonts w:ascii="Arial" w:hAnsi="Arial" w:cs="Arial"/>
          <w:sz w:val="20"/>
          <w:szCs w:val="20"/>
        </w:rPr>
        <w:t xml:space="preserve">g the Public Entity </w:t>
      </w:r>
      <w:proofErr w:type="gramStart"/>
      <w:r w:rsidR="00ED3339" w:rsidRPr="007D07EF">
        <w:rPr>
          <w:rFonts w:ascii="Arial" w:hAnsi="Arial" w:cs="Arial"/>
          <w:sz w:val="20"/>
          <w:szCs w:val="20"/>
        </w:rPr>
        <w:t>Program which</w:t>
      </w:r>
      <w:proofErr w:type="gramEnd"/>
      <w:r w:rsidR="00ED3339" w:rsidRPr="007D07EF">
        <w:rPr>
          <w:rFonts w:ascii="Arial" w:hAnsi="Arial" w:cs="Arial"/>
          <w:sz w:val="20"/>
          <w:szCs w:val="20"/>
        </w:rPr>
        <w:t xml:space="preserve"> em</w:t>
      </w:r>
      <w:r w:rsidR="00ED3339" w:rsidRPr="00976791">
        <w:rPr>
          <w:rFonts w:ascii="Arial" w:hAnsi="Arial" w:cs="Arial"/>
          <w:sz w:val="20"/>
          <w:szCs w:val="20"/>
        </w:rPr>
        <w:t>ploys a combination of I</w:t>
      </w:r>
      <w:r w:rsidR="00610076" w:rsidRPr="00976791">
        <w:rPr>
          <w:rFonts w:ascii="Arial" w:hAnsi="Arial" w:cs="Arial"/>
          <w:sz w:val="20"/>
          <w:szCs w:val="20"/>
        </w:rPr>
        <w:t xml:space="preserve">SO and independent forms </w:t>
      </w:r>
      <w:r w:rsidR="00ED3339" w:rsidRPr="00976791">
        <w:rPr>
          <w:rFonts w:ascii="Arial" w:hAnsi="Arial" w:cs="Arial"/>
          <w:sz w:val="20"/>
          <w:szCs w:val="20"/>
        </w:rPr>
        <w:t xml:space="preserve">and rules. </w:t>
      </w:r>
      <w:r w:rsidR="00B80554" w:rsidRPr="00B80554">
        <w:rPr>
          <w:rFonts w:ascii="Arial" w:hAnsi="Arial" w:cs="Arial"/>
          <w:sz w:val="20"/>
          <w:szCs w:val="20"/>
        </w:rPr>
        <w:t xml:space="preserve">These new endorsements </w:t>
      </w:r>
      <w:proofErr w:type="gramStart"/>
      <w:r w:rsidR="00B80554" w:rsidRPr="00B80554">
        <w:rPr>
          <w:rFonts w:ascii="Arial" w:hAnsi="Arial" w:cs="Arial"/>
          <w:sz w:val="20"/>
          <w:szCs w:val="20"/>
        </w:rPr>
        <w:t>are used</w:t>
      </w:r>
      <w:proofErr w:type="gramEnd"/>
      <w:r w:rsidR="00B80554" w:rsidRPr="00B80554">
        <w:rPr>
          <w:rFonts w:ascii="Arial" w:hAnsi="Arial" w:cs="Arial"/>
          <w:sz w:val="20"/>
          <w:szCs w:val="20"/>
        </w:rPr>
        <w:t xml:space="preserve"> in conjunction with our previously approved ISO forms and endorsements</w:t>
      </w:r>
      <w:r>
        <w:rPr>
          <w:rFonts w:ascii="Arial" w:hAnsi="Arial" w:cs="Arial"/>
          <w:sz w:val="20"/>
          <w:szCs w:val="20"/>
        </w:rPr>
        <w:t>.</w:t>
      </w:r>
      <w:r w:rsidR="00B80554" w:rsidRPr="00B80554">
        <w:rPr>
          <w:rFonts w:ascii="Arial" w:hAnsi="Arial" w:cs="Arial"/>
          <w:sz w:val="20"/>
          <w:szCs w:val="20"/>
        </w:rPr>
        <w:t xml:space="preserve"> </w:t>
      </w:r>
      <w:r w:rsidR="00331B7A" w:rsidRPr="00331B7A">
        <w:rPr>
          <w:rFonts w:ascii="Arial" w:hAnsi="Arial" w:cs="Arial"/>
          <w:sz w:val="20"/>
          <w:szCs w:val="20"/>
        </w:rPr>
        <w:t>The Public Entity product targets public risks including, but not limited to, municipalities, counties, special districts, and schools.</w:t>
      </w:r>
      <w:r>
        <w:rPr>
          <w:rFonts w:ascii="Arial" w:hAnsi="Arial" w:cs="Arial"/>
          <w:sz w:val="20"/>
          <w:szCs w:val="20"/>
        </w:rPr>
        <w:t xml:space="preserve">   </w:t>
      </w:r>
      <w:r w:rsidR="00B80554" w:rsidRPr="00B80554">
        <w:rPr>
          <w:rFonts w:ascii="Arial" w:hAnsi="Arial" w:cs="Arial"/>
          <w:sz w:val="20"/>
          <w:szCs w:val="20"/>
        </w:rPr>
        <w:t xml:space="preserve">The purpose of this filing is to provide tailored coverage enhancements to </w:t>
      </w:r>
      <w:r w:rsidR="00331B7A">
        <w:rPr>
          <w:rFonts w:ascii="Arial" w:hAnsi="Arial" w:cs="Arial"/>
          <w:sz w:val="20"/>
          <w:szCs w:val="20"/>
        </w:rPr>
        <w:t>the</w:t>
      </w:r>
      <w:r w:rsidR="00B80554" w:rsidRPr="00B80554">
        <w:rPr>
          <w:rFonts w:ascii="Arial" w:hAnsi="Arial" w:cs="Arial"/>
          <w:sz w:val="20"/>
          <w:szCs w:val="20"/>
        </w:rPr>
        <w:t xml:space="preserve"> </w:t>
      </w:r>
      <w:r w:rsidR="00331B7A">
        <w:rPr>
          <w:rFonts w:ascii="Arial" w:hAnsi="Arial" w:cs="Arial"/>
          <w:sz w:val="20"/>
          <w:szCs w:val="20"/>
        </w:rPr>
        <w:t xml:space="preserve">General Liability Coverage </w:t>
      </w:r>
      <w:r w:rsidR="00D84FFE">
        <w:rPr>
          <w:rFonts w:ascii="Arial" w:hAnsi="Arial" w:cs="Arial"/>
          <w:sz w:val="20"/>
          <w:szCs w:val="20"/>
        </w:rPr>
        <w:t xml:space="preserve">form to meet the insurance needs of </w:t>
      </w:r>
      <w:r w:rsidR="00331B7A">
        <w:rPr>
          <w:rFonts w:ascii="Arial" w:hAnsi="Arial" w:cs="Arial"/>
          <w:sz w:val="20"/>
          <w:szCs w:val="20"/>
        </w:rPr>
        <w:t>those entities</w:t>
      </w:r>
      <w:r w:rsidR="00D84FFE">
        <w:rPr>
          <w:rFonts w:ascii="Arial" w:hAnsi="Arial" w:cs="Arial"/>
          <w:sz w:val="20"/>
          <w:szCs w:val="20"/>
        </w:rPr>
        <w:t>.</w:t>
      </w:r>
    </w:p>
    <w:p w:rsidR="00D84FFE" w:rsidRDefault="00331B7A" w:rsidP="00036E5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p>
    <w:p w:rsidR="00ED3339" w:rsidRPr="00976791" w:rsidRDefault="00ED3339" w:rsidP="00036E51">
      <w:pPr>
        <w:autoSpaceDE w:val="0"/>
        <w:autoSpaceDN w:val="0"/>
        <w:adjustRightInd w:val="0"/>
        <w:spacing w:after="0" w:line="240" w:lineRule="auto"/>
        <w:jc w:val="both"/>
        <w:rPr>
          <w:rFonts w:ascii="Arial" w:eastAsia="Calibri" w:hAnsi="Arial" w:cs="Arial"/>
          <w:color w:val="231F20"/>
          <w:sz w:val="20"/>
          <w:szCs w:val="20"/>
        </w:rPr>
      </w:pPr>
      <w:r w:rsidRPr="00036E51">
        <w:rPr>
          <w:rFonts w:ascii="Arial" w:eastAsia="Calibri" w:hAnsi="Arial" w:cs="Arial"/>
          <w:color w:val="231F20"/>
          <w:sz w:val="20"/>
          <w:szCs w:val="20"/>
        </w:rPr>
        <w:t xml:space="preserve">The Companies are proposing a risk quality factor pricing structure for the commercial </w:t>
      </w:r>
      <w:r w:rsidR="005F0FC2" w:rsidRPr="00036E51">
        <w:rPr>
          <w:rFonts w:ascii="Arial" w:eastAsia="Calibri" w:hAnsi="Arial" w:cs="Arial"/>
          <w:color w:val="231F20"/>
          <w:sz w:val="20"/>
          <w:szCs w:val="20"/>
        </w:rPr>
        <w:t>general liability</w:t>
      </w:r>
      <w:r w:rsidRPr="00036E51">
        <w:rPr>
          <w:rFonts w:ascii="Arial" w:eastAsia="Calibri" w:hAnsi="Arial" w:cs="Arial"/>
          <w:color w:val="231F20"/>
          <w:sz w:val="20"/>
          <w:szCs w:val="20"/>
        </w:rPr>
        <w:t xml:space="preserve"> coverage to contemplate the unique risk characteri</w:t>
      </w:r>
      <w:r w:rsidR="005F0FC2" w:rsidRPr="00036E51">
        <w:rPr>
          <w:rFonts w:ascii="Arial" w:eastAsia="Calibri" w:hAnsi="Arial" w:cs="Arial"/>
          <w:color w:val="231F20"/>
          <w:sz w:val="20"/>
          <w:szCs w:val="20"/>
        </w:rPr>
        <w:t>stics found in qualifying public entities</w:t>
      </w:r>
      <w:r w:rsidRPr="00036E51">
        <w:rPr>
          <w:rFonts w:ascii="Arial" w:eastAsia="Calibri" w:hAnsi="Arial" w:cs="Arial"/>
          <w:color w:val="231F20"/>
          <w:sz w:val="20"/>
          <w:szCs w:val="20"/>
        </w:rPr>
        <w:t>.</w:t>
      </w:r>
      <w:r w:rsidR="00036E51" w:rsidRPr="00036E51">
        <w:rPr>
          <w:rFonts w:ascii="Arial" w:eastAsia="Calibri" w:hAnsi="Arial" w:cs="Arial"/>
          <w:color w:val="231F20"/>
          <w:sz w:val="20"/>
          <w:szCs w:val="20"/>
        </w:rPr>
        <w:t xml:space="preserve"> </w:t>
      </w:r>
      <w:r w:rsidR="001A16BB" w:rsidRPr="00036E51">
        <w:rPr>
          <w:rFonts w:ascii="Arial" w:eastAsia="Calibri" w:hAnsi="Arial" w:cs="Arial"/>
          <w:color w:val="231F20"/>
          <w:sz w:val="20"/>
          <w:szCs w:val="20"/>
        </w:rPr>
        <w:t>Loss Costs and rates published by Insurance Services Office (ISO) are average</w:t>
      </w:r>
      <w:r w:rsidR="0061025E">
        <w:rPr>
          <w:rFonts w:ascii="Arial" w:eastAsia="Calibri" w:hAnsi="Arial" w:cs="Arial"/>
          <w:color w:val="231F20"/>
          <w:sz w:val="20"/>
          <w:szCs w:val="20"/>
        </w:rPr>
        <w:t>s</w:t>
      </w:r>
      <w:r w:rsidR="00212BED">
        <w:rPr>
          <w:rFonts w:ascii="Arial" w:eastAsia="Calibri" w:hAnsi="Arial" w:cs="Arial"/>
          <w:color w:val="231F20"/>
          <w:sz w:val="20"/>
          <w:szCs w:val="20"/>
        </w:rPr>
        <w:t xml:space="preserve">: </w:t>
      </w:r>
      <w:r w:rsidR="001A16BB" w:rsidRPr="00036E51">
        <w:rPr>
          <w:rFonts w:ascii="Arial" w:eastAsia="Calibri" w:hAnsi="Arial" w:cs="Arial"/>
          <w:color w:val="231F20"/>
          <w:sz w:val="20"/>
          <w:szCs w:val="20"/>
        </w:rPr>
        <w:t>developed by the sum of all commercial general liability across all territories and segments of business in the state.</w:t>
      </w:r>
      <w:r w:rsidR="001A16BB">
        <w:rPr>
          <w:rFonts w:ascii="Arial" w:eastAsia="Calibri" w:hAnsi="Arial" w:cs="Arial"/>
          <w:color w:val="231F20"/>
          <w:sz w:val="20"/>
          <w:szCs w:val="20"/>
        </w:rPr>
        <w:t xml:space="preserve"> </w:t>
      </w:r>
      <w:r w:rsidR="00F30B1B">
        <w:rPr>
          <w:rFonts w:ascii="Arial" w:eastAsia="Calibri" w:hAnsi="Arial" w:cs="Arial"/>
          <w:color w:val="231F20"/>
          <w:sz w:val="20"/>
          <w:szCs w:val="20"/>
        </w:rPr>
        <w:t xml:space="preserve"> </w:t>
      </w:r>
      <w:r w:rsidR="001A16BB" w:rsidRPr="00036E51">
        <w:rPr>
          <w:rFonts w:ascii="Arial" w:eastAsia="Calibri" w:hAnsi="Arial" w:cs="Arial"/>
          <w:color w:val="231F20"/>
          <w:sz w:val="20"/>
          <w:szCs w:val="20"/>
        </w:rPr>
        <w:t xml:space="preserve">As such, we do not believe the unique or specific implementation of distinctive management techniques, loss prevention, or other safety measures specific to public entities </w:t>
      </w:r>
      <w:proofErr w:type="gramStart"/>
      <w:r w:rsidR="001A16BB" w:rsidRPr="00036E51">
        <w:rPr>
          <w:rFonts w:ascii="Arial" w:eastAsia="Calibri" w:hAnsi="Arial" w:cs="Arial"/>
          <w:color w:val="231F20"/>
          <w:sz w:val="20"/>
          <w:szCs w:val="20"/>
        </w:rPr>
        <w:t>are adequately reflected</w:t>
      </w:r>
      <w:proofErr w:type="gramEnd"/>
      <w:r w:rsidR="001A16BB" w:rsidRPr="00036E51">
        <w:rPr>
          <w:rFonts w:ascii="Arial" w:eastAsia="Calibri" w:hAnsi="Arial" w:cs="Arial"/>
          <w:color w:val="231F20"/>
          <w:sz w:val="20"/>
          <w:szCs w:val="20"/>
        </w:rPr>
        <w:t xml:space="preserve"> in the ISO loss costs and merit consideration through the risk quality factor we are proposing.</w:t>
      </w:r>
      <w:r w:rsidR="001A16BB">
        <w:rPr>
          <w:rFonts w:ascii="Arial" w:eastAsia="Calibri" w:hAnsi="Arial" w:cs="Arial"/>
          <w:color w:val="231F20"/>
          <w:sz w:val="20"/>
          <w:szCs w:val="20"/>
        </w:rPr>
        <w:t xml:space="preserve"> </w:t>
      </w:r>
      <w:r w:rsidR="00036E51" w:rsidRPr="00036E51">
        <w:rPr>
          <w:rFonts w:ascii="Arial" w:eastAsia="Calibri" w:hAnsi="Arial" w:cs="Arial"/>
          <w:color w:val="231F20"/>
          <w:sz w:val="20"/>
          <w:szCs w:val="20"/>
        </w:rPr>
        <w:t xml:space="preserve">The Program will contemplate </w:t>
      </w:r>
      <w:r w:rsidR="00212BED">
        <w:rPr>
          <w:rFonts w:ascii="Arial" w:eastAsia="Calibri" w:hAnsi="Arial" w:cs="Arial"/>
          <w:color w:val="231F20"/>
          <w:sz w:val="20"/>
          <w:szCs w:val="20"/>
        </w:rPr>
        <w:t>public entity</w:t>
      </w:r>
      <w:r w:rsidR="00036E51" w:rsidRPr="00036E51">
        <w:rPr>
          <w:rFonts w:ascii="Arial" w:eastAsia="Calibri" w:hAnsi="Arial" w:cs="Arial"/>
          <w:color w:val="231F20"/>
          <w:sz w:val="20"/>
          <w:szCs w:val="20"/>
        </w:rPr>
        <w:t xml:space="preserve"> general liability accounts meeting specific eligibility criteria as described in the accompanying manual rule pages. </w:t>
      </w:r>
      <w:r w:rsidR="00036E51">
        <w:rPr>
          <w:rFonts w:ascii="Arial" w:hAnsi="Arial" w:cs="Arial"/>
          <w:sz w:val="20"/>
          <w:szCs w:val="20"/>
        </w:rPr>
        <w:t xml:space="preserve"> </w:t>
      </w:r>
      <w:r w:rsidR="00F30B1B">
        <w:rPr>
          <w:rFonts w:ascii="Arial" w:hAnsi="Arial" w:cs="Arial"/>
          <w:sz w:val="20"/>
          <w:szCs w:val="20"/>
        </w:rPr>
        <w:t xml:space="preserve"> </w:t>
      </w:r>
      <w:r w:rsidRPr="00976791">
        <w:rPr>
          <w:rFonts w:ascii="Arial" w:eastAsia="Calibri" w:hAnsi="Arial" w:cs="Arial"/>
          <w:color w:val="231F20"/>
          <w:sz w:val="20"/>
          <w:szCs w:val="20"/>
        </w:rPr>
        <w:t xml:space="preserve">The eligible accounts contemplated for commercial </w:t>
      </w:r>
      <w:r w:rsidR="005F0FC2" w:rsidRPr="00976791">
        <w:rPr>
          <w:rFonts w:ascii="Arial" w:eastAsia="Calibri" w:hAnsi="Arial" w:cs="Arial"/>
          <w:color w:val="231F20"/>
          <w:sz w:val="20"/>
          <w:szCs w:val="20"/>
        </w:rPr>
        <w:t>general liability</w:t>
      </w:r>
      <w:r w:rsidRPr="00976791">
        <w:rPr>
          <w:rFonts w:ascii="Arial" w:eastAsia="Calibri" w:hAnsi="Arial" w:cs="Arial"/>
          <w:color w:val="231F20"/>
          <w:sz w:val="20"/>
          <w:szCs w:val="20"/>
        </w:rPr>
        <w:t xml:space="preserve"> coverage </w:t>
      </w:r>
      <w:proofErr w:type="gramStart"/>
      <w:r w:rsidRPr="00976791">
        <w:rPr>
          <w:rFonts w:ascii="Arial" w:eastAsia="Calibri" w:hAnsi="Arial" w:cs="Arial"/>
          <w:color w:val="231F20"/>
          <w:sz w:val="20"/>
          <w:szCs w:val="20"/>
        </w:rPr>
        <w:t>will be evaluated</w:t>
      </w:r>
      <w:proofErr w:type="gramEnd"/>
      <w:r w:rsidRPr="00976791">
        <w:rPr>
          <w:rFonts w:ascii="Arial" w:eastAsia="Calibri" w:hAnsi="Arial" w:cs="Arial"/>
          <w:color w:val="231F20"/>
          <w:sz w:val="20"/>
          <w:szCs w:val="20"/>
        </w:rPr>
        <w:t xml:space="preserve"> by the various risk</w:t>
      </w:r>
      <w:r w:rsidRPr="00976791">
        <w:rPr>
          <w:rFonts w:ascii="Arial" w:eastAsia="Calibri" w:hAnsi="Arial" w:cs="Arial"/>
          <w:color w:val="231F20"/>
          <w:w w:val="99"/>
          <w:sz w:val="20"/>
          <w:szCs w:val="20"/>
        </w:rPr>
        <w:t xml:space="preserve"> </w:t>
      </w:r>
      <w:r w:rsidRPr="00976791">
        <w:rPr>
          <w:rFonts w:ascii="Arial" w:eastAsia="Calibri" w:hAnsi="Arial" w:cs="Arial"/>
          <w:color w:val="231F20"/>
          <w:sz w:val="20"/>
          <w:szCs w:val="20"/>
        </w:rPr>
        <w:t xml:space="preserve">characteristics as outlined in the attached program manual. This </w:t>
      </w:r>
      <w:proofErr w:type="gramStart"/>
      <w:r w:rsidRPr="00976791">
        <w:rPr>
          <w:rFonts w:ascii="Arial" w:eastAsia="Calibri" w:hAnsi="Arial" w:cs="Arial"/>
          <w:color w:val="231F20"/>
          <w:sz w:val="20"/>
          <w:szCs w:val="20"/>
        </w:rPr>
        <w:t>risk quality factor approach</w:t>
      </w:r>
      <w:proofErr w:type="gramEnd"/>
      <w:r w:rsidRPr="00976791">
        <w:rPr>
          <w:rFonts w:ascii="Arial" w:eastAsia="Calibri" w:hAnsi="Arial" w:cs="Arial"/>
          <w:color w:val="231F20"/>
          <w:sz w:val="20"/>
          <w:szCs w:val="20"/>
        </w:rPr>
        <w:t xml:space="preserve"> will assign</w:t>
      </w:r>
      <w:r w:rsidRPr="00976791">
        <w:rPr>
          <w:rFonts w:ascii="Arial" w:eastAsia="Calibri" w:hAnsi="Arial" w:cs="Arial"/>
          <w:color w:val="231F20"/>
          <w:w w:val="99"/>
          <w:sz w:val="20"/>
          <w:szCs w:val="20"/>
        </w:rPr>
        <w:t xml:space="preserve"> </w:t>
      </w:r>
      <w:r w:rsidRPr="00976791">
        <w:rPr>
          <w:rFonts w:ascii="Arial" w:eastAsia="Calibri" w:hAnsi="Arial" w:cs="Arial"/>
          <w:color w:val="231F20"/>
          <w:sz w:val="20"/>
          <w:szCs w:val="20"/>
        </w:rPr>
        <w:t>one of the three risk quality factors to each account: Superior, Standard or Substandard. These are the</w:t>
      </w:r>
      <w:r w:rsidRPr="00976791">
        <w:rPr>
          <w:rFonts w:ascii="Arial" w:eastAsia="Calibri" w:hAnsi="Arial" w:cs="Arial"/>
          <w:color w:val="231F20"/>
          <w:w w:val="99"/>
          <w:sz w:val="20"/>
          <w:szCs w:val="20"/>
        </w:rPr>
        <w:t xml:space="preserve"> </w:t>
      </w:r>
      <w:r w:rsidRPr="00976791">
        <w:rPr>
          <w:rFonts w:ascii="Arial" w:eastAsia="Calibri" w:hAnsi="Arial" w:cs="Arial"/>
          <w:color w:val="231F20"/>
          <w:sz w:val="20"/>
          <w:szCs w:val="20"/>
        </w:rPr>
        <w:t xml:space="preserve">risk characteristics previously approved in our company filing approved by </w:t>
      </w:r>
      <w:r w:rsidR="005F0FC2" w:rsidRPr="00976791">
        <w:rPr>
          <w:rFonts w:ascii="Arial" w:eastAsia="Calibri" w:hAnsi="Arial" w:cs="Arial"/>
          <w:color w:val="231F20"/>
          <w:sz w:val="20"/>
          <w:szCs w:val="20"/>
        </w:rPr>
        <w:t>the Department under</w:t>
      </w:r>
      <w:r w:rsidR="00414A21">
        <w:rPr>
          <w:rFonts w:ascii="Arial" w:eastAsia="Calibri" w:hAnsi="Arial" w:cs="Arial"/>
          <w:color w:val="231F20"/>
          <w:sz w:val="20"/>
          <w:szCs w:val="20"/>
        </w:rPr>
        <w:t xml:space="preserve">  </w:t>
      </w:r>
      <w:r w:rsidR="00212BED">
        <w:rPr>
          <w:rFonts w:ascii="Arial" w:eastAsia="Calibri" w:hAnsi="Arial" w:cs="Arial"/>
          <w:color w:val="231F20"/>
          <w:sz w:val="20"/>
          <w:szCs w:val="20"/>
        </w:rPr>
        <w:t xml:space="preserve"> </w:t>
      </w:r>
      <w:r w:rsidR="00414A21">
        <w:rPr>
          <w:rFonts w:ascii="Arial" w:eastAsia="Calibri" w:hAnsi="Arial" w:cs="Arial"/>
          <w:color w:val="231F20"/>
          <w:sz w:val="20"/>
          <w:szCs w:val="20"/>
        </w:rPr>
        <w:t xml:space="preserve"> </w:t>
      </w:r>
      <w:r w:rsidR="00633CB7">
        <w:rPr>
          <w:rFonts w:ascii="Arial" w:eastAsia="Calibri" w:hAnsi="Arial" w:cs="Arial"/>
          <w:color w:val="231F20"/>
          <w:sz w:val="20"/>
          <w:szCs w:val="20"/>
        </w:rPr>
        <w:t>AIG-16</w:t>
      </w:r>
      <w:r w:rsidR="00264C9A">
        <w:rPr>
          <w:rFonts w:ascii="Arial" w:eastAsia="Calibri" w:hAnsi="Arial" w:cs="Arial"/>
          <w:color w:val="231F20"/>
          <w:sz w:val="20"/>
          <w:szCs w:val="20"/>
        </w:rPr>
        <w:t>-MP-08, SERFF Tracking NO. [</w:t>
      </w:r>
      <w:proofErr w:type="gramStart"/>
      <w:r w:rsidR="00264C9A">
        <w:rPr>
          <w:rFonts w:ascii="Arial" w:eastAsia="Calibri" w:hAnsi="Arial" w:cs="Arial"/>
          <w:color w:val="231F20"/>
          <w:sz w:val="20"/>
          <w:szCs w:val="20"/>
        </w:rPr>
        <w:t>insert</w:t>
      </w:r>
      <w:proofErr w:type="gramEnd"/>
      <w:r w:rsidR="00264C9A">
        <w:rPr>
          <w:rFonts w:ascii="Arial" w:eastAsia="Calibri" w:hAnsi="Arial" w:cs="Arial"/>
          <w:color w:val="231F20"/>
          <w:sz w:val="20"/>
          <w:szCs w:val="20"/>
        </w:rPr>
        <w:t xml:space="preserve"> #]</w:t>
      </w:r>
      <w:r w:rsidR="00264C9A" w:rsidRPr="00976791">
        <w:rPr>
          <w:rFonts w:ascii="Arial" w:eastAsia="Calibri" w:hAnsi="Arial" w:cs="Arial"/>
          <w:color w:val="231F20"/>
          <w:sz w:val="20"/>
          <w:szCs w:val="20"/>
        </w:rPr>
        <w:t>.</w:t>
      </w:r>
    </w:p>
    <w:p w:rsidR="00ED3339" w:rsidRPr="007D07EF" w:rsidRDefault="00ED3339" w:rsidP="007D07EF">
      <w:pPr>
        <w:autoSpaceDE w:val="0"/>
        <w:autoSpaceDN w:val="0"/>
        <w:adjustRightInd w:val="0"/>
        <w:spacing w:after="0" w:line="240" w:lineRule="auto"/>
        <w:rPr>
          <w:rFonts w:ascii="Arial" w:hAnsi="Arial" w:cs="Arial"/>
          <w:sz w:val="20"/>
          <w:szCs w:val="20"/>
        </w:rPr>
      </w:pPr>
    </w:p>
    <w:p w:rsidR="00036E51" w:rsidRPr="00EF01D8" w:rsidRDefault="00036E51" w:rsidP="007D07EF">
      <w:pPr>
        <w:autoSpaceDE w:val="0"/>
        <w:autoSpaceDN w:val="0"/>
        <w:adjustRightInd w:val="0"/>
        <w:spacing w:after="0" w:line="240" w:lineRule="auto"/>
        <w:rPr>
          <w:rFonts w:ascii="Arial" w:hAnsi="Arial" w:cs="Arial"/>
          <w:sz w:val="20"/>
          <w:szCs w:val="20"/>
        </w:rPr>
      </w:pPr>
    </w:p>
    <w:p w:rsidR="00036E51" w:rsidRPr="00EF01D8" w:rsidRDefault="00036E51" w:rsidP="00036E51">
      <w:pPr>
        <w:pStyle w:val="BodyText"/>
        <w:ind w:left="1" w:right="118" w:hanging="1"/>
        <w:rPr>
          <w:rFonts w:ascii="Arial" w:hAnsi="Arial" w:cs="Arial"/>
          <w:sz w:val="20"/>
          <w:szCs w:val="20"/>
        </w:rPr>
      </w:pPr>
      <w:r w:rsidRPr="00EF01D8">
        <w:rPr>
          <w:rFonts w:ascii="Arial" w:hAnsi="Arial" w:cs="Arial"/>
          <w:color w:val="231F20"/>
          <w:sz w:val="20"/>
          <w:szCs w:val="20"/>
        </w:rPr>
        <w:t>We</w:t>
      </w:r>
      <w:r w:rsidRPr="00EF01D8">
        <w:rPr>
          <w:rFonts w:ascii="Arial" w:hAnsi="Arial" w:cs="Arial"/>
          <w:color w:val="231F20"/>
          <w:spacing w:val="20"/>
          <w:sz w:val="20"/>
          <w:szCs w:val="20"/>
        </w:rPr>
        <w:t xml:space="preserve"> </w:t>
      </w:r>
      <w:r w:rsidRPr="00EF01D8">
        <w:rPr>
          <w:rFonts w:ascii="Arial" w:hAnsi="Arial" w:cs="Arial"/>
          <w:color w:val="231F20"/>
          <w:sz w:val="20"/>
          <w:szCs w:val="20"/>
        </w:rPr>
        <w:t>believe</w:t>
      </w:r>
      <w:r w:rsidRPr="00EF01D8">
        <w:rPr>
          <w:rFonts w:ascii="Arial" w:hAnsi="Arial" w:cs="Arial"/>
          <w:color w:val="231F20"/>
          <w:spacing w:val="22"/>
          <w:sz w:val="20"/>
          <w:szCs w:val="20"/>
        </w:rPr>
        <w:t xml:space="preserve"> </w:t>
      </w:r>
      <w:r w:rsidRPr="00EF01D8">
        <w:rPr>
          <w:rFonts w:ascii="Arial" w:hAnsi="Arial" w:cs="Arial"/>
          <w:color w:val="231F20"/>
          <w:sz w:val="20"/>
          <w:szCs w:val="20"/>
        </w:rPr>
        <w:t>the</w:t>
      </w:r>
      <w:r w:rsidRPr="00EF01D8">
        <w:rPr>
          <w:rFonts w:ascii="Arial" w:hAnsi="Arial" w:cs="Arial"/>
          <w:color w:val="231F20"/>
          <w:spacing w:val="20"/>
          <w:sz w:val="20"/>
          <w:szCs w:val="20"/>
        </w:rPr>
        <w:t xml:space="preserve"> </w:t>
      </w:r>
      <w:r w:rsidRPr="00EF01D8">
        <w:rPr>
          <w:rFonts w:ascii="Arial" w:hAnsi="Arial" w:cs="Arial"/>
          <w:color w:val="231F20"/>
          <w:sz w:val="20"/>
          <w:szCs w:val="20"/>
        </w:rPr>
        <w:t>outlined</w:t>
      </w:r>
      <w:r w:rsidRPr="00EF01D8">
        <w:rPr>
          <w:rFonts w:ascii="Arial" w:hAnsi="Arial" w:cs="Arial"/>
          <w:color w:val="231F20"/>
          <w:spacing w:val="21"/>
          <w:sz w:val="20"/>
          <w:szCs w:val="20"/>
        </w:rPr>
        <w:t xml:space="preserve"> </w:t>
      </w:r>
      <w:r w:rsidRPr="00EF01D8">
        <w:rPr>
          <w:rFonts w:ascii="Arial" w:hAnsi="Arial" w:cs="Arial"/>
          <w:color w:val="231F20"/>
          <w:sz w:val="20"/>
          <w:szCs w:val="20"/>
        </w:rPr>
        <w:t>risk</w:t>
      </w:r>
      <w:r w:rsidRPr="00EF01D8">
        <w:rPr>
          <w:rFonts w:ascii="Arial" w:hAnsi="Arial" w:cs="Arial"/>
          <w:color w:val="231F20"/>
          <w:spacing w:val="20"/>
          <w:sz w:val="20"/>
          <w:szCs w:val="20"/>
        </w:rPr>
        <w:t xml:space="preserve"> </w:t>
      </w:r>
      <w:r w:rsidRPr="00EF01D8">
        <w:rPr>
          <w:rFonts w:ascii="Arial" w:hAnsi="Arial" w:cs="Arial"/>
          <w:color w:val="231F20"/>
          <w:sz w:val="20"/>
          <w:szCs w:val="20"/>
        </w:rPr>
        <w:t>characteristics</w:t>
      </w:r>
      <w:r w:rsidRPr="00EF01D8">
        <w:rPr>
          <w:rFonts w:ascii="Arial" w:hAnsi="Arial" w:cs="Arial"/>
          <w:color w:val="231F20"/>
          <w:spacing w:val="20"/>
          <w:sz w:val="20"/>
          <w:szCs w:val="20"/>
        </w:rPr>
        <w:t xml:space="preserve"> </w:t>
      </w:r>
      <w:r w:rsidRPr="00EF01D8">
        <w:rPr>
          <w:rFonts w:ascii="Arial" w:hAnsi="Arial" w:cs="Arial"/>
          <w:color w:val="231F20"/>
          <w:sz w:val="20"/>
          <w:szCs w:val="20"/>
        </w:rPr>
        <w:t>contemplate</w:t>
      </w:r>
      <w:r w:rsidRPr="00EF01D8">
        <w:rPr>
          <w:rFonts w:ascii="Arial" w:hAnsi="Arial" w:cs="Arial"/>
          <w:color w:val="231F20"/>
          <w:spacing w:val="21"/>
          <w:sz w:val="20"/>
          <w:szCs w:val="20"/>
        </w:rPr>
        <w:t xml:space="preserve"> </w:t>
      </w:r>
      <w:r w:rsidRPr="00EF01D8">
        <w:rPr>
          <w:rFonts w:ascii="Arial" w:hAnsi="Arial" w:cs="Arial"/>
          <w:color w:val="231F20"/>
          <w:sz w:val="20"/>
          <w:szCs w:val="20"/>
        </w:rPr>
        <w:t>the</w:t>
      </w:r>
      <w:r w:rsidRPr="00EF01D8">
        <w:rPr>
          <w:rFonts w:ascii="Arial" w:hAnsi="Arial" w:cs="Arial"/>
          <w:color w:val="231F20"/>
          <w:spacing w:val="20"/>
          <w:sz w:val="20"/>
          <w:szCs w:val="20"/>
        </w:rPr>
        <w:t xml:space="preserve"> </w:t>
      </w:r>
      <w:r w:rsidRPr="00EF01D8">
        <w:rPr>
          <w:rFonts w:ascii="Arial" w:hAnsi="Arial" w:cs="Arial"/>
          <w:color w:val="231F20"/>
          <w:sz w:val="20"/>
          <w:szCs w:val="20"/>
        </w:rPr>
        <w:t>spectrum</w:t>
      </w:r>
      <w:r w:rsidRPr="00EF01D8">
        <w:rPr>
          <w:rFonts w:ascii="Arial" w:hAnsi="Arial" w:cs="Arial"/>
          <w:color w:val="231F20"/>
          <w:spacing w:val="21"/>
          <w:sz w:val="20"/>
          <w:szCs w:val="20"/>
        </w:rPr>
        <w:t xml:space="preserve"> </w:t>
      </w:r>
      <w:r w:rsidRPr="00EF01D8">
        <w:rPr>
          <w:rFonts w:ascii="Arial" w:hAnsi="Arial" w:cs="Arial"/>
          <w:color w:val="231F20"/>
          <w:sz w:val="20"/>
          <w:szCs w:val="20"/>
        </w:rPr>
        <w:t>of</w:t>
      </w:r>
      <w:r w:rsidRPr="00EF01D8">
        <w:rPr>
          <w:rFonts w:ascii="Arial" w:hAnsi="Arial" w:cs="Arial"/>
          <w:color w:val="231F20"/>
          <w:spacing w:val="20"/>
          <w:sz w:val="20"/>
          <w:szCs w:val="20"/>
        </w:rPr>
        <w:t xml:space="preserve"> </w:t>
      </w:r>
      <w:r w:rsidRPr="00EF01D8">
        <w:rPr>
          <w:rFonts w:ascii="Arial" w:hAnsi="Arial" w:cs="Arial"/>
          <w:color w:val="231F20"/>
          <w:sz w:val="20"/>
          <w:szCs w:val="20"/>
        </w:rPr>
        <w:t>experience,</w:t>
      </w:r>
      <w:r w:rsidRPr="00EF01D8">
        <w:rPr>
          <w:rFonts w:ascii="Arial" w:hAnsi="Arial" w:cs="Arial"/>
          <w:color w:val="231F20"/>
          <w:spacing w:val="20"/>
          <w:sz w:val="20"/>
          <w:szCs w:val="20"/>
        </w:rPr>
        <w:t xml:space="preserve"> </w:t>
      </w:r>
      <w:r w:rsidRPr="00EF01D8">
        <w:rPr>
          <w:rFonts w:ascii="Arial" w:hAnsi="Arial" w:cs="Arial"/>
          <w:color w:val="231F20"/>
          <w:sz w:val="20"/>
          <w:szCs w:val="20"/>
        </w:rPr>
        <w:t>and</w:t>
      </w:r>
      <w:r w:rsidRPr="00EF01D8">
        <w:rPr>
          <w:rFonts w:ascii="Arial" w:hAnsi="Arial" w:cs="Arial"/>
          <w:color w:val="231F20"/>
          <w:spacing w:val="22"/>
          <w:sz w:val="20"/>
          <w:szCs w:val="20"/>
        </w:rPr>
        <w:t xml:space="preserve"> </w:t>
      </w:r>
      <w:r w:rsidRPr="00EF01D8">
        <w:rPr>
          <w:rFonts w:ascii="Arial" w:hAnsi="Arial" w:cs="Arial"/>
          <w:color w:val="231F20"/>
          <w:sz w:val="20"/>
          <w:szCs w:val="20"/>
        </w:rPr>
        <w:t>managerial</w:t>
      </w:r>
      <w:r w:rsidRPr="00EF01D8">
        <w:rPr>
          <w:rFonts w:ascii="Arial" w:hAnsi="Arial" w:cs="Arial"/>
          <w:color w:val="231F20"/>
          <w:spacing w:val="22"/>
          <w:w w:val="99"/>
          <w:sz w:val="20"/>
          <w:szCs w:val="20"/>
        </w:rPr>
        <w:t xml:space="preserve"> </w:t>
      </w:r>
      <w:r w:rsidRPr="00EF01D8">
        <w:rPr>
          <w:rFonts w:ascii="Arial" w:hAnsi="Arial" w:cs="Arial"/>
          <w:color w:val="231F20"/>
          <w:sz w:val="20"/>
          <w:szCs w:val="20"/>
        </w:rPr>
        <w:t>oversight</w:t>
      </w:r>
      <w:r w:rsidRPr="00EF01D8">
        <w:rPr>
          <w:rFonts w:ascii="Arial" w:hAnsi="Arial" w:cs="Arial"/>
          <w:color w:val="231F20"/>
          <w:spacing w:val="-7"/>
          <w:sz w:val="20"/>
          <w:szCs w:val="20"/>
        </w:rPr>
        <w:t xml:space="preserve"> </w:t>
      </w:r>
      <w:r w:rsidRPr="00EF01D8">
        <w:rPr>
          <w:rFonts w:ascii="Arial" w:hAnsi="Arial" w:cs="Arial"/>
          <w:color w:val="231F20"/>
          <w:sz w:val="20"/>
          <w:szCs w:val="20"/>
        </w:rPr>
        <w:t>to</w:t>
      </w:r>
      <w:r w:rsidRPr="00EF01D8">
        <w:rPr>
          <w:rFonts w:ascii="Arial" w:hAnsi="Arial" w:cs="Arial"/>
          <w:color w:val="231F20"/>
          <w:spacing w:val="-6"/>
          <w:sz w:val="20"/>
          <w:szCs w:val="20"/>
        </w:rPr>
        <w:t xml:space="preserve"> </w:t>
      </w:r>
      <w:r w:rsidRPr="00EF01D8">
        <w:rPr>
          <w:rFonts w:ascii="Arial" w:hAnsi="Arial" w:cs="Arial"/>
          <w:color w:val="231F20"/>
          <w:sz w:val="20"/>
          <w:szCs w:val="20"/>
        </w:rPr>
        <w:t>support</w:t>
      </w:r>
      <w:r w:rsidRPr="00EF01D8">
        <w:rPr>
          <w:rFonts w:ascii="Arial" w:hAnsi="Arial" w:cs="Arial"/>
          <w:color w:val="231F20"/>
          <w:spacing w:val="-7"/>
          <w:sz w:val="20"/>
          <w:szCs w:val="20"/>
        </w:rPr>
        <w:t xml:space="preserve"> </w:t>
      </w:r>
      <w:r w:rsidRPr="00EF01D8">
        <w:rPr>
          <w:rFonts w:ascii="Arial" w:hAnsi="Arial" w:cs="Arial"/>
          <w:color w:val="231F20"/>
          <w:sz w:val="20"/>
          <w:szCs w:val="20"/>
        </w:rPr>
        <w:t>our</w:t>
      </w:r>
      <w:r w:rsidRPr="00EF01D8">
        <w:rPr>
          <w:rFonts w:ascii="Arial" w:hAnsi="Arial" w:cs="Arial"/>
          <w:color w:val="231F20"/>
          <w:spacing w:val="-6"/>
          <w:sz w:val="20"/>
          <w:szCs w:val="20"/>
        </w:rPr>
        <w:t xml:space="preserve"> </w:t>
      </w:r>
      <w:r w:rsidRPr="00EF01D8">
        <w:rPr>
          <w:rFonts w:ascii="Arial" w:hAnsi="Arial" w:cs="Arial"/>
          <w:color w:val="231F20"/>
          <w:sz w:val="20"/>
          <w:szCs w:val="20"/>
        </w:rPr>
        <w:t>proposed</w:t>
      </w:r>
      <w:r w:rsidRPr="00EF01D8">
        <w:rPr>
          <w:rFonts w:ascii="Arial" w:hAnsi="Arial" w:cs="Arial"/>
          <w:color w:val="231F20"/>
          <w:spacing w:val="-7"/>
          <w:sz w:val="20"/>
          <w:szCs w:val="20"/>
        </w:rPr>
        <w:t xml:space="preserve"> </w:t>
      </w:r>
      <w:r w:rsidRPr="00EF01D8">
        <w:rPr>
          <w:rFonts w:ascii="Arial" w:hAnsi="Arial" w:cs="Arial"/>
          <w:color w:val="231F20"/>
          <w:sz w:val="20"/>
          <w:szCs w:val="20"/>
        </w:rPr>
        <w:t>risk</w:t>
      </w:r>
      <w:r w:rsidRPr="00EF01D8">
        <w:rPr>
          <w:rFonts w:ascii="Arial" w:hAnsi="Arial" w:cs="Arial"/>
          <w:color w:val="231F20"/>
          <w:spacing w:val="-7"/>
          <w:sz w:val="20"/>
          <w:szCs w:val="20"/>
        </w:rPr>
        <w:t xml:space="preserve"> </w:t>
      </w:r>
      <w:r w:rsidRPr="00EF01D8">
        <w:rPr>
          <w:rFonts w:ascii="Arial" w:hAnsi="Arial" w:cs="Arial"/>
          <w:color w:val="231F20"/>
          <w:spacing w:val="-1"/>
          <w:sz w:val="20"/>
          <w:szCs w:val="20"/>
        </w:rPr>
        <w:t>quality</w:t>
      </w:r>
      <w:r w:rsidRPr="00EF01D8">
        <w:rPr>
          <w:rFonts w:ascii="Arial" w:hAnsi="Arial" w:cs="Arial"/>
          <w:color w:val="231F20"/>
          <w:spacing w:val="-7"/>
          <w:sz w:val="20"/>
          <w:szCs w:val="20"/>
        </w:rPr>
        <w:t xml:space="preserve"> </w:t>
      </w:r>
      <w:r w:rsidRPr="00EF01D8">
        <w:rPr>
          <w:rFonts w:ascii="Arial" w:hAnsi="Arial" w:cs="Arial"/>
          <w:color w:val="231F20"/>
          <w:sz w:val="20"/>
          <w:szCs w:val="20"/>
        </w:rPr>
        <w:t>factor</w:t>
      </w:r>
      <w:r w:rsidRPr="00EF01D8">
        <w:rPr>
          <w:rFonts w:ascii="Arial" w:hAnsi="Arial" w:cs="Arial"/>
          <w:color w:val="231F20"/>
          <w:spacing w:val="-5"/>
          <w:sz w:val="20"/>
          <w:szCs w:val="20"/>
        </w:rPr>
        <w:t xml:space="preserve"> </w:t>
      </w:r>
      <w:r w:rsidRPr="00EF01D8">
        <w:rPr>
          <w:rFonts w:ascii="Arial" w:hAnsi="Arial" w:cs="Arial"/>
          <w:color w:val="231F20"/>
          <w:sz w:val="20"/>
          <w:szCs w:val="20"/>
        </w:rPr>
        <w:t>plan.</w:t>
      </w:r>
    </w:p>
    <w:p w:rsidR="00036E51" w:rsidRPr="00976791" w:rsidRDefault="00036E51" w:rsidP="00ED3339">
      <w:pPr>
        <w:widowControl w:val="0"/>
        <w:spacing w:after="0" w:line="240" w:lineRule="auto"/>
        <w:ind w:right="116"/>
        <w:jc w:val="both"/>
        <w:rPr>
          <w:rFonts w:ascii="Arial" w:eastAsia="Calibri" w:hAnsi="Arial" w:cs="Arial"/>
          <w:sz w:val="20"/>
          <w:szCs w:val="20"/>
        </w:rPr>
      </w:pPr>
    </w:p>
    <w:p w:rsidR="00ED3339" w:rsidRPr="00976791" w:rsidRDefault="007D2922" w:rsidP="00ED3339">
      <w:pPr>
        <w:spacing w:after="0" w:line="240" w:lineRule="auto"/>
        <w:rPr>
          <w:rFonts w:ascii="Arial" w:eastAsia="Times New Roman" w:hAnsi="Arial" w:cs="Arial"/>
          <w:sz w:val="20"/>
          <w:szCs w:val="20"/>
        </w:rPr>
      </w:pPr>
      <w:r>
        <w:rPr>
          <w:rFonts w:ascii="Arial" w:eastAsia="Times New Roman" w:hAnsi="Arial" w:cs="Arial"/>
          <w:sz w:val="20"/>
          <w:szCs w:val="20"/>
        </w:rPr>
        <w:t>The f</w:t>
      </w:r>
      <w:r w:rsidR="00414A21">
        <w:rPr>
          <w:rFonts w:ascii="Arial" w:eastAsia="Times New Roman" w:hAnsi="Arial" w:cs="Arial"/>
          <w:sz w:val="20"/>
          <w:szCs w:val="20"/>
        </w:rPr>
        <w:t>ollowing</w:t>
      </w:r>
      <w:r w:rsidR="00ED3339" w:rsidRPr="00976791">
        <w:rPr>
          <w:rFonts w:ascii="Arial" w:eastAsia="Times New Roman" w:hAnsi="Arial" w:cs="Arial"/>
          <w:sz w:val="20"/>
          <w:szCs w:val="20"/>
        </w:rPr>
        <w:t xml:space="preserve"> is a description of the endorsements </w:t>
      </w:r>
      <w:r w:rsidR="00D57ED6">
        <w:rPr>
          <w:rFonts w:ascii="Arial" w:eastAsia="Times New Roman" w:hAnsi="Arial" w:cs="Arial"/>
          <w:sz w:val="20"/>
          <w:szCs w:val="20"/>
        </w:rPr>
        <w:t xml:space="preserve">we are submitting </w:t>
      </w:r>
      <w:r w:rsidR="00ED3339" w:rsidRPr="00976791">
        <w:rPr>
          <w:rFonts w:ascii="Arial" w:eastAsia="Times New Roman" w:hAnsi="Arial" w:cs="Arial"/>
          <w:sz w:val="20"/>
          <w:szCs w:val="20"/>
        </w:rPr>
        <w:t>for approval:</w:t>
      </w:r>
    </w:p>
    <w:p w:rsidR="00ED3339" w:rsidRPr="00976791" w:rsidRDefault="00ED3339" w:rsidP="00ED3339">
      <w:pPr>
        <w:spacing w:after="0" w:line="240" w:lineRule="auto"/>
        <w:rPr>
          <w:rFonts w:ascii="Arial" w:eastAsia="Times New Roman" w:hAnsi="Arial" w:cs="Arial"/>
          <w:sz w:val="20"/>
          <w:szCs w:val="20"/>
        </w:rPr>
      </w:pPr>
    </w:p>
    <w:p w:rsidR="00ED3339" w:rsidRPr="0016336B" w:rsidRDefault="00D84FFE" w:rsidP="00ED3339">
      <w:pPr>
        <w:spacing w:after="0" w:line="240" w:lineRule="auto"/>
        <w:rPr>
          <w:rFonts w:ascii="Arial" w:eastAsia="Times New Roman" w:hAnsi="Arial" w:cs="Arial"/>
          <w:b/>
          <w:sz w:val="20"/>
          <w:szCs w:val="20"/>
          <w:u w:val="single"/>
        </w:rPr>
      </w:pPr>
      <w:r w:rsidRPr="0016336B">
        <w:rPr>
          <w:rFonts w:ascii="Arial" w:eastAsia="Times New Roman" w:hAnsi="Arial" w:cs="Arial"/>
          <w:b/>
          <w:sz w:val="20"/>
          <w:szCs w:val="20"/>
          <w:u w:val="single"/>
        </w:rPr>
        <w:t>MANDATORY ENDORSEMENTS</w:t>
      </w:r>
    </w:p>
    <w:p w:rsidR="00D84FFE" w:rsidRPr="00D84FFE" w:rsidRDefault="00D84FFE" w:rsidP="00ED3339">
      <w:pPr>
        <w:spacing w:after="0" w:line="240" w:lineRule="auto"/>
        <w:rPr>
          <w:rFonts w:ascii="Arial" w:eastAsia="Times New Roman" w:hAnsi="Arial" w:cs="Arial"/>
          <w:b/>
          <w:sz w:val="20"/>
          <w:szCs w:val="20"/>
        </w:rPr>
      </w:pPr>
    </w:p>
    <w:p w:rsidR="0061025E" w:rsidRDefault="00D84FFE" w:rsidP="00D84FFE">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EXCLUSION – GOVERNMENTAL ERRORS AND OMISSIONS</w:t>
      </w:r>
      <w:r w:rsidR="009844D1">
        <w:rPr>
          <w:rFonts w:ascii="Arial" w:eastAsia="Times New Roman" w:hAnsi="Arial" w:cs="Arial"/>
          <w:b/>
          <w:bCs/>
          <w:color w:val="000000"/>
          <w:sz w:val="20"/>
          <w:szCs w:val="20"/>
        </w:rPr>
        <w:t xml:space="preserve"> - 121852</w:t>
      </w:r>
    </w:p>
    <w:p w:rsidR="00D84FFE" w:rsidRDefault="00D84FFE" w:rsidP="00D84FFE">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This mandatory endorsement excludes injury or damage arising out of any actual or alleged act, error, omission, misstatement, neglect or violation of any federal or state civil rights laws, or breach of duty, by any insured in the discharge of any insured’s duties for the Public Entity.</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Ther</w:t>
      </w:r>
      <w:r>
        <w:rPr>
          <w:rFonts w:ascii="Arial" w:hAnsi="Arial" w:cs="Arial"/>
          <w:sz w:val="20"/>
          <w:szCs w:val="20"/>
        </w:rPr>
        <w:t xml:space="preserve">e is no </w:t>
      </w:r>
      <w:r w:rsidR="007D2922">
        <w:rPr>
          <w:rFonts w:ascii="Arial" w:hAnsi="Arial" w:cs="Arial"/>
          <w:sz w:val="20"/>
          <w:szCs w:val="20"/>
        </w:rPr>
        <w:t xml:space="preserve">premium consideration </w:t>
      </w:r>
      <w:r>
        <w:rPr>
          <w:rFonts w:ascii="Arial" w:hAnsi="Arial" w:cs="Arial"/>
          <w:sz w:val="20"/>
          <w:szCs w:val="20"/>
        </w:rPr>
        <w:t>for this mandatory</w:t>
      </w:r>
      <w:r w:rsidRPr="0016336B">
        <w:rPr>
          <w:rFonts w:ascii="Arial" w:hAnsi="Arial" w:cs="Arial"/>
          <w:sz w:val="20"/>
          <w:szCs w:val="20"/>
        </w:rPr>
        <w:t xml:space="preserve"> endorsement.</w:t>
      </w:r>
    </w:p>
    <w:p w:rsidR="00D84FFE" w:rsidRPr="00D84FFE" w:rsidRDefault="00D84FFE" w:rsidP="00D84FFE">
      <w:pPr>
        <w:spacing w:after="0" w:line="240" w:lineRule="auto"/>
        <w:rPr>
          <w:rFonts w:ascii="Arial" w:eastAsia="Times New Roman" w:hAnsi="Arial" w:cs="Arial"/>
          <w:sz w:val="20"/>
          <w:szCs w:val="20"/>
        </w:rPr>
      </w:pPr>
    </w:p>
    <w:p w:rsidR="0061025E" w:rsidRDefault="00D84FFE" w:rsidP="00D84FFE">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EXCLUSION – INJURY TO VOLUNTEER WORKERS IN POLICE SERVICE</w:t>
      </w:r>
      <w:r w:rsidR="009844D1">
        <w:rPr>
          <w:rFonts w:ascii="Arial" w:eastAsia="Times New Roman" w:hAnsi="Arial" w:cs="Arial"/>
          <w:b/>
          <w:bCs/>
          <w:color w:val="000000"/>
          <w:sz w:val="20"/>
          <w:szCs w:val="20"/>
        </w:rPr>
        <w:t xml:space="preserve"> - 121853</w:t>
      </w:r>
    </w:p>
    <w:p w:rsidR="00D84FFE" w:rsidRPr="00D84FFE" w:rsidRDefault="00D84FFE" w:rsidP="00D84FFE">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This mandatory endorsement excludes injury to volunteer workers in police service.</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 xml:space="preserve">There is no </w:t>
      </w:r>
      <w:r w:rsidR="007D2922">
        <w:rPr>
          <w:rFonts w:ascii="Arial" w:hAnsi="Arial" w:cs="Arial"/>
          <w:sz w:val="20"/>
          <w:szCs w:val="20"/>
        </w:rPr>
        <w:t>premium consideration</w:t>
      </w:r>
      <w:r w:rsidR="009844D1">
        <w:rPr>
          <w:rFonts w:ascii="Arial" w:hAnsi="Arial" w:cs="Arial"/>
          <w:sz w:val="20"/>
          <w:szCs w:val="20"/>
        </w:rPr>
        <w:t xml:space="preserve"> </w:t>
      </w:r>
      <w:r w:rsidRPr="0016336B">
        <w:rPr>
          <w:rFonts w:ascii="Arial" w:hAnsi="Arial" w:cs="Arial"/>
          <w:sz w:val="20"/>
          <w:szCs w:val="20"/>
        </w:rPr>
        <w:t xml:space="preserve">for this </w:t>
      </w:r>
      <w:r>
        <w:rPr>
          <w:rFonts w:ascii="Arial" w:hAnsi="Arial" w:cs="Arial"/>
          <w:sz w:val="20"/>
          <w:szCs w:val="20"/>
        </w:rPr>
        <w:t>mandatory</w:t>
      </w:r>
      <w:r w:rsidRPr="0016336B">
        <w:rPr>
          <w:rFonts w:ascii="Arial" w:hAnsi="Arial" w:cs="Arial"/>
          <w:sz w:val="20"/>
          <w:szCs w:val="20"/>
        </w:rPr>
        <w:t xml:space="preserve"> endorsement.</w:t>
      </w:r>
    </w:p>
    <w:p w:rsidR="00D84FFE" w:rsidRPr="00D84FFE" w:rsidRDefault="00D84FFE" w:rsidP="00D84FFE">
      <w:pPr>
        <w:spacing w:after="0" w:line="240" w:lineRule="auto"/>
        <w:rPr>
          <w:rFonts w:ascii="Arial" w:eastAsia="Times New Roman" w:hAnsi="Arial" w:cs="Arial"/>
          <w:b/>
          <w:bCs/>
          <w:color w:val="000000"/>
          <w:sz w:val="20"/>
          <w:szCs w:val="20"/>
        </w:rPr>
      </w:pPr>
    </w:p>
    <w:p w:rsidR="00D84FFE" w:rsidRPr="0016336B" w:rsidRDefault="00D84FFE" w:rsidP="00414A21">
      <w:pPr>
        <w:spacing w:after="0" w:line="240" w:lineRule="auto"/>
        <w:rPr>
          <w:rFonts w:ascii="Arial" w:eastAsia="Times New Roman" w:hAnsi="Arial" w:cs="Arial"/>
          <w:b/>
          <w:bCs/>
          <w:color w:val="000000"/>
          <w:sz w:val="20"/>
          <w:szCs w:val="20"/>
          <w:u w:val="single"/>
        </w:rPr>
      </w:pPr>
      <w:r w:rsidRPr="0016336B">
        <w:rPr>
          <w:rFonts w:ascii="Arial" w:eastAsia="Times New Roman" w:hAnsi="Arial" w:cs="Arial"/>
          <w:b/>
          <w:bCs/>
          <w:color w:val="000000"/>
          <w:sz w:val="20"/>
          <w:szCs w:val="20"/>
          <w:u w:val="single"/>
        </w:rPr>
        <w:t>OPTIONAL ENDORSEMENTS</w:t>
      </w:r>
    </w:p>
    <w:p w:rsidR="00D84FFE" w:rsidRPr="00D84FFE" w:rsidRDefault="00D84FFE" w:rsidP="00414A21">
      <w:pPr>
        <w:spacing w:after="0" w:line="240" w:lineRule="auto"/>
        <w:rPr>
          <w:rFonts w:ascii="Arial" w:eastAsia="Times New Roman" w:hAnsi="Arial" w:cs="Arial"/>
          <w:b/>
          <w:bCs/>
          <w:color w:val="000000"/>
          <w:sz w:val="20"/>
          <w:szCs w:val="20"/>
        </w:rPr>
      </w:pPr>
    </w:p>
    <w:p w:rsidR="0061025E"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AMENDED DEFINITION – PERSONAL AND ADVERTISING INJURY</w:t>
      </w:r>
      <w:r w:rsidR="009844D1">
        <w:rPr>
          <w:rFonts w:ascii="Arial" w:eastAsia="Times New Roman" w:hAnsi="Arial" w:cs="Arial"/>
          <w:b/>
          <w:bCs/>
          <w:color w:val="000000"/>
          <w:sz w:val="20"/>
          <w:szCs w:val="20"/>
        </w:rPr>
        <w:t xml:space="preserve"> - </w:t>
      </w:r>
      <w:r w:rsidR="00AF1316">
        <w:rPr>
          <w:rFonts w:ascii="Arial" w:eastAsia="Times New Roman" w:hAnsi="Arial" w:cs="Arial"/>
          <w:b/>
          <w:bCs/>
          <w:color w:val="000000"/>
          <w:sz w:val="20"/>
          <w:szCs w:val="20"/>
        </w:rPr>
        <w:t>121850</w:t>
      </w:r>
    </w:p>
    <w:p w:rsidR="00414A21" w:rsidRPr="00D84FFE"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color w:val="000000"/>
          <w:sz w:val="20"/>
          <w:szCs w:val="20"/>
        </w:rPr>
        <w:t>This optional endorsement amends the definition of Personal and Advertising Injury to include mental anguish, humiliation or emotional distress arising out of consequential bodily injury.</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ED3339" w:rsidRPr="00D84FFE" w:rsidRDefault="00ED3339" w:rsidP="00ED3339">
      <w:pPr>
        <w:spacing w:after="0" w:line="240" w:lineRule="auto"/>
        <w:rPr>
          <w:rFonts w:ascii="Arial" w:eastAsia="Times New Roman" w:hAnsi="Arial" w:cs="Arial"/>
          <w:sz w:val="20"/>
          <w:szCs w:val="20"/>
        </w:rPr>
      </w:pPr>
    </w:p>
    <w:p w:rsidR="0061025E"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 xml:space="preserve">EXCLUSION </w:t>
      </w:r>
      <w:r w:rsidR="0061025E">
        <w:rPr>
          <w:rFonts w:ascii="Arial" w:eastAsia="Times New Roman" w:hAnsi="Arial" w:cs="Arial"/>
          <w:b/>
          <w:bCs/>
          <w:color w:val="000000"/>
          <w:sz w:val="20"/>
          <w:szCs w:val="20"/>
        </w:rPr>
        <w:t>–</w:t>
      </w:r>
      <w:r w:rsidRPr="00D84FFE">
        <w:rPr>
          <w:rFonts w:ascii="Arial" w:eastAsia="Times New Roman" w:hAnsi="Arial" w:cs="Arial"/>
          <w:b/>
          <w:bCs/>
          <w:color w:val="000000"/>
          <w:sz w:val="20"/>
          <w:szCs w:val="20"/>
        </w:rPr>
        <w:t xml:space="preserve"> DAMS</w:t>
      </w:r>
    </w:p>
    <w:p w:rsidR="00414A21" w:rsidRDefault="00414A21" w:rsidP="00414A21">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excludes injury or damage arising out of the rupture, bursting, over-topping, flooding, cracking, seepage, under-seepage, accidental discharge or partial or complete structural failure of any dam, levee or dike under the insured's control.</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 xml:space="preserve">There is no </w:t>
      </w:r>
      <w:r w:rsidR="00AF1316">
        <w:rPr>
          <w:rFonts w:ascii="Arial" w:hAnsi="Arial" w:cs="Arial"/>
          <w:sz w:val="20"/>
          <w:szCs w:val="20"/>
        </w:rPr>
        <w:t>premium consideration</w:t>
      </w:r>
      <w:r w:rsidR="00AF1316" w:rsidRPr="0016336B">
        <w:rPr>
          <w:rFonts w:ascii="Arial" w:hAnsi="Arial" w:cs="Arial"/>
          <w:sz w:val="20"/>
          <w:szCs w:val="20"/>
        </w:rPr>
        <w:t xml:space="preserve"> </w:t>
      </w:r>
      <w:r w:rsidRPr="0016336B">
        <w:rPr>
          <w:rFonts w:ascii="Arial" w:hAnsi="Arial" w:cs="Arial"/>
          <w:sz w:val="20"/>
          <w:szCs w:val="20"/>
        </w:rPr>
        <w:t>for this optional endorsement.</w:t>
      </w:r>
    </w:p>
    <w:p w:rsidR="00B34545" w:rsidRDefault="00B34545" w:rsidP="00414A21">
      <w:pPr>
        <w:spacing w:after="0" w:line="240" w:lineRule="auto"/>
        <w:rPr>
          <w:rFonts w:ascii="Arial" w:eastAsia="Times New Roman" w:hAnsi="Arial" w:cs="Arial"/>
          <w:b/>
          <w:bCs/>
          <w:color w:val="000000"/>
          <w:sz w:val="20"/>
          <w:szCs w:val="20"/>
        </w:rPr>
      </w:pPr>
    </w:p>
    <w:p w:rsidR="0061025E"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lastRenderedPageBreak/>
        <w:t>FIRE DISTRICTS OR DEPARTMENTS PROFESSIONAL LIABILITY ENDORSEMENT</w:t>
      </w:r>
      <w:r w:rsidR="00A447A5">
        <w:rPr>
          <w:rFonts w:ascii="Arial" w:eastAsia="Times New Roman" w:hAnsi="Arial" w:cs="Arial"/>
          <w:b/>
          <w:bCs/>
          <w:color w:val="000000"/>
          <w:sz w:val="20"/>
          <w:szCs w:val="20"/>
        </w:rPr>
        <w:t xml:space="preserve"> - 121854</w:t>
      </w:r>
    </w:p>
    <w:p w:rsidR="00414A21" w:rsidRDefault="00414A21" w:rsidP="00414A21">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This optional endorsement adds p</w:t>
      </w:r>
      <w:r w:rsidR="007D07EF">
        <w:rPr>
          <w:rFonts w:ascii="Arial" w:eastAsia="Times New Roman" w:hAnsi="Arial" w:cs="Arial"/>
          <w:color w:val="000000"/>
          <w:sz w:val="20"/>
          <w:szCs w:val="20"/>
        </w:rPr>
        <w:t xml:space="preserve">rofessional liability and </w:t>
      </w:r>
      <w:proofErr w:type="gramStart"/>
      <w:r w:rsidR="007D07EF">
        <w:rPr>
          <w:rFonts w:ascii="Arial" w:eastAsia="Times New Roman" w:hAnsi="Arial" w:cs="Arial"/>
          <w:color w:val="000000"/>
          <w:sz w:val="20"/>
          <w:szCs w:val="20"/>
        </w:rPr>
        <w:t xml:space="preserve">good </w:t>
      </w:r>
      <w:r w:rsidR="00B03447">
        <w:rPr>
          <w:rFonts w:ascii="Arial" w:eastAsia="Times New Roman" w:hAnsi="Arial" w:cs="Arial"/>
          <w:color w:val="000000"/>
          <w:sz w:val="20"/>
          <w:szCs w:val="20"/>
        </w:rPr>
        <w:t>s</w:t>
      </w:r>
      <w:r w:rsidR="00B03447" w:rsidRPr="00D84FFE">
        <w:rPr>
          <w:rFonts w:ascii="Arial" w:eastAsia="Times New Roman" w:hAnsi="Arial" w:cs="Arial"/>
          <w:color w:val="000000"/>
          <w:sz w:val="20"/>
          <w:szCs w:val="20"/>
        </w:rPr>
        <w:t>amaritan</w:t>
      </w:r>
      <w:proofErr w:type="gramEnd"/>
      <w:r w:rsidR="00B03447" w:rsidRPr="00D84FFE">
        <w:rPr>
          <w:rFonts w:ascii="Arial" w:eastAsia="Times New Roman" w:hAnsi="Arial" w:cs="Arial"/>
          <w:color w:val="000000"/>
          <w:sz w:val="20"/>
          <w:szCs w:val="20"/>
        </w:rPr>
        <w:t xml:space="preserve"> </w:t>
      </w:r>
      <w:r w:rsidRPr="00D84FFE">
        <w:rPr>
          <w:rFonts w:ascii="Arial" w:eastAsia="Times New Roman" w:hAnsi="Arial" w:cs="Arial"/>
          <w:color w:val="000000"/>
          <w:sz w:val="20"/>
          <w:szCs w:val="20"/>
        </w:rPr>
        <w:t xml:space="preserve">coverage for fire departments and amends the expected or intended injury </w:t>
      </w:r>
      <w:r w:rsidR="007D07EF">
        <w:rPr>
          <w:rFonts w:ascii="Arial" w:eastAsia="Times New Roman" w:hAnsi="Arial" w:cs="Arial"/>
          <w:color w:val="000000"/>
          <w:sz w:val="20"/>
          <w:szCs w:val="20"/>
        </w:rPr>
        <w:t xml:space="preserve">exclusion </w:t>
      </w:r>
      <w:r w:rsidR="00052902">
        <w:rPr>
          <w:rFonts w:ascii="Arial" w:eastAsia="Times New Roman" w:hAnsi="Arial" w:cs="Arial"/>
          <w:color w:val="000000"/>
          <w:sz w:val="20"/>
          <w:szCs w:val="20"/>
        </w:rPr>
        <w:t xml:space="preserve">for an occurrence </w:t>
      </w:r>
      <w:r w:rsidR="007D07EF">
        <w:rPr>
          <w:rFonts w:ascii="Arial" w:eastAsia="Times New Roman" w:hAnsi="Arial" w:cs="Arial"/>
          <w:color w:val="000000"/>
          <w:sz w:val="20"/>
          <w:szCs w:val="20"/>
        </w:rPr>
        <w:t>in the course of fire-</w:t>
      </w:r>
      <w:r w:rsidRPr="00D84FFE">
        <w:rPr>
          <w:rFonts w:ascii="Arial" w:eastAsia="Times New Roman" w:hAnsi="Arial" w:cs="Arial"/>
          <w:color w:val="000000"/>
          <w:sz w:val="20"/>
          <w:szCs w:val="20"/>
        </w:rPr>
        <w:t>fighting or emergency operations.</w:t>
      </w:r>
    </w:p>
    <w:p w:rsidR="007D07EF" w:rsidRPr="007D07EF" w:rsidRDefault="004B3EBD" w:rsidP="007D07EF">
      <w:pPr>
        <w:jc w:val="both"/>
        <w:rPr>
          <w:rFonts w:ascii="Arial" w:eastAsia="Times New Roman" w:hAnsi="Arial" w:cs="Arial"/>
          <w:color w:val="000000"/>
          <w:sz w:val="20"/>
          <w:szCs w:val="20"/>
        </w:rPr>
      </w:pPr>
      <w:r w:rsidRPr="007D07EF">
        <w:rPr>
          <w:rFonts w:ascii="Arial" w:eastAsia="Times New Roman" w:hAnsi="Arial" w:cs="Arial"/>
          <w:color w:val="000000"/>
          <w:sz w:val="20"/>
          <w:szCs w:val="20"/>
        </w:rPr>
        <w:t xml:space="preserve">There is an additional premium charge for this endorsement </w:t>
      </w:r>
      <w:r w:rsidR="007D07EF">
        <w:rPr>
          <w:rFonts w:ascii="Arial" w:eastAsia="Times New Roman" w:hAnsi="Arial" w:cs="Arial"/>
          <w:color w:val="000000"/>
          <w:sz w:val="20"/>
          <w:szCs w:val="20"/>
        </w:rPr>
        <w:t xml:space="preserve">of </w:t>
      </w:r>
      <w:r w:rsidR="007D07EF" w:rsidRPr="007D07EF">
        <w:rPr>
          <w:rFonts w:ascii="Arial" w:eastAsia="Times New Roman" w:hAnsi="Arial" w:cs="Arial"/>
          <w:color w:val="000000"/>
          <w:sz w:val="20"/>
          <w:szCs w:val="20"/>
        </w:rPr>
        <w:t xml:space="preserve">$5 per firefighter, whether </w:t>
      </w:r>
      <w:proofErr w:type="gramStart"/>
      <w:r w:rsidR="007D07EF" w:rsidRPr="007D07EF">
        <w:rPr>
          <w:rFonts w:ascii="Arial" w:eastAsia="Times New Roman" w:hAnsi="Arial" w:cs="Arial"/>
          <w:color w:val="000000"/>
          <w:sz w:val="20"/>
          <w:szCs w:val="20"/>
        </w:rPr>
        <w:t>employed</w:t>
      </w:r>
      <w:proofErr w:type="gramEnd"/>
      <w:r w:rsidR="007D07EF" w:rsidRPr="007D07EF">
        <w:rPr>
          <w:rFonts w:ascii="Arial" w:eastAsia="Times New Roman" w:hAnsi="Arial" w:cs="Arial"/>
          <w:color w:val="000000"/>
          <w:sz w:val="20"/>
          <w:szCs w:val="20"/>
        </w:rPr>
        <w:t xml:space="preserve"> or volunteer, subject to a $</w:t>
      </w:r>
      <w:r w:rsidR="00CA27B5">
        <w:rPr>
          <w:rFonts w:ascii="Arial" w:eastAsia="Times New Roman" w:hAnsi="Arial" w:cs="Arial"/>
          <w:color w:val="000000"/>
          <w:sz w:val="20"/>
          <w:szCs w:val="20"/>
        </w:rPr>
        <w:t>10</w:t>
      </w:r>
      <w:r w:rsidR="00CA27B5" w:rsidRPr="007D07EF">
        <w:rPr>
          <w:rFonts w:ascii="Arial" w:eastAsia="Times New Roman" w:hAnsi="Arial" w:cs="Arial"/>
          <w:color w:val="000000"/>
          <w:sz w:val="20"/>
          <w:szCs w:val="20"/>
        </w:rPr>
        <w:t xml:space="preserve">0 </w:t>
      </w:r>
      <w:r w:rsidR="007D07EF" w:rsidRPr="007D07EF">
        <w:rPr>
          <w:rFonts w:ascii="Arial" w:eastAsia="Times New Roman" w:hAnsi="Arial" w:cs="Arial"/>
          <w:color w:val="000000"/>
          <w:sz w:val="20"/>
          <w:szCs w:val="20"/>
        </w:rPr>
        <w:t>minimum premium.</w:t>
      </w:r>
    </w:p>
    <w:p w:rsidR="00414A21" w:rsidRPr="00D84FFE" w:rsidRDefault="00414A21" w:rsidP="00610076">
      <w:pPr>
        <w:autoSpaceDE w:val="0"/>
        <w:autoSpaceDN w:val="0"/>
        <w:adjustRightInd w:val="0"/>
        <w:spacing w:after="0" w:line="240" w:lineRule="auto"/>
        <w:rPr>
          <w:rFonts w:ascii="Arial" w:hAnsi="Arial" w:cs="Arial"/>
          <w:sz w:val="20"/>
          <w:szCs w:val="20"/>
        </w:rPr>
      </w:pPr>
    </w:p>
    <w:p w:rsidR="003258C2"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INSUREDS IN MEDIA AND INTERNET TYPE BUSINESSES AMENDED EXCLUSION - COLLEGES, UNIVERSITIES OR SCHOOLS</w:t>
      </w:r>
      <w:r w:rsidR="00A447A5">
        <w:rPr>
          <w:rFonts w:ascii="Arial" w:eastAsia="Times New Roman" w:hAnsi="Arial" w:cs="Arial"/>
          <w:b/>
          <w:bCs/>
          <w:color w:val="000000"/>
          <w:sz w:val="20"/>
          <w:szCs w:val="20"/>
        </w:rPr>
        <w:t xml:space="preserve"> - 121855</w:t>
      </w:r>
    </w:p>
    <w:p w:rsidR="00414A21" w:rsidRPr="00D84FFE"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color w:val="000000"/>
          <w:sz w:val="20"/>
          <w:szCs w:val="20"/>
        </w:rPr>
        <w:t>This optional endorsement amends Coverage B</w:t>
      </w:r>
      <w:r w:rsidR="003258C2">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2.j. so that it does not apply to certain types of media if broadcast or published by an insured's schools, colleges or universities.</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414A21" w:rsidRPr="00D84FFE" w:rsidRDefault="00414A21" w:rsidP="00610076">
      <w:pPr>
        <w:autoSpaceDE w:val="0"/>
        <w:autoSpaceDN w:val="0"/>
        <w:adjustRightInd w:val="0"/>
        <w:spacing w:after="0" w:line="240" w:lineRule="auto"/>
        <w:rPr>
          <w:rFonts w:ascii="Arial" w:hAnsi="Arial" w:cs="Arial"/>
          <w:sz w:val="20"/>
          <w:szCs w:val="20"/>
        </w:rPr>
      </w:pPr>
    </w:p>
    <w:p w:rsidR="003258C2"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INSUREDS IN MEDIA AND INTERNET TYPE BUSINESSES AMENDED EXCLUSION - PUBLIC ACCESS CHANNEL EXCEPTION</w:t>
      </w:r>
      <w:r w:rsidR="00A447A5">
        <w:rPr>
          <w:rFonts w:ascii="Arial" w:eastAsia="Times New Roman" w:hAnsi="Arial" w:cs="Arial"/>
          <w:b/>
          <w:bCs/>
          <w:color w:val="000000"/>
          <w:sz w:val="20"/>
          <w:szCs w:val="20"/>
        </w:rPr>
        <w:t xml:space="preserve"> - 121856</w:t>
      </w:r>
    </w:p>
    <w:p w:rsidR="00414A21" w:rsidRPr="00D84FFE"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color w:val="000000"/>
          <w:sz w:val="20"/>
          <w:szCs w:val="20"/>
        </w:rPr>
        <w:t>This optional endorsement amends Coverage B</w:t>
      </w:r>
      <w:r w:rsidR="003258C2">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2.j. so that it does not apply to</w:t>
      </w:r>
      <w:r w:rsidR="00052902">
        <w:rPr>
          <w:rFonts w:ascii="Arial" w:eastAsia="Times New Roman" w:hAnsi="Arial" w:cs="Arial"/>
          <w:color w:val="000000"/>
          <w:sz w:val="20"/>
          <w:szCs w:val="20"/>
        </w:rPr>
        <w:t xml:space="preserve"> the insured’s</w:t>
      </w:r>
      <w:r w:rsidRPr="00D84FFE">
        <w:rPr>
          <w:rFonts w:ascii="Arial" w:eastAsia="Times New Roman" w:hAnsi="Arial" w:cs="Arial"/>
          <w:color w:val="000000"/>
          <w:sz w:val="20"/>
          <w:szCs w:val="20"/>
        </w:rPr>
        <w:t xml:space="preserve"> use of a public access cable television channel.</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414A21" w:rsidRPr="00D84FFE" w:rsidRDefault="00414A21" w:rsidP="00610076">
      <w:pPr>
        <w:autoSpaceDE w:val="0"/>
        <w:autoSpaceDN w:val="0"/>
        <w:adjustRightInd w:val="0"/>
        <w:spacing w:after="0" w:line="240" w:lineRule="auto"/>
        <w:rPr>
          <w:rFonts w:ascii="Arial" w:hAnsi="Arial" w:cs="Arial"/>
          <w:sz w:val="20"/>
          <w:szCs w:val="20"/>
        </w:rPr>
      </w:pPr>
    </w:p>
    <w:p w:rsidR="003258C2"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LIMITED ADDITIONAL INSURED – DESIGNATED PERSON OR ORGANIZATION FOR DESIGNATED PREMISES</w:t>
      </w:r>
      <w:r w:rsidR="00A447A5">
        <w:rPr>
          <w:rFonts w:ascii="Arial" w:eastAsia="Times New Roman" w:hAnsi="Arial" w:cs="Arial"/>
          <w:b/>
          <w:bCs/>
          <w:color w:val="000000"/>
          <w:sz w:val="20"/>
          <w:szCs w:val="20"/>
        </w:rPr>
        <w:t xml:space="preserve"> 121857</w:t>
      </w:r>
    </w:p>
    <w:p w:rsidR="00414A21" w:rsidRPr="00D84FFE" w:rsidRDefault="00414A21" w:rsidP="00414A21">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 xml:space="preserve">This optional endorsement amends Section II – Who Is </w:t>
      </w:r>
      <w:proofErr w:type="gramStart"/>
      <w:r w:rsidRPr="00D84FFE">
        <w:rPr>
          <w:rFonts w:ascii="Arial" w:eastAsia="Times New Roman" w:hAnsi="Arial" w:cs="Arial"/>
          <w:color w:val="000000"/>
          <w:sz w:val="20"/>
          <w:szCs w:val="20"/>
        </w:rPr>
        <w:t>An</w:t>
      </w:r>
      <w:proofErr w:type="gramEnd"/>
      <w:r w:rsidRPr="00D84FFE">
        <w:rPr>
          <w:rFonts w:ascii="Arial" w:eastAsia="Times New Roman" w:hAnsi="Arial" w:cs="Arial"/>
          <w:color w:val="000000"/>
          <w:sz w:val="20"/>
          <w:szCs w:val="20"/>
        </w:rPr>
        <w:t xml:space="preserve"> Insured by adding a designated person or organization for a specific purpose at a designated premises.</w:t>
      </w:r>
    </w:p>
    <w:p w:rsidR="00414A21" w:rsidRDefault="0016336B" w:rsidP="007D07EF">
      <w:pPr>
        <w:jc w:val="both"/>
        <w:rPr>
          <w:rFonts w:ascii="Arial" w:eastAsia="Times New Roman" w:hAnsi="Arial" w:cs="Arial"/>
          <w:color w:val="000000"/>
          <w:sz w:val="20"/>
          <w:szCs w:val="20"/>
        </w:rPr>
      </w:pPr>
      <w:r w:rsidRPr="007D07EF">
        <w:rPr>
          <w:rFonts w:ascii="Arial" w:eastAsia="Times New Roman" w:hAnsi="Arial" w:cs="Arial"/>
          <w:color w:val="000000"/>
          <w:sz w:val="20"/>
          <w:szCs w:val="20"/>
        </w:rPr>
        <w:t>There is a</w:t>
      </w:r>
      <w:r w:rsidR="004B3EBD" w:rsidRPr="007D07EF">
        <w:rPr>
          <w:rFonts w:ascii="Arial" w:eastAsia="Times New Roman" w:hAnsi="Arial" w:cs="Arial"/>
          <w:color w:val="000000"/>
          <w:sz w:val="20"/>
          <w:szCs w:val="20"/>
        </w:rPr>
        <w:t>n additional</w:t>
      </w:r>
      <w:r w:rsidRPr="007D07EF">
        <w:rPr>
          <w:rFonts w:ascii="Arial" w:eastAsia="Times New Roman" w:hAnsi="Arial" w:cs="Arial"/>
          <w:color w:val="000000"/>
          <w:sz w:val="20"/>
          <w:szCs w:val="20"/>
        </w:rPr>
        <w:t xml:space="preserve"> premium charge </w:t>
      </w:r>
      <w:r w:rsidR="004B3EBD" w:rsidRPr="007D07EF">
        <w:rPr>
          <w:rFonts w:ascii="Arial" w:eastAsia="Times New Roman" w:hAnsi="Arial" w:cs="Arial"/>
          <w:color w:val="000000"/>
          <w:sz w:val="20"/>
          <w:szCs w:val="20"/>
        </w:rPr>
        <w:t xml:space="preserve">for this endorsement </w:t>
      </w:r>
      <w:r w:rsidR="007D07EF">
        <w:rPr>
          <w:rFonts w:ascii="Arial" w:eastAsia="Times New Roman" w:hAnsi="Arial" w:cs="Arial"/>
          <w:color w:val="000000"/>
          <w:sz w:val="20"/>
          <w:szCs w:val="20"/>
        </w:rPr>
        <w:t>of $100.00 for each entity added as an additional insured.</w:t>
      </w:r>
    </w:p>
    <w:p w:rsidR="007D07EF" w:rsidRPr="007D07EF" w:rsidRDefault="007D07EF" w:rsidP="007D07EF">
      <w:pPr>
        <w:autoSpaceDE w:val="0"/>
        <w:autoSpaceDN w:val="0"/>
        <w:adjustRightInd w:val="0"/>
        <w:spacing w:after="0" w:line="240" w:lineRule="auto"/>
        <w:rPr>
          <w:rFonts w:ascii="Arial" w:hAnsi="Arial" w:cs="Arial"/>
          <w:sz w:val="20"/>
          <w:szCs w:val="20"/>
        </w:rPr>
      </w:pPr>
    </w:p>
    <w:p w:rsidR="003258C2" w:rsidRDefault="00414A21" w:rsidP="007D07EF">
      <w:pPr>
        <w:autoSpaceDE w:val="0"/>
        <w:autoSpaceDN w:val="0"/>
        <w:adjustRightInd w:val="0"/>
        <w:spacing w:after="0" w:line="240" w:lineRule="auto"/>
        <w:rPr>
          <w:rFonts w:ascii="Arial" w:eastAsia="Times New Roman" w:hAnsi="Arial" w:cs="Arial"/>
          <w:b/>
          <w:bCs/>
          <w:color w:val="000000"/>
          <w:sz w:val="20"/>
          <w:szCs w:val="20"/>
        </w:rPr>
      </w:pPr>
      <w:r w:rsidRPr="007D07EF">
        <w:rPr>
          <w:rFonts w:ascii="Arial" w:hAnsi="Arial" w:cs="Arial"/>
          <w:b/>
          <w:sz w:val="20"/>
          <w:szCs w:val="20"/>
        </w:rPr>
        <w:t>NURSES EMERGENCY MEDICAL TECHNICIANS PARAMEDICS PROFESSIONAL LIABILITY</w:t>
      </w:r>
      <w:r w:rsidRPr="00D84FFE">
        <w:rPr>
          <w:rFonts w:ascii="Arial" w:eastAsia="Times New Roman" w:hAnsi="Arial" w:cs="Arial"/>
          <w:b/>
          <w:bCs/>
          <w:color w:val="000000"/>
          <w:sz w:val="20"/>
          <w:szCs w:val="20"/>
        </w:rPr>
        <w:t xml:space="preserve"> ENDORSEMENT</w:t>
      </w:r>
      <w:r w:rsidR="00A447A5">
        <w:rPr>
          <w:rFonts w:ascii="Arial" w:eastAsia="Times New Roman" w:hAnsi="Arial" w:cs="Arial"/>
          <w:b/>
          <w:bCs/>
          <w:color w:val="000000"/>
          <w:sz w:val="20"/>
          <w:szCs w:val="20"/>
        </w:rPr>
        <w:t xml:space="preserve"> - 121858</w:t>
      </w:r>
    </w:p>
    <w:p w:rsidR="00414A21" w:rsidRPr="00D84FFE" w:rsidRDefault="00414A21" w:rsidP="007D07EF">
      <w:pPr>
        <w:autoSpaceDE w:val="0"/>
        <w:autoSpaceDN w:val="0"/>
        <w:adjustRightInd w:val="0"/>
        <w:spacing w:after="0" w:line="240" w:lineRule="auto"/>
        <w:rPr>
          <w:rFonts w:ascii="Arial" w:eastAsia="Times New Roman" w:hAnsi="Arial" w:cs="Arial"/>
          <w:b/>
          <w:bCs/>
          <w:color w:val="000000"/>
          <w:sz w:val="20"/>
          <w:szCs w:val="20"/>
        </w:rPr>
      </w:pPr>
      <w:r w:rsidRPr="00D84FFE">
        <w:rPr>
          <w:rFonts w:ascii="Arial" w:eastAsia="Times New Roman" w:hAnsi="Arial" w:cs="Arial"/>
          <w:color w:val="000000"/>
          <w:sz w:val="20"/>
          <w:szCs w:val="20"/>
        </w:rPr>
        <w:t xml:space="preserve">This optional endorsement amends Section II – Who Is </w:t>
      </w:r>
      <w:proofErr w:type="gramStart"/>
      <w:r w:rsidRPr="00D84FFE">
        <w:rPr>
          <w:rFonts w:ascii="Arial" w:eastAsia="Times New Roman" w:hAnsi="Arial" w:cs="Arial"/>
          <w:color w:val="000000"/>
          <w:sz w:val="20"/>
          <w:szCs w:val="20"/>
        </w:rPr>
        <w:t>An</w:t>
      </w:r>
      <w:proofErr w:type="gramEnd"/>
      <w:r w:rsidRPr="00D84FFE">
        <w:rPr>
          <w:rFonts w:ascii="Arial" w:eastAsia="Times New Roman" w:hAnsi="Arial" w:cs="Arial"/>
          <w:color w:val="000000"/>
          <w:sz w:val="20"/>
          <w:szCs w:val="20"/>
        </w:rPr>
        <w:t xml:space="preserve"> Insured by adding coverage for “bodily injury” or “personal and advertising injury” arising out of professional healthcare services provided by </w:t>
      </w:r>
      <w:r w:rsidR="00052902">
        <w:rPr>
          <w:rFonts w:ascii="Arial" w:eastAsia="Times New Roman" w:hAnsi="Arial" w:cs="Arial"/>
          <w:color w:val="000000"/>
          <w:sz w:val="20"/>
          <w:szCs w:val="20"/>
        </w:rPr>
        <w:t xml:space="preserve">employed </w:t>
      </w:r>
      <w:r w:rsidRPr="00D84FFE">
        <w:rPr>
          <w:rFonts w:ascii="Arial" w:eastAsia="Times New Roman" w:hAnsi="Arial" w:cs="Arial"/>
          <w:color w:val="000000"/>
          <w:sz w:val="20"/>
          <w:szCs w:val="20"/>
        </w:rPr>
        <w:t>nurses, emergency medical technicians or paramedics.</w:t>
      </w:r>
    </w:p>
    <w:p w:rsidR="007D07EF" w:rsidRPr="00683F4C" w:rsidRDefault="007D07EF" w:rsidP="007D07EF">
      <w:pPr>
        <w:autoSpaceDE w:val="0"/>
        <w:autoSpaceDN w:val="0"/>
        <w:adjustRightInd w:val="0"/>
        <w:rPr>
          <w:rFonts w:ascii="Arial" w:hAnsi="Arial" w:cs="Arial"/>
          <w:bCs/>
          <w:sz w:val="20"/>
          <w:szCs w:val="20"/>
        </w:rPr>
      </w:pPr>
      <w:r w:rsidRPr="00683F4C">
        <w:rPr>
          <w:rFonts w:ascii="Arial" w:hAnsi="Arial" w:cs="Arial"/>
          <w:bCs/>
          <w:sz w:val="20"/>
          <w:szCs w:val="20"/>
        </w:rPr>
        <w:t>The premium for this endorsement</w:t>
      </w:r>
      <w:r w:rsidRPr="00683F4C">
        <w:rPr>
          <w:rFonts w:ascii="Arial" w:hAnsi="Arial" w:cs="Arial"/>
          <w:sz w:val="20"/>
          <w:szCs w:val="20"/>
        </w:rPr>
        <w:t xml:space="preserve"> is </w:t>
      </w:r>
      <w:r>
        <w:rPr>
          <w:rFonts w:ascii="Arial" w:hAnsi="Arial" w:cs="Arial"/>
          <w:sz w:val="20"/>
          <w:szCs w:val="20"/>
        </w:rPr>
        <w:t>set forth</w:t>
      </w:r>
      <w:r w:rsidRPr="00683F4C">
        <w:rPr>
          <w:rFonts w:ascii="Arial" w:hAnsi="Arial" w:cs="Arial"/>
          <w:sz w:val="20"/>
          <w:szCs w:val="20"/>
        </w:rPr>
        <w:t xml:space="preserve"> in the following table:</w:t>
      </w:r>
    </w:p>
    <w:tbl>
      <w:tblPr>
        <w:tblStyle w:val="TableGrid"/>
        <w:tblW w:w="9828" w:type="dxa"/>
        <w:tblInd w:w="-252" w:type="dxa"/>
        <w:tblLook w:val="04A0" w:firstRow="1" w:lastRow="0" w:firstColumn="1" w:lastColumn="0" w:noHBand="0" w:noVBand="1"/>
      </w:tblPr>
      <w:tblGrid>
        <w:gridCol w:w="2487"/>
        <w:gridCol w:w="1203"/>
        <w:gridCol w:w="1227"/>
        <w:gridCol w:w="1203"/>
        <w:gridCol w:w="1260"/>
        <w:gridCol w:w="1245"/>
        <w:gridCol w:w="1203"/>
      </w:tblGrid>
      <w:tr w:rsidR="007D07EF" w:rsidRPr="007D07EF" w:rsidTr="003A7C50">
        <w:trPr>
          <w:trHeight w:val="360"/>
        </w:trPr>
        <w:tc>
          <w:tcPr>
            <w:tcW w:w="2487" w:type="dxa"/>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Professional Group</w:t>
            </w:r>
          </w:p>
        </w:tc>
        <w:tc>
          <w:tcPr>
            <w:tcW w:w="2430" w:type="dxa"/>
            <w:gridSpan w:val="2"/>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$1M / $1M limit</w:t>
            </w:r>
          </w:p>
        </w:tc>
        <w:tc>
          <w:tcPr>
            <w:tcW w:w="2463" w:type="dxa"/>
            <w:gridSpan w:val="2"/>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$1M / $2M limit</w:t>
            </w:r>
          </w:p>
        </w:tc>
        <w:tc>
          <w:tcPr>
            <w:tcW w:w="2448" w:type="dxa"/>
            <w:gridSpan w:val="2"/>
            <w:shd w:val="pct15" w:color="auto" w:fill="auto"/>
            <w:vAlign w:val="center"/>
          </w:tcPr>
          <w:p w:rsidR="007D07EF" w:rsidRPr="007D07EF" w:rsidRDefault="007D07EF" w:rsidP="003A7C50">
            <w:pPr>
              <w:jc w:val="center"/>
              <w:rPr>
                <w:rFonts w:ascii="Arial" w:hAnsi="Arial" w:cs="Arial"/>
                <w:b/>
                <w:sz w:val="20"/>
                <w:szCs w:val="20"/>
              </w:rPr>
            </w:pPr>
            <w:r w:rsidRPr="007D07EF">
              <w:rPr>
                <w:rFonts w:ascii="Arial" w:hAnsi="Arial" w:cs="Arial"/>
                <w:b/>
                <w:sz w:val="20"/>
                <w:szCs w:val="20"/>
              </w:rPr>
              <w:t>$1M/ $3M limit</w:t>
            </w:r>
          </w:p>
        </w:tc>
      </w:tr>
      <w:tr w:rsidR="007D07EF" w:rsidRPr="007D07EF" w:rsidTr="003A7C50">
        <w:trPr>
          <w:trHeight w:val="360"/>
        </w:trPr>
        <w:tc>
          <w:tcPr>
            <w:tcW w:w="2487" w:type="dxa"/>
            <w:vAlign w:val="center"/>
          </w:tcPr>
          <w:p w:rsidR="007D07EF" w:rsidRPr="007D07EF" w:rsidRDefault="007D07EF" w:rsidP="003A7C50">
            <w:pPr>
              <w:jc w:val="center"/>
              <w:rPr>
                <w:rFonts w:ascii="Arial" w:hAnsi="Arial" w:cs="Arial"/>
              </w:rPr>
            </w:pPr>
          </w:p>
        </w:tc>
        <w:tc>
          <w:tcPr>
            <w:tcW w:w="1203" w:type="dxa"/>
            <w:shd w:val="clear" w:color="auto" w:fill="DAEEF3" w:themeFill="accent5" w:themeFillTint="33"/>
            <w:vAlign w:val="center"/>
          </w:tcPr>
          <w:p w:rsidR="007D07EF" w:rsidRPr="007D07EF" w:rsidRDefault="007D07EF" w:rsidP="003A7C50">
            <w:pPr>
              <w:jc w:val="center"/>
              <w:rPr>
                <w:rFonts w:ascii="Arial" w:hAnsi="Arial" w:cs="Arial"/>
              </w:rPr>
            </w:pPr>
            <w:r w:rsidRPr="007D07EF">
              <w:rPr>
                <w:rFonts w:ascii="Arial" w:hAnsi="Arial" w:cs="Arial"/>
              </w:rPr>
              <w:t>Rate A</w:t>
            </w:r>
          </w:p>
        </w:tc>
        <w:tc>
          <w:tcPr>
            <w:tcW w:w="1227" w:type="dxa"/>
            <w:shd w:val="clear" w:color="auto" w:fill="E5DFEC" w:themeFill="accent4" w:themeFillTint="33"/>
            <w:vAlign w:val="center"/>
          </w:tcPr>
          <w:p w:rsidR="007D07EF" w:rsidRPr="007D07EF" w:rsidRDefault="007D07EF" w:rsidP="003A7C50">
            <w:pPr>
              <w:jc w:val="center"/>
              <w:rPr>
                <w:rFonts w:ascii="Arial" w:hAnsi="Arial" w:cs="Arial"/>
              </w:rPr>
            </w:pPr>
            <w:r w:rsidRPr="007D07EF">
              <w:rPr>
                <w:rFonts w:ascii="Arial" w:hAnsi="Arial" w:cs="Arial"/>
              </w:rPr>
              <w:t>Rate B</w:t>
            </w:r>
          </w:p>
        </w:tc>
        <w:tc>
          <w:tcPr>
            <w:tcW w:w="1203" w:type="dxa"/>
            <w:shd w:val="clear" w:color="auto" w:fill="DAEEF3" w:themeFill="accent5" w:themeFillTint="33"/>
            <w:vAlign w:val="center"/>
          </w:tcPr>
          <w:p w:rsidR="007D07EF" w:rsidRPr="007D07EF" w:rsidRDefault="007D07EF" w:rsidP="003A7C50">
            <w:pPr>
              <w:jc w:val="center"/>
              <w:rPr>
                <w:rFonts w:ascii="Arial" w:hAnsi="Arial" w:cs="Arial"/>
              </w:rPr>
            </w:pPr>
            <w:r w:rsidRPr="007D07EF">
              <w:rPr>
                <w:rFonts w:ascii="Arial" w:hAnsi="Arial" w:cs="Arial"/>
              </w:rPr>
              <w:t>Rate A</w:t>
            </w:r>
          </w:p>
        </w:tc>
        <w:tc>
          <w:tcPr>
            <w:tcW w:w="1260" w:type="dxa"/>
            <w:shd w:val="clear" w:color="auto" w:fill="E5DFEC" w:themeFill="accent4" w:themeFillTint="33"/>
            <w:vAlign w:val="center"/>
          </w:tcPr>
          <w:p w:rsidR="007D07EF" w:rsidRPr="007D07EF" w:rsidRDefault="007D07EF" w:rsidP="003A7C50">
            <w:pPr>
              <w:jc w:val="center"/>
              <w:rPr>
                <w:rFonts w:ascii="Arial" w:hAnsi="Arial" w:cs="Arial"/>
              </w:rPr>
            </w:pPr>
            <w:r w:rsidRPr="007D07EF">
              <w:rPr>
                <w:rFonts w:ascii="Arial" w:hAnsi="Arial" w:cs="Arial"/>
              </w:rPr>
              <w:t>Rate B</w:t>
            </w:r>
          </w:p>
        </w:tc>
        <w:tc>
          <w:tcPr>
            <w:tcW w:w="1245" w:type="dxa"/>
            <w:shd w:val="clear" w:color="auto" w:fill="DAEEF3" w:themeFill="accent5" w:themeFillTint="33"/>
            <w:vAlign w:val="center"/>
          </w:tcPr>
          <w:p w:rsidR="007D07EF" w:rsidRPr="007D07EF" w:rsidRDefault="007D07EF" w:rsidP="003A7C50">
            <w:pPr>
              <w:jc w:val="center"/>
              <w:rPr>
                <w:rFonts w:ascii="Arial" w:hAnsi="Arial" w:cs="Arial"/>
              </w:rPr>
            </w:pPr>
            <w:r w:rsidRPr="007D07EF">
              <w:rPr>
                <w:rFonts w:ascii="Arial" w:hAnsi="Arial" w:cs="Arial"/>
              </w:rPr>
              <w:t>Rate A</w:t>
            </w:r>
          </w:p>
        </w:tc>
        <w:tc>
          <w:tcPr>
            <w:tcW w:w="1203" w:type="dxa"/>
            <w:shd w:val="clear" w:color="auto" w:fill="E5DFEC" w:themeFill="accent4" w:themeFillTint="33"/>
            <w:vAlign w:val="center"/>
          </w:tcPr>
          <w:p w:rsidR="007D07EF" w:rsidRPr="007D07EF" w:rsidRDefault="007D07EF" w:rsidP="003A7C50">
            <w:pPr>
              <w:jc w:val="center"/>
              <w:rPr>
                <w:rFonts w:ascii="Arial" w:hAnsi="Arial" w:cs="Arial"/>
              </w:rPr>
            </w:pPr>
            <w:r w:rsidRPr="007D07EF">
              <w:rPr>
                <w:rFonts w:ascii="Arial" w:hAnsi="Arial" w:cs="Arial"/>
              </w:rPr>
              <w:t>Rate B</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Registered Nurses, each</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$187</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$76</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$190</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$77</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$192</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Licensed Practical Nurses, each</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$70</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$172</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$71</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$174</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$72</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$177</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Nurses minimum premium</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$200</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$400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$200</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$400</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$200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$400</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EMT (no ambulances), each, max 10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$121</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$316</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$123</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$321</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$125</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$325</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EMT minimum premium</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$250</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$250</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$250</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Ambulances with EMTs only (no paramedics)</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$340 per ambulance</w:t>
            </w:r>
          </w:p>
        </w:tc>
        <w:tc>
          <w:tcPr>
            <w:tcW w:w="1227" w:type="dxa"/>
            <w:vAlign w:val="center"/>
          </w:tcPr>
          <w:p w:rsidR="007D07EF" w:rsidRPr="007D07EF" w:rsidRDefault="007D07EF" w:rsidP="0061025E">
            <w:pPr>
              <w:jc w:val="center"/>
              <w:rPr>
                <w:rFonts w:ascii="Arial" w:hAnsi="Arial" w:cs="Arial"/>
                <w:sz w:val="18"/>
                <w:szCs w:val="18"/>
              </w:rPr>
            </w:pPr>
            <w:r w:rsidRPr="007D07EF">
              <w:rPr>
                <w:rFonts w:ascii="Arial" w:hAnsi="Arial" w:cs="Arial"/>
                <w:sz w:val="18"/>
                <w:szCs w:val="18"/>
              </w:rPr>
              <w:t>$</w:t>
            </w:r>
            <w:r w:rsidR="0061025E">
              <w:rPr>
                <w:rFonts w:ascii="Arial" w:hAnsi="Arial" w:cs="Arial"/>
                <w:sz w:val="18"/>
                <w:szCs w:val="18"/>
              </w:rPr>
              <w:t>730</w:t>
            </w:r>
            <w:r w:rsidRPr="007D07EF">
              <w:rPr>
                <w:rFonts w:ascii="Arial" w:hAnsi="Arial" w:cs="Arial"/>
                <w:sz w:val="18"/>
                <w:szCs w:val="18"/>
              </w:rPr>
              <w:t xml:space="preserve">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$345 per ambulance</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$740 per ambulance</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$350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$750 per ambulance</w:t>
            </w:r>
          </w:p>
        </w:tc>
      </w:tr>
      <w:tr w:rsidR="007D07EF" w:rsidRPr="007D07EF" w:rsidTr="003A7C50">
        <w:trPr>
          <w:trHeight w:val="360"/>
        </w:trPr>
        <w:tc>
          <w:tcPr>
            <w:tcW w:w="2487" w:type="dxa"/>
            <w:vAlign w:val="center"/>
          </w:tcPr>
          <w:p w:rsidR="007D07EF" w:rsidRPr="007D07EF" w:rsidRDefault="007D07EF" w:rsidP="003A7C50">
            <w:pPr>
              <w:rPr>
                <w:rFonts w:ascii="Arial" w:hAnsi="Arial" w:cs="Arial"/>
                <w:sz w:val="18"/>
                <w:szCs w:val="18"/>
              </w:rPr>
            </w:pPr>
            <w:r w:rsidRPr="007D07EF">
              <w:rPr>
                <w:rFonts w:ascii="Arial" w:hAnsi="Arial" w:cs="Arial"/>
                <w:sz w:val="18"/>
                <w:szCs w:val="18"/>
              </w:rPr>
              <w:t>Ambulances with Paramedics</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$486 per ambulance</w:t>
            </w:r>
          </w:p>
        </w:tc>
        <w:tc>
          <w:tcPr>
            <w:tcW w:w="1227"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$1,215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$493 per ambulance</w:t>
            </w:r>
          </w:p>
        </w:tc>
        <w:tc>
          <w:tcPr>
            <w:tcW w:w="1260"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$1,233 per ambulance</w:t>
            </w:r>
          </w:p>
        </w:tc>
        <w:tc>
          <w:tcPr>
            <w:tcW w:w="1245"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$500 per ambulance</w:t>
            </w:r>
          </w:p>
        </w:tc>
        <w:tc>
          <w:tcPr>
            <w:tcW w:w="1203" w:type="dxa"/>
            <w:vAlign w:val="center"/>
          </w:tcPr>
          <w:p w:rsidR="007D07EF" w:rsidRPr="007D07EF" w:rsidRDefault="007D07EF" w:rsidP="003A7C50">
            <w:pPr>
              <w:jc w:val="center"/>
              <w:rPr>
                <w:rFonts w:ascii="Arial" w:hAnsi="Arial" w:cs="Arial"/>
                <w:sz w:val="18"/>
                <w:szCs w:val="18"/>
              </w:rPr>
            </w:pPr>
            <w:r w:rsidRPr="007D07EF">
              <w:rPr>
                <w:rFonts w:ascii="Arial" w:hAnsi="Arial" w:cs="Arial"/>
                <w:sz w:val="18"/>
                <w:szCs w:val="18"/>
              </w:rPr>
              <w:t>$1,250 per ambulance</w:t>
            </w:r>
          </w:p>
        </w:tc>
      </w:tr>
    </w:tbl>
    <w:p w:rsidR="004B3EBD" w:rsidRDefault="004B3EBD" w:rsidP="004B3EBD">
      <w:pPr>
        <w:autoSpaceDE w:val="0"/>
        <w:autoSpaceDN w:val="0"/>
        <w:adjustRightInd w:val="0"/>
        <w:rPr>
          <w:rFonts w:ascii="Arial" w:eastAsia="Times New Roman" w:hAnsi="Arial" w:cs="Arial"/>
          <w:color w:val="000000"/>
          <w:sz w:val="20"/>
          <w:szCs w:val="20"/>
        </w:rPr>
      </w:pPr>
    </w:p>
    <w:p w:rsidR="007D07EF" w:rsidRPr="007D07EF" w:rsidRDefault="007D07EF" w:rsidP="007D07EF">
      <w:pPr>
        <w:jc w:val="both"/>
        <w:rPr>
          <w:rFonts w:ascii="Arial" w:hAnsi="Arial" w:cs="Arial"/>
          <w:sz w:val="20"/>
          <w:szCs w:val="20"/>
        </w:rPr>
      </w:pPr>
      <w:r w:rsidRPr="007D07EF">
        <w:rPr>
          <w:rFonts w:ascii="Arial" w:hAnsi="Arial" w:cs="Arial"/>
          <w:sz w:val="20"/>
          <w:szCs w:val="20"/>
        </w:rPr>
        <w:lastRenderedPageBreak/>
        <w:t xml:space="preserve">Limits are included within the Commercial General Liability Limits of Insurance on the policy to which this endorsement </w:t>
      </w:r>
      <w:proofErr w:type="gramStart"/>
      <w:r w:rsidRPr="007D07EF">
        <w:rPr>
          <w:rFonts w:ascii="Arial" w:hAnsi="Arial" w:cs="Arial"/>
          <w:sz w:val="20"/>
          <w:szCs w:val="20"/>
        </w:rPr>
        <w:t>is attached</w:t>
      </w:r>
      <w:proofErr w:type="gramEnd"/>
      <w:r w:rsidRPr="007D07EF">
        <w:rPr>
          <w:rFonts w:ascii="Arial" w:hAnsi="Arial" w:cs="Arial"/>
          <w:sz w:val="20"/>
          <w:szCs w:val="20"/>
        </w:rPr>
        <w:t xml:space="preserve">.  Rates </w:t>
      </w:r>
      <w:proofErr w:type="gramStart"/>
      <w:r w:rsidRPr="007D07EF">
        <w:rPr>
          <w:rFonts w:ascii="Arial" w:hAnsi="Arial" w:cs="Arial"/>
          <w:sz w:val="20"/>
          <w:szCs w:val="20"/>
        </w:rPr>
        <w:t>are based</w:t>
      </w:r>
      <w:proofErr w:type="gramEnd"/>
      <w:r w:rsidRPr="007D07EF">
        <w:rPr>
          <w:rFonts w:ascii="Arial" w:hAnsi="Arial" w:cs="Arial"/>
          <w:sz w:val="20"/>
          <w:szCs w:val="20"/>
        </w:rPr>
        <w:t xml:space="preserve"> on the limits indicated</w:t>
      </w:r>
      <w:r>
        <w:rPr>
          <w:rFonts w:ascii="Arial" w:hAnsi="Arial" w:cs="Arial"/>
          <w:sz w:val="20"/>
          <w:szCs w:val="20"/>
        </w:rPr>
        <w:t xml:space="preserve"> </w:t>
      </w:r>
      <w:r w:rsidR="003258C2">
        <w:rPr>
          <w:rFonts w:ascii="Arial" w:hAnsi="Arial" w:cs="Arial"/>
          <w:sz w:val="20"/>
          <w:szCs w:val="20"/>
        </w:rPr>
        <w:t>and</w:t>
      </w:r>
      <w:r>
        <w:rPr>
          <w:rFonts w:ascii="Arial" w:hAnsi="Arial" w:cs="Arial"/>
          <w:sz w:val="20"/>
          <w:szCs w:val="20"/>
        </w:rPr>
        <w:t xml:space="preserve"> </w:t>
      </w:r>
      <w:r w:rsidRPr="007D07EF">
        <w:rPr>
          <w:rFonts w:ascii="Arial" w:hAnsi="Arial" w:cs="Arial"/>
          <w:sz w:val="20"/>
          <w:szCs w:val="20"/>
        </w:rPr>
        <w:t>are not subject to further modification by Experience or Schedule rating, as they are already deviated based on loss ratio per the following rule:</w:t>
      </w:r>
    </w:p>
    <w:p w:rsidR="007D07EF" w:rsidRPr="007D07EF" w:rsidRDefault="007D07EF" w:rsidP="007D07EF">
      <w:pPr>
        <w:pStyle w:val="ListParagraph"/>
        <w:numPr>
          <w:ilvl w:val="0"/>
          <w:numId w:val="1"/>
        </w:numPr>
        <w:jc w:val="both"/>
        <w:rPr>
          <w:rFonts w:ascii="Arial" w:hAnsi="Arial" w:cs="Arial"/>
          <w:sz w:val="20"/>
          <w:szCs w:val="20"/>
        </w:rPr>
      </w:pPr>
      <w:r w:rsidRPr="007D07EF">
        <w:rPr>
          <w:rFonts w:ascii="Arial" w:hAnsi="Arial" w:cs="Arial"/>
          <w:sz w:val="20"/>
          <w:szCs w:val="20"/>
        </w:rPr>
        <w:t>If the General Liability loss ratio is 50% or less, use Rate A.</w:t>
      </w:r>
    </w:p>
    <w:p w:rsidR="007D07EF" w:rsidRPr="007D07EF" w:rsidRDefault="007D07EF" w:rsidP="007D07EF">
      <w:pPr>
        <w:pStyle w:val="ListParagraph"/>
        <w:numPr>
          <w:ilvl w:val="0"/>
          <w:numId w:val="1"/>
        </w:numPr>
        <w:spacing w:line="240" w:lineRule="auto"/>
        <w:jc w:val="both"/>
        <w:rPr>
          <w:rFonts w:ascii="Arial" w:hAnsi="Arial" w:cs="Arial"/>
          <w:sz w:val="20"/>
          <w:szCs w:val="20"/>
        </w:rPr>
      </w:pPr>
      <w:proofErr w:type="gramStart"/>
      <w:r w:rsidRPr="007D07EF">
        <w:rPr>
          <w:rFonts w:ascii="Arial" w:hAnsi="Arial" w:cs="Arial"/>
          <w:sz w:val="20"/>
          <w:szCs w:val="20"/>
        </w:rPr>
        <w:t>If the General Liability loss ratio is 51% or greater, use Rate B.</w:t>
      </w:r>
      <w:proofErr w:type="gramEnd"/>
    </w:p>
    <w:p w:rsidR="007D07EF" w:rsidRPr="007D07EF" w:rsidRDefault="007D07EF" w:rsidP="007D07EF">
      <w:pPr>
        <w:jc w:val="both"/>
        <w:rPr>
          <w:rFonts w:ascii="Arial" w:hAnsi="Arial" w:cs="Arial"/>
          <w:sz w:val="20"/>
          <w:szCs w:val="20"/>
        </w:rPr>
      </w:pPr>
      <w:r w:rsidRPr="007D07EF">
        <w:rPr>
          <w:rFonts w:ascii="Arial" w:hAnsi="Arial" w:cs="Arial"/>
          <w:sz w:val="20"/>
          <w:szCs w:val="20"/>
        </w:rPr>
        <w:t xml:space="preserve">For minimum premiums, each rated Professional Group is subject to its own minimum premium. There is no minimum premium for the “Per Ambulance” rates.  If Nurses and EMT (no ambulances) are rated on a single policy and neither one rates above minimum premium, then the total premium for this endorsement would be the combined minimum premium values based upon </w:t>
      </w:r>
      <w:r>
        <w:rPr>
          <w:rFonts w:ascii="Arial" w:hAnsi="Arial" w:cs="Arial"/>
          <w:sz w:val="20"/>
          <w:szCs w:val="20"/>
        </w:rPr>
        <w:t>the</w:t>
      </w:r>
      <w:r w:rsidRPr="007D07EF">
        <w:rPr>
          <w:rFonts w:ascii="Arial" w:hAnsi="Arial" w:cs="Arial"/>
          <w:sz w:val="20"/>
          <w:szCs w:val="20"/>
        </w:rPr>
        <w:t xml:space="preserve"> Rate (A or B) </w:t>
      </w:r>
      <w:r>
        <w:rPr>
          <w:rFonts w:ascii="Arial" w:hAnsi="Arial" w:cs="Arial"/>
          <w:sz w:val="20"/>
          <w:szCs w:val="20"/>
        </w:rPr>
        <w:t>for which the account qualified.</w:t>
      </w:r>
    </w:p>
    <w:p w:rsidR="00414A21" w:rsidRPr="00D84FFE" w:rsidRDefault="00414A21" w:rsidP="00610076">
      <w:pPr>
        <w:autoSpaceDE w:val="0"/>
        <w:autoSpaceDN w:val="0"/>
        <w:adjustRightInd w:val="0"/>
        <w:spacing w:after="0" w:line="240" w:lineRule="auto"/>
        <w:rPr>
          <w:rFonts w:ascii="Arial" w:hAnsi="Arial" w:cs="Arial"/>
          <w:sz w:val="20"/>
          <w:szCs w:val="20"/>
        </w:rPr>
      </w:pPr>
    </w:p>
    <w:p w:rsidR="003258C2"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POLLUTION EXCEPTION FOR C</w:t>
      </w:r>
      <w:r w:rsidR="003258C2">
        <w:rPr>
          <w:rFonts w:ascii="Arial" w:eastAsia="Times New Roman" w:hAnsi="Arial" w:cs="Arial"/>
          <w:b/>
          <w:bCs/>
          <w:color w:val="000000"/>
          <w:sz w:val="20"/>
          <w:szCs w:val="20"/>
        </w:rPr>
        <w:t>LASSROOM ACTIVITIES ENDORSEMENT</w:t>
      </w:r>
      <w:r w:rsidR="00A447A5">
        <w:rPr>
          <w:rFonts w:ascii="Arial" w:eastAsia="Times New Roman" w:hAnsi="Arial" w:cs="Arial"/>
          <w:b/>
          <w:bCs/>
          <w:color w:val="000000"/>
          <w:sz w:val="20"/>
          <w:szCs w:val="20"/>
        </w:rPr>
        <w:t xml:space="preserve"> - 121859</w:t>
      </w:r>
    </w:p>
    <w:p w:rsidR="00414A21" w:rsidRPr="00D84FFE" w:rsidRDefault="00414A21" w:rsidP="00414A21">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 xml:space="preserve">This optional endorsement amends Coverage </w:t>
      </w:r>
      <w:proofErr w:type="gramStart"/>
      <w:r w:rsidRPr="00D84FFE">
        <w:rPr>
          <w:rFonts w:ascii="Arial" w:eastAsia="Times New Roman" w:hAnsi="Arial" w:cs="Arial"/>
          <w:color w:val="000000"/>
          <w:sz w:val="20"/>
          <w:szCs w:val="20"/>
        </w:rPr>
        <w:t>A</w:t>
      </w:r>
      <w:proofErr w:type="gramEnd"/>
      <w:r w:rsidR="003258C2">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 f. so that it does not apply to "bodily injury" or "property damage" arising out of ordinary classroom activities on the premises of any insured educational institution.</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414A21" w:rsidRPr="00D84FFE" w:rsidRDefault="00414A21" w:rsidP="00610076">
      <w:pPr>
        <w:autoSpaceDE w:val="0"/>
        <w:autoSpaceDN w:val="0"/>
        <w:adjustRightInd w:val="0"/>
        <w:spacing w:after="0" w:line="240" w:lineRule="auto"/>
        <w:rPr>
          <w:rFonts w:ascii="Arial" w:hAnsi="Arial" w:cs="Arial"/>
          <w:sz w:val="20"/>
          <w:szCs w:val="20"/>
        </w:rPr>
      </w:pPr>
    </w:p>
    <w:p w:rsidR="003258C2" w:rsidRDefault="00414A21" w:rsidP="00414A21">
      <w:pPr>
        <w:spacing w:after="0" w:line="240" w:lineRule="auto"/>
        <w:rPr>
          <w:rFonts w:ascii="Arial" w:eastAsia="Times New Roman" w:hAnsi="Arial" w:cs="Arial"/>
          <w:b/>
          <w:bCs/>
          <w:color w:val="000000"/>
          <w:sz w:val="20"/>
          <w:szCs w:val="20"/>
        </w:rPr>
      </w:pPr>
      <w:r w:rsidRPr="00D84FFE">
        <w:rPr>
          <w:rFonts w:ascii="Arial" w:eastAsia="Times New Roman" w:hAnsi="Arial" w:cs="Arial"/>
          <w:b/>
          <w:bCs/>
          <w:color w:val="000000"/>
          <w:sz w:val="20"/>
          <w:szCs w:val="20"/>
        </w:rPr>
        <w:t>POLLUTION EXCEPTION FOR WATER SUPPLY ENDORSEMENT</w:t>
      </w:r>
      <w:r w:rsidR="00A447A5">
        <w:rPr>
          <w:rFonts w:ascii="Arial" w:eastAsia="Times New Roman" w:hAnsi="Arial" w:cs="Arial"/>
          <w:b/>
          <w:bCs/>
          <w:color w:val="000000"/>
          <w:sz w:val="20"/>
          <w:szCs w:val="20"/>
        </w:rPr>
        <w:t xml:space="preserve"> - 121860</w:t>
      </w:r>
    </w:p>
    <w:p w:rsidR="00414A21" w:rsidRPr="00D84FFE" w:rsidRDefault="00414A21" w:rsidP="00414A21">
      <w:pPr>
        <w:spacing w:after="0" w:line="240" w:lineRule="auto"/>
        <w:rPr>
          <w:rFonts w:ascii="Arial" w:eastAsia="Times New Roman" w:hAnsi="Arial" w:cs="Arial"/>
          <w:color w:val="000000"/>
          <w:sz w:val="20"/>
          <w:szCs w:val="20"/>
        </w:rPr>
      </w:pPr>
      <w:r w:rsidRPr="00D84FFE">
        <w:rPr>
          <w:rFonts w:ascii="Arial" w:eastAsia="Times New Roman" w:hAnsi="Arial" w:cs="Arial"/>
          <w:color w:val="000000"/>
          <w:sz w:val="20"/>
          <w:szCs w:val="20"/>
        </w:rPr>
        <w:t xml:space="preserve">This optional endorsement amends Coverage </w:t>
      </w:r>
      <w:proofErr w:type="gramStart"/>
      <w:r w:rsidRPr="00D84FFE">
        <w:rPr>
          <w:rFonts w:ascii="Arial" w:eastAsia="Times New Roman" w:hAnsi="Arial" w:cs="Arial"/>
          <w:color w:val="000000"/>
          <w:sz w:val="20"/>
          <w:szCs w:val="20"/>
        </w:rPr>
        <w:t>A</w:t>
      </w:r>
      <w:proofErr w:type="gramEnd"/>
      <w:r w:rsidR="003258C2">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Exclusion 2. </w:t>
      </w:r>
      <w:proofErr w:type="gramStart"/>
      <w:r w:rsidR="0006517D">
        <w:rPr>
          <w:rFonts w:ascii="Arial" w:eastAsia="Times New Roman" w:hAnsi="Arial" w:cs="Arial"/>
          <w:color w:val="000000"/>
          <w:sz w:val="20"/>
          <w:szCs w:val="20"/>
        </w:rPr>
        <w:t>f</w:t>
      </w:r>
      <w:proofErr w:type="gramEnd"/>
      <w:r w:rsidR="0006517D">
        <w:rPr>
          <w:rFonts w:ascii="Arial" w:eastAsia="Times New Roman" w:hAnsi="Arial" w:cs="Arial"/>
          <w:color w:val="000000"/>
          <w:sz w:val="20"/>
          <w:szCs w:val="20"/>
        </w:rPr>
        <w:t>.</w:t>
      </w:r>
      <w:r w:rsidRPr="00D84FFE">
        <w:rPr>
          <w:rFonts w:ascii="Arial" w:eastAsia="Times New Roman" w:hAnsi="Arial" w:cs="Arial"/>
          <w:color w:val="000000"/>
          <w:sz w:val="20"/>
          <w:szCs w:val="20"/>
        </w:rPr>
        <w:t xml:space="preserve"> so that it does not apply to "bodily injury" or "property damage" arising  out of water that has been treated in a water treatment facility and supplied for human consumption by the insured.</w:t>
      </w:r>
    </w:p>
    <w:p w:rsidR="0016336B" w:rsidRPr="0016336B" w:rsidRDefault="0016336B" w:rsidP="0016336B">
      <w:pPr>
        <w:autoSpaceDE w:val="0"/>
        <w:autoSpaceDN w:val="0"/>
        <w:adjustRightInd w:val="0"/>
        <w:rPr>
          <w:rFonts w:ascii="Arial" w:hAnsi="Arial" w:cs="Arial"/>
          <w:sz w:val="20"/>
          <w:szCs w:val="20"/>
        </w:rPr>
      </w:pPr>
      <w:r w:rsidRPr="0016336B">
        <w:rPr>
          <w:rFonts w:ascii="Arial" w:hAnsi="Arial" w:cs="Arial"/>
          <w:sz w:val="20"/>
          <w:szCs w:val="20"/>
        </w:rPr>
        <w:t>There is no charge for this optional endorsement.</w:t>
      </w:r>
    </w:p>
    <w:p w:rsidR="00ED3339" w:rsidRPr="00D84FFE" w:rsidRDefault="00ED3339" w:rsidP="0006517D">
      <w:pPr>
        <w:rPr>
          <w:rFonts w:ascii="Arial" w:hAnsi="Arial" w:cs="Arial"/>
          <w:sz w:val="20"/>
          <w:szCs w:val="20"/>
        </w:rPr>
      </w:pPr>
      <w:bookmarkStart w:id="0" w:name="_GoBack"/>
      <w:bookmarkEnd w:id="0"/>
    </w:p>
    <w:sectPr w:rsidR="00ED3339" w:rsidRPr="00D84FF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7B5" w:rsidRDefault="00CA27B5" w:rsidP="00A17211">
      <w:pPr>
        <w:spacing w:after="0" w:line="240" w:lineRule="auto"/>
      </w:pPr>
      <w:r>
        <w:separator/>
      </w:r>
    </w:p>
  </w:endnote>
  <w:endnote w:type="continuationSeparator" w:id="0">
    <w:p w:rsidR="00CA27B5" w:rsidRDefault="00CA27B5" w:rsidP="00A17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7B5" w:rsidRDefault="00CA27B5">
    <w:pPr>
      <w:pStyle w:val="Footer"/>
    </w:pPr>
    <w:r>
      <w:t>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7B5" w:rsidRDefault="00CA27B5" w:rsidP="00A17211">
      <w:pPr>
        <w:spacing w:after="0" w:line="240" w:lineRule="auto"/>
      </w:pPr>
      <w:r>
        <w:separator/>
      </w:r>
    </w:p>
  </w:footnote>
  <w:footnote w:type="continuationSeparator" w:id="0">
    <w:p w:rsidR="00CA27B5" w:rsidRDefault="00CA27B5" w:rsidP="00A172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7B5" w:rsidRPr="00A17211" w:rsidRDefault="00CA27B5" w:rsidP="00A17211">
    <w:pPr>
      <w:pStyle w:val="Header"/>
      <w:jc w:val="center"/>
      <w:rPr>
        <w:rFonts w:ascii="Arial" w:hAnsi="Arial" w:cs="Arial"/>
      </w:rPr>
    </w:pPr>
    <w:r w:rsidRPr="00A17211">
      <w:rPr>
        <w:rFonts w:ascii="Arial" w:hAnsi="Arial" w:cs="Arial"/>
      </w:rPr>
      <w:t>EXPLANATORY MEMORANDUM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364DB"/>
    <w:multiLevelType w:val="hybridMultilevel"/>
    <w:tmpl w:val="0844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EAE"/>
    <w:rsid w:val="00031841"/>
    <w:rsid w:val="00036E51"/>
    <w:rsid w:val="00052902"/>
    <w:rsid w:val="0006517D"/>
    <w:rsid w:val="00122429"/>
    <w:rsid w:val="001511EF"/>
    <w:rsid w:val="0016336B"/>
    <w:rsid w:val="001A16BB"/>
    <w:rsid w:val="00212BED"/>
    <w:rsid w:val="002624B5"/>
    <w:rsid w:val="00264C9A"/>
    <w:rsid w:val="002D1086"/>
    <w:rsid w:val="002E0DFC"/>
    <w:rsid w:val="003258C2"/>
    <w:rsid w:val="00331B7A"/>
    <w:rsid w:val="003625D3"/>
    <w:rsid w:val="003A7C50"/>
    <w:rsid w:val="00414A21"/>
    <w:rsid w:val="004B3EBD"/>
    <w:rsid w:val="005E0D3D"/>
    <w:rsid w:val="005F0FC2"/>
    <w:rsid w:val="00610076"/>
    <w:rsid w:val="0061025E"/>
    <w:rsid w:val="00633CB7"/>
    <w:rsid w:val="007204AB"/>
    <w:rsid w:val="007720D8"/>
    <w:rsid w:val="007C3A63"/>
    <w:rsid w:val="007D07EF"/>
    <w:rsid w:val="007D2922"/>
    <w:rsid w:val="007F663E"/>
    <w:rsid w:val="008B692C"/>
    <w:rsid w:val="00952D17"/>
    <w:rsid w:val="00976791"/>
    <w:rsid w:val="00981FC4"/>
    <w:rsid w:val="009844D1"/>
    <w:rsid w:val="00A14D17"/>
    <w:rsid w:val="00A17211"/>
    <w:rsid w:val="00A447A5"/>
    <w:rsid w:val="00AF1316"/>
    <w:rsid w:val="00B03447"/>
    <w:rsid w:val="00B34545"/>
    <w:rsid w:val="00B80554"/>
    <w:rsid w:val="00C95258"/>
    <w:rsid w:val="00CA27B5"/>
    <w:rsid w:val="00CE195A"/>
    <w:rsid w:val="00D434F2"/>
    <w:rsid w:val="00D57ED6"/>
    <w:rsid w:val="00D64FC2"/>
    <w:rsid w:val="00D84FFE"/>
    <w:rsid w:val="00ED3339"/>
    <w:rsid w:val="00F30B1B"/>
    <w:rsid w:val="00F93B65"/>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211"/>
  </w:style>
  <w:style w:type="paragraph" w:styleId="Footer">
    <w:name w:val="footer"/>
    <w:basedOn w:val="Normal"/>
    <w:link w:val="FooterChar"/>
    <w:uiPriority w:val="99"/>
    <w:unhideWhenUsed/>
    <w:rsid w:val="00A17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211"/>
  </w:style>
  <w:style w:type="character" w:styleId="CommentReference">
    <w:name w:val="annotation reference"/>
    <w:basedOn w:val="DefaultParagraphFont"/>
    <w:uiPriority w:val="99"/>
    <w:semiHidden/>
    <w:unhideWhenUsed/>
    <w:rsid w:val="00031841"/>
    <w:rPr>
      <w:sz w:val="16"/>
      <w:szCs w:val="16"/>
    </w:rPr>
  </w:style>
  <w:style w:type="paragraph" w:styleId="CommentText">
    <w:name w:val="annotation text"/>
    <w:basedOn w:val="Normal"/>
    <w:link w:val="CommentTextChar"/>
    <w:uiPriority w:val="99"/>
    <w:semiHidden/>
    <w:unhideWhenUsed/>
    <w:rsid w:val="00031841"/>
    <w:pPr>
      <w:spacing w:line="240" w:lineRule="auto"/>
    </w:pPr>
    <w:rPr>
      <w:sz w:val="20"/>
      <w:szCs w:val="20"/>
    </w:rPr>
  </w:style>
  <w:style w:type="character" w:customStyle="1" w:styleId="CommentTextChar">
    <w:name w:val="Comment Text Char"/>
    <w:basedOn w:val="DefaultParagraphFont"/>
    <w:link w:val="CommentText"/>
    <w:uiPriority w:val="99"/>
    <w:semiHidden/>
    <w:rsid w:val="00031841"/>
    <w:rPr>
      <w:sz w:val="20"/>
      <w:szCs w:val="20"/>
    </w:rPr>
  </w:style>
  <w:style w:type="paragraph" w:styleId="CommentSubject">
    <w:name w:val="annotation subject"/>
    <w:basedOn w:val="CommentText"/>
    <w:next w:val="CommentText"/>
    <w:link w:val="CommentSubjectChar"/>
    <w:uiPriority w:val="99"/>
    <w:semiHidden/>
    <w:unhideWhenUsed/>
    <w:rsid w:val="00031841"/>
    <w:rPr>
      <w:b/>
      <w:bCs/>
    </w:rPr>
  </w:style>
  <w:style w:type="character" w:customStyle="1" w:styleId="CommentSubjectChar">
    <w:name w:val="Comment Subject Char"/>
    <w:basedOn w:val="CommentTextChar"/>
    <w:link w:val="CommentSubject"/>
    <w:uiPriority w:val="99"/>
    <w:semiHidden/>
    <w:rsid w:val="00031841"/>
    <w:rPr>
      <w:b/>
      <w:bCs/>
      <w:sz w:val="20"/>
      <w:szCs w:val="20"/>
    </w:rPr>
  </w:style>
  <w:style w:type="paragraph" w:styleId="BalloonText">
    <w:name w:val="Balloon Text"/>
    <w:basedOn w:val="Normal"/>
    <w:link w:val="BalloonTextChar"/>
    <w:uiPriority w:val="99"/>
    <w:semiHidden/>
    <w:unhideWhenUsed/>
    <w:rsid w:val="00031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841"/>
    <w:rPr>
      <w:rFonts w:ascii="Tahoma" w:hAnsi="Tahoma" w:cs="Tahoma"/>
      <w:sz w:val="16"/>
      <w:szCs w:val="16"/>
    </w:rPr>
  </w:style>
  <w:style w:type="paragraph" w:styleId="ListParagraph">
    <w:name w:val="List Paragraph"/>
    <w:basedOn w:val="Normal"/>
    <w:uiPriority w:val="34"/>
    <w:qFormat/>
    <w:rsid w:val="005F0FC2"/>
    <w:pPr>
      <w:ind w:left="720"/>
      <w:contextualSpacing/>
    </w:pPr>
  </w:style>
  <w:style w:type="paragraph" w:styleId="BodyText">
    <w:name w:val="Body Text"/>
    <w:basedOn w:val="Normal"/>
    <w:link w:val="BodyTextChar"/>
    <w:uiPriority w:val="1"/>
    <w:qFormat/>
    <w:rsid w:val="00036E51"/>
    <w:pPr>
      <w:widowControl w:val="0"/>
      <w:spacing w:after="0" w:line="240" w:lineRule="auto"/>
      <w:ind w:left="100"/>
    </w:pPr>
    <w:rPr>
      <w:rFonts w:ascii="Calibri" w:eastAsia="Calibri" w:hAnsi="Calibri"/>
    </w:rPr>
  </w:style>
  <w:style w:type="character" w:customStyle="1" w:styleId="BodyTextChar">
    <w:name w:val="Body Text Char"/>
    <w:basedOn w:val="DefaultParagraphFont"/>
    <w:link w:val="BodyText"/>
    <w:uiPriority w:val="1"/>
    <w:rsid w:val="00036E51"/>
    <w:rPr>
      <w:rFonts w:ascii="Calibri" w:eastAsia="Calibri" w:hAnsi="Calibri"/>
    </w:rPr>
  </w:style>
  <w:style w:type="table" w:styleId="TableGrid">
    <w:name w:val="Table Grid"/>
    <w:basedOn w:val="TableNormal"/>
    <w:uiPriority w:val="59"/>
    <w:rsid w:val="007D0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1FC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211"/>
  </w:style>
  <w:style w:type="paragraph" w:styleId="Footer">
    <w:name w:val="footer"/>
    <w:basedOn w:val="Normal"/>
    <w:link w:val="FooterChar"/>
    <w:uiPriority w:val="99"/>
    <w:unhideWhenUsed/>
    <w:rsid w:val="00A17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211"/>
  </w:style>
  <w:style w:type="character" w:styleId="CommentReference">
    <w:name w:val="annotation reference"/>
    <w:basedOn w:val="DefaultParagraphFont"/>
    <w:uiPriority w:val="99"/>
    <w:semiHidden/>
    <w:unhideWhenUsed/>
    <w:rsid w:val="00031841"/>
    <w:rPr>
      <w:sz w:val="16"/>
      <w:szCs w:val="16"/>
    </w:rPr>
  </w:style>
  <w:style w:type="paragraph" w:styleId="CommentText">
    <w:name w:val="annotation text"/>
    <w:basedOn w:val="Normal"/>
    <w:link w:val="CommentTextChar"/>
    <w:uiPriority w:val="99"/>
    <w:semiHidden/>
    <w:unhideWhenUsed/>
    <w:rsid w:val="00031841"/>
    <w:pPr>
      <w:spacing w:line="240" w:lineRule="auto"/>
    </w:pPr>
    <w:rPr>
      <w:sz w:val="20"/>
      <w:szCs w:val="20"/>
    </w:rPr>
  </w:style>
  <w:style w:type="character" w:customStyle="1" w:styleId="CommentTextChar">
    <w:name w:val="Comment Text Char"/>
    <w:basedOn w:val="DefaultParagraphFont"/>
    <w:link w:val="CommentText"/>
    <w:uiPriority w:val="99"/>
    <w:semiHidden/>
    <w:rsid w:val="00031841"/>
    <w:rPr>
      <w:sz w:val="20"/>
      <w:szCs w:val="20"/>
    </w:rPr>
  </w:style>
  <w:style w:type="paragraph" w:styleId="CommentSubject">
    <w:name w:val="annotation subject"/>
    <w:basedOn w:val="CommentText"/>
    <w:next w:val="CommentText"/>
    <w:link w:val="CommentSubjectChar"/>
    <w:uiPriority w:val="99"/>
    <w:semiHidden/>
    <w:unhideWhenUsed/>
    <w:rsid w:val="00031841"/>
    <w:rPr>
      <w:b/>
      <w:bCs/>
    </w:rPr>
  </w:style>
  <w:style w:type="character" w:customStyle="1" w:styleId="CommentSubjectChar">
    <w:name w:val="Comment Subject Char"/>
    <w:basedOn w:val="CommentTextChar"/>
    <w:link w:val="CommentSubject"/>
    <w:uiPriority w:val="99"/>
    <w:semiHidden/>
    <w:rsid w:val="00031841"/>
    <w:rPr>
      <w:b/>
      <w:bCs/>
      <w:sz w:val="20"/>
      <w:szCs w:val="20"/>
    </w:rPr>
  </w:style>
  <w:style w:type="paragraph" w:styleId="BalloonText">
    <w:name w:val="Balloon Text"/>
    <w:basedOn w:val="Normal"/>
    <w:link w:val="BalloonTextChar"/>
    <w:uiPriority w:val="99"/>
    <w:semiHidden/>
    <w:unhideWhenUsed/>
    <w:rsid w:val="000318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841"/>
    <w:rPr>
      <w:rFonts w:ascii="Tahoma" w:hAnsi="Tahoma" w:cs="Tahoma"/>
      <w:sz w:val="16"/>
      <w:szCs w:val="16"/>
    </w:rPr>
  </w:style>
  <w:style w:type="paragraph" w:styleId="ListParagraph">
    <w:name w:val="List Paragraph"/>
    <w:basedOn w:val="Normal"/>
    <w:uiPriority w:val="34"/>
    <w:qFormat/>
    <w:rsid w:val="005F0FC2"/>
    <w:pPr>
      <w:ind w:left="720"/>
      <w:contextualSpacing/>
    </w:pPr>
  </w:style>
  <w:style w:type="paragraph" w:styleId="BodyText">
    <w:name w:val="Body Text"/>
    <w:basedOn w:val="Normal"/>
    <w:link w:val="BodyTextChar"/>
    <w:uiPriority w:val="1"/>
    <w:qFormat/>
    <w:rsid w:val="00036E51"/>
    <w:pPr>
      <w:widowControl w:val="0"/>
      <w:spacing w:after="0" w:line="240" w:lineRule="auto"/>
      <w:ind w:left="100"/>
    </w:pPr>
    <w:rPr>
      <w:rFonts w:ascii="Calibri" w:eastAsia="Calibri" w:hAnsi="Calibri"/>
    </w:rPr>
  </w:style>
  <w:style w:type="character" w:customStyle="1" w:styleId="BodyTextChar">
    <w:name w:val="Body Text Char"/>
    <w:basedOn w:val="DefaultParagraphFont"/>
    <w:link w:val="BodyText"/>
    <w:uiPriority w:val="1"/>
    <w:rsid w:val="00036E51"/>
    <w:rPr>
      <w:rFonts w:ascii="Calibri" w:eastAsia="Calibri" w:hAnsi="Calibri"/>
    </w:rPr>
  </w:style>
  <w:style w:type="table" w:styleId="TableGrid">
    <w:name w:val="Table Grid"/>
    <w:basedOn w:val="TableNormal"/>
    <w:uiPriority w:val="59"/>
    <w:rsid w:val="007D0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1F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8434">
      <w:bodyDiv w:val="1"/>
      <w:marLeft w:val="0"/>
      <w:marRight w:val="0"/>
      <w:marTop w:val="0"/>
      <w:marBottom w:val="0"/>
      <w:divBdr>
        <w:top w:val="none" w:sz="0" w:space="0" w:color="auto"/>
        <w:left w:val="none" w:sz="0" w:space="0" w:color="auto"/>
        <w:bottom w:val="none" w:sz="0" w:space="0" w:color="auto"/>
        <w:right w:val="none" w:sz="0" w:space="0" w:color="auto"/>
      </w:divBdr>
    </w:div>
    <w:div w:id="203105801">
      <w:bodyDiv w:val="1"/>
      <w:marLeft w:val="0"/>
      <w:marRight w:val="0"/>
      <w:marTop w:val="0"/>
      <w:marBottom w:val="0"/>
      <w:divBdr>
        <w:top w:val="none" w:sz="0" w:space="0" w:color="auto"/>
        <w:left w:val="none" w:sz="0" w:space="0" w:color="auto"/>
        <w:bottom w:val="none" w:sz="0" w:space="0" w:color="auto"/>
        <w:right w:val="none" w:sz="0" w:space="0" w:color="auto"/>
      </w:divBdr>
    </w:div>
    <w:div w:id="388456807">
      <w:bodyDiv w:val="1"/>
      <w:marLeft w:val="0"/>
      <w:marRight w:val="0"/>
      <w:marTop w:val="0"/>
      <w:marBottom w:val="0"/>
      <w:divBdr>
        <w:top w:val="none" w:sz="0" w:space="0" w:color="auto"/>
        <w:left w:val="none" w:sz="0" w:space="0" w:color="auto"/>
        <w:bottom w:val="none" w:sz="0" w:space="0" w:color="auto"/>
        <w:right w:val="none" w:sz="0" w:space="0" w:color="auto"/>
      </w:divBdr>
    </w:div>
    <w:div w:id="447940406">
      <w:bodyDiv w:val="1"/>
      <w:marLeft w:val="0"/>
      <w:marRight w:val="0"/>
      <w:marTop w:val="0"/>
      <w:marBottom w:val="0"/>
      <w:divBdr>
        <w:top w:val="none" w:sz="0" w:space="0" w:color="auto"/>
        <w:left w:val="none" w:sz="0" w:space="0" w:color="auto"/>
        <w:bottom w:val="none" w:sz="0" w:space="0" w:color="auto"/>
        <w:right w:val="none" w:sz="0" w:space="0" w:color="auto"/>
      </w:divBdr>
    </w:div>
    <w:div w:id="638609264">
      <w:bodyDiv w:val="1"/>
      <w:marLeft w:val="0"/>
      <w:marRight w:val="0"/>
      <w:marTop w:val="0"/>
      <w:marBottom w:val="0"/>
      <w:divBdr>
        <w:top w:val="none" w:sz="0" w:space="0" w:color="auto"/>
        <w:left w:val="none" w:sz="0" w:space="0" w:color="auto"/>
        <w:bottom w:val="none" w:sz="0" w:space="0" w:color="auto"/>
        <w:right w:val="none" w:sz="0" w:space="0" w:color="auto"/>
      </w:divBdr>
    </w:div>
    <w:div w:id="883520005">
      <w:bodyDiv w:val="1"/>
      <w:marLeft w:val="0"/>
      <w:marRight w:val="0"/>
      <w:marTop w:val="0"/>
      <w:marBottom w:val="0"/>
      <w:divBdr>
        <w:top w:val="none" w:sz="0" w:space="0" w:color="auto"/>
        <w:left w:val="none" w:sz="0" w:space="0" w:color="auto"/>
        <w:bottom w:val="none" w:sz="0" w:space="0" w:color="auto"/>
        <w:right w:val="none" w:sz="0" w:space="0" w:color="auto"/>
      </w:divBdr>
    </w:div>
    <w:div w:id="952594231">
      <w:bodyDiv w:val="1"/>
      <w:marLeft w:val="0"/>
      <w:marRight w:val="0"/>
      <w:marTop w:val="0"/>
      <w:marBottom w:val="0"/>
      <w:divBdr>
        <w:top w:val="none" w:sz="0" w:space="0" w:color="auto"/>
        <w:left w:val="none" w:sz="0" w:space="0" w:color="auto"/>
        <w:bottom w:val="none" w:sz="0" w:space="0" w:color="auto"/>
        <w:right w:val="none" w:sz="0" w:space="0" w:color="auto"/>
      </w:divBdr>
    </w:div>
    <w:div w:id="1292008268">
      <w:bodyDiv w:val="1"/>
      <w:marLeft w:val="0"/>
      <w:marRight w:val="0"/>
      <w:marTop w:val="0"/>
      <w:marBottom w:val="0"/>
      <w:divBdr>
        <w:top w:val="none" w:sz="0" w:space="0" w:color="auto"/>
        <w:left w:val="none" w:sz="0" w:space="0" w:color="auto"/>
        <w:bottom w:val="none" w:sz="0" w:space="0" w:color="auto"/>
        <w:right w:val="none" w:sz="0" w:space="0" w:color="auto"/>
      </w:divBdr>
    </w:div>
    <w:div w:id="1380127380">
      <w:bodyDiv w:val="1"/>
      <w:marLeft w:val="0"/>
      <w:marRight w:val="0"/>
      <w:marTop w:val="0"/>
      <w:marBottom w:val="0"/>
      <w:divBdr>
        <w:top w:val="none" w:sz="0" w:space="0" w:color="auto"/>
        <w:left w:val="none" w:sz="0" w:space="0" w:color="auto"/>
        <w:bottom w:val="none" w:sz="0" w:space="0" w:color="auto"/>
        <w:right w:val="none" w:sz="0" w:space="0" w:color="auto"/>
      </w:divBdr>
    </w:div>
    <w:div w:id="1482965345">
      <w:bodyDiv w:val="1"/>
      <w:marLeft w:val="0"/>
      <w:marRight w:val="0"/>
      <w:marTop w:val="0"/>
      <w:marBottom w:val="0"/>
      <w:divBdr>
        <w:top w:val="none" w:sz="0" w:space="0" w:color="auto"/>
        <w:left w:val="none" w:sz="0" w:space="0" w:color="auto"/>
        <w:bottom w:val="none" w:sz="0" w:space="0" w:color="auto"/>
        <w:right w:val="none" w:sz="0" w:space="0" w:color="auto"/>
      </w:divBdr>
    </w:div>
    <w:div w:id="1582371410">
      <w:bodyDiv w:val="1"/>
      <w:marLeft w:val="0"/>
      <w:marRight w:val="0"/>
      <w:marTop w:val="0"/>
      <w:marBottom w:val="0"/>
      <w:divBdr>
        <w:top w:val="none" w:sz="0" w:space="0" w:color="auto"/>
        <w:left w:val="none" w:sz="0" w:space="0" w:color="auto"/>
        <w:bottom w:val="none" w:sz="0" w:space="0" w:color="auto"/>
        <w:right w:val="none" w:sz="0" w:space="0" w:color="auto"/>
      </w:divBdr>
    </w:div>
    <w:div w:id="170682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DF7A2-06A8-4E92-9C90-E5BBE8093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6471</Characters>
  <Application>Microsoft Office Word</Application>
  <DocSecurity>0</DocSecurity>
  <Lines>239</Lines>
  <Paragraphs>133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Hennessey, Gail</cp:lastModifiedBy>
  <cp:revision>2</cp:revision>
  <cp:lastPrinted>2017-05-04T17:12:00Z</cp:lastPrinted>
  <dcterms:created xsi:type="dcterms:W3CDTF">2017-05-24T19:14:00Z</dcterms:created>
  <dcterms:modified xsi:type="dcterms:W3CDTF">2017-05-24T19:14:00Z</dcterms:modified>
</cp:coreProperties>
</file>