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9E4C6B" w:rsidRDefault="00CD2C18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INDIVIDUALS WITH DISABILITIES EDUCATION ACT</w:t>
      </w:r>
    </w:p>
    <w:p w:rsidR="001905BD" w:rsidRPr="00CD7225" w:rsidRDefault="00CD2C18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ADMINISTRATIVE HEARING </w:t>
      </w:r>
      <w:r w:rsidR="00136C84">
        <w:rPr>
          <w:rFonts w:cs="Arial"/>
          <w:sz w:val="24"/>
          <w:szCs w:val="24"/>
        </w:rPr>
        <w:t xml:space="preserve">DEFENSE </w:t>
      </w:r>
      <w:r>
        <w:rPr>
          <w:rFonts w:cs="Arial"/>
          <w:sz w:val="24"/>
          <w:szCs w:val="24"/>
        </w:rPr>
        <w:t xml:space="preserve">COVERAGE </w:t>
      </w:r>
      <w:r w:rsidR="001905BD" w:rsidRPr="00CD7225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CD2C18">
        <w:rPr>
          <w:rFonts w:ascii="Arial" w:hAnsi="Arial" w:cs="Arial"/>
          <w:sz w:val="20"/>
          <w:szCs w:val="20"/>
        </w:rPr>
        <w:t>EDUCATORS LEGAL LIABILITY</w:t>
      </w:r>
      <w:r w:rsidR="00F508CF">
        <w:rPr>
          <w:rFonts w:ascii="Arial" w:hAnsi="Arial" w:cs="Arial"/>
          <w:sz w:val="20"/>
          <w:szCs w:val="20"/>
        </w:rPr>
        <w:t xml:space="preserve"> </w:t>
      </w:r>
      <w:r w:rsidR="002653B6">
        <w:rPr>
          <w:rFonts w:ascii="Arial" w:hAnsi="Arial" w:cs="Arial"/>
          <w:sz w:val="20"/>
          <w:szCs w:val="20"/>
        </w:rPr>
        <w:t>COVERAGE PART</w:t>
      </w:r>
    </w:p>
    <w:p w:rsidR="00CD2C18" w:rsidRPr="00CD7225" w:rsidRDefault="00CD2C18" w:rsidP="00CD2C18">
      <w:pPr>
        <w:rPr>
          <w:rFonts w:ascii="Arial" w:hAnsi="Arial" w:cs="Arial"/>
          <w:sz w:val="20"/>
          <w:szCs w:val="20"/>
        </w:rPr>
      </w:pP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CD2C18" w:rsidRDefault="00CD2C18" w:rsidP="009E4C6B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 w:rsidR="00F508CF">
        <w:rPr>
          <w:rFonts w:ascii="Arial" w:eastAsia="Arial" w:hAnsi="Arial" w:cs="Arial"/>
          <w:sz w:val="20"/>
          <w:szCs w:val="20"/>
        </w:rPr>
        <w:t>P</w:t>
      </w:r>
      <w:r w:rsidR="00F508CF" w:rsidRPr="009E4C6B">
        <w:rPr>
          <w:rFonts w:ascii="Arial" w:eastAsia="Arial" w:hAnsi="Arial" w:cs="Arial"/>
          <w:bCs/>
          <w:spacing w:val="-1"/>
          <w:sz w:val="20"/>
          <w:szCs w:val="20"/>
        </w:rPr>
        <w:t>aragraph</w:t>
      </w:r>
      <w:r w:rsidR="00F508CF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C. Supplementary</w:t>
      </w:r>
      <w:r w:rsidR="00F508CF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F508CF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Payments </w:t>
      </w:r>
      <w:r w:rsidR="00F508CF">
        <w:rPr>
          <w:rFonts w:ascii="Arial" w:eastAsia="Arial" w:hAnsi="Arial" w:cs="Arial"/>
          <w:bCs/>
          <w:spacing w:val="-1"/>
          <w:sz w:val="20"/>
          <w:szCs w:val="20"/>
        </w:rPr>
        <w:t xml:space="preserve">of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COVERAGES</w:t>
      </w:r>
      <w:r w:rsidR="00F508CF">
        <w:rPr>
          <w:rFonts w:ascii="Arial" w:eastAsia="Arial" w:hAnsi="Arial" w:cs="Arial"/>
          <w:bCs/>
          <w:spacing w:val="-1"/>
          <w:sz w:val="20"/>
          <w:szCs w:val="20"/>
        </w:rPr>
        <w:t>:</w:t>
      </w:r>
    </w:p>
    <w:p w:rsidR="00CD2C18" w:rsidRDefault="00CD2C18" w:rsidP="00CD2C18">
      <w:pPr>
        <w:rPr>
          <w:rFonts w:ascii="Arial" w:eastAsia="Arial" w:hAnsi="Arial" w:cs="Arial"/>
          <w:sz w:val="20"/>
          <w:szCs w:val="20"/>
        </w:rPr>
      </w:pPr>
    </w:p>
    <w:p w:rsidR="00F508CF" w:rsidRPr="00F508CF" w:rsidRDefault="00F508CF" w:rsidP="00F508CF">
      <w:pPr>
        <w:pStyle w:val="Subtitle"/>
        <w:ind w:left="360" w:hanging="360"/>
        <w:jc w:val="left"/>
        <w:rPr>
          <w:rFonts w:cs="Arial"/>
          <w:sz w:val="20"/>
        </w:rPr>
      </w:pPr>
      <w:r w:rsidRPr="00F508CF">
        <w:rPr>
          <w:rFonts w:cs="Arial"/>
          <w:sz w:val="20"/>
        </w:rPr>
        <w:t>4.</w:t>
      </w:r>
      <w:r w:rsidRPr="00F508CF">
        <w:rPr>
          <w:rFonts w:cs="Arial"/>
          <w:sz w:val="20"/>
        </w:rPr>
        <w:tab/>
        <w:t>Individuals With Disabilities Education Act</w:t>
      </w:r>
      <w:r w:rsidR="00136C84">
        <w:rPr>
          <w:rFonts w:cs="Arial"/>
          <w:sz w:val="20"/>
        </w:rPr>
        <w:t xml:space="preserve"> (IDEA)</w:t>
      </w:r>
      <w:r w:rsidRPr="00F508CF">
        <w:rPr>
          <w:rFonts w:cs="Arial"/>
          <w:sz w:val="20"/>
        </w:rPr>
        <w:t xml:space="preserve"> Administrative Hearing </w:t>
      </w:r>
      <w:r w:rsidR="00136C84">
        <w:rPr>
          <w:rFonts w:cs="Arial"/>
          <w:sz w:val="20"/>
        </w:rPr>
        <w:t>Defense</w:t>
      </w:r>
      <w:r w:rsidR="00136C84" w:rsidRPr="00F508CF">
        <w:rPr>
          <w:rFonts w:cs="Arial"/>
          <w:sz w:val="20"/>
        </w:rPr>
        <w:t xml:space="preserve"> </w:t>
      </w:r>
      <w:r w:rsidRPr="00F508CF">
        <w:rPr>
          <w:rFonts w:cs="Arial"/>
          <w:sz w:val="20"/>
        </w:rPr>
        <w:t>Coverage</w:t>
      </w:r>
    </w:p>
    <w:p w:rsidR="00136C84" w:rsidRPr="00D60370" w:rsidRDefault="00136C84" w:rsidP="00136C84">
      <w:pPr>
        <w:pStyle w:val="BodyText"/>
        <w:spacing w:before="120"/>
        <w:ind w:left="360" w:firstLine="0"/>
        <w:jc w:val="both"/>
        <w:rPr>
          <w:rFonts w:cs="Arial"/>
        </w:rPr>
      </w:pPr>
      <w:r>
        <w:rPr>
          <w:rFonts w:cs="Arial"/>
        </w:rPr>
        <w:t xml:space="preserve">We will pay for Supplementary Payments that the insured incurs in the investigation and defense of an administrative hearing related to an IDEA complaint made against the insured </w:t>
      </w:r>
      <w:r w:rsidR="00F7088F">
        <w:rPr>
          <w:rFonts w:cs="Arial"/>
        </w:rPr>
        <w:t xml:space="preserve">by the applicable state department of education </w:t>
      </w:r>
      <w:r>
        <w:rPr>
          <w:rFonts w:cs="Arial"/>
        </w:rPr>
        <w:t>during the policy period and arising out of a “wrongful act” that is otherwise covered under this Coverage Part.</w:t>
      </w:r>
    </w:p>
    <w:p w:rsidR="00210EC7" w:rsidRDefault="00210EC7" w:rsidP="00136C84">
      <w:pPr>
        <w:pStyle w:val="BodyText"/>
        <w:tabs>
          <w:tab w:val="left" w:pos="4895"/>
          <w:tab w:val="left" w:pos="6254"/>
          <w:tab w:val="left" w:pos="7560"/>
        </w:tabs>
        <w:spacing w:line="305" w:lineRule="auto"/>
        <w:ind w:left="360" w:firstLine="0"/>
        <w:jc w:val="both"/>
        <w:rPr>
          <w:rFonts w:cs="Arial"/>
        </w:rPr>
      </w:pPr>
    </w:p>
    <w:p w:rsidR="00136C84" w:rsidRDefault="00136C84" w:rsidP="00136C84">
      <w:pPr>
        <w:pStyle w:val="BodyText"/>
        <w:tabs>
          <w:tab w:val="left" w:pos="4895"/>
          <w:tab w:val="left" w:pos="6254"/>
          <w:tab w:val="left" w:pos="7560"/>
        </w:tabs>
        <w:spacing w:line="305" w:lineRule="auto"/>
        <w:ind w:left="360" w:firstLine="0"/>
        <w:jc w:val="both"/>
        <w:rPr>
          <w:rFonts w:cs="Arial"/>
        </w:rPr>
      </w:pPr>
      <w:r w:rsidRPr="00F05EC5">
        <w:rPr>
          <w:rFonts w:cs="Arial"/>
        </w:rPr>
        <w:t xml:space="preserve">The most we will pay for </w:t>
      </w:r>
      <w:r>
        <w:rPr>
          <w:rFonts w:cs="Arial"/>
        </w:rPr>
        <w:t>Supplementary Payments</w:t>
      </w:r>
      <w:r w:rsidRPr="00911CF5">
        <w:rPr>
          <w:rFonts w:cs="Arial"/>
        </w:rPr>
        <w:t xml:space="preserve"> </w:t>
      </w:r>
      <w:r>
        <w:rPr>
          <w:rFonts w:cs="Arial"/>
        </w:rPr>
        <w:t xml:space="preserve">under this IDEA Administrative Hearing Defense Coverage </w:t>
      </w:r>
      <w:r w:rsidRPr="00F05EC5">
        <w:rPr>
          <w:rFonts w:cs="Arial"/>
        </w:rPr>
        <w:t>is $</w:t>
      </w:r>
      <w:r>
        <w:rPr>
          <w:rFonts w:cs="Arial"/>
        </w:rPr>
        <w:t>_______</w:t>
      </w:r>
      <w:r w:rsidRPr="00F05EC5">
        <w:rPr>
          <w:rFonts w:cs="Arial"/>
        </w:rPr>
        <w:t xml:space="preserve"> in excess of $2,500 </w:t>
      </w:r>
      <w:r>
        <w:rPr>
          <w:rFonts w:cs="Arial"/>
        </w:rPr>
        <w:t xml:space="preserve">deductible </w:t>
      </w:r>
      <w:r w:rsidRPr="00F05EC5">
        <w:rPr>
          <w:rFonts w:cs="Arial"/>
        </w:rPr>
        <w:t xml:space="preserve">for each </w:t>
      </w:r>
      <w:r>
        <w:rPr>
          <w:rFonts w:cs="Arial"/>
        </w:rPr>
        <w:t>IDEA</w:t>
      </w:r>
      <w:r w:rsidRPr="00F05EC5">
        <w:rPr>
          <w:rFonts w:cs="Arial"/>
        </w:rPr>
        <w:t xml:space="preserve"> </w:t>
      </w:r>
      <w:r>
        <w:rPr>
          <w:rFonts w:cs="Arial"/>
        </w:rPr>
        <w:t>administrative hearing</w:t>
      </w:r>
      <w:r w:rsidRPr="00F05EC5">
        <w:rPr>
          <w:rFonts w:cs="Arial"/>
        </w:rPr>
        <w:t xml:space="preserve"> that is filed against you</w:t>
      </w:r>
      <w:r>
        <w:rPr>
          <w:rFonts w:cs="Arial"/>
        </w:rPr>
        <w:t xml:space="preserve">. </w:t>
      </w:r>
      <w:r>
        <w:t xml:space="preserve">The </w:t>
      </w:r>
      <w:r>
        <w:rPr>
          <w:spacing w:val="-1"/>
        </w:rPr>
        <w:t>most we will pay to investigate and defend any and all complaints</w:t>
      </w:r>
      <w:r>
        <w:rPr>
          <w:spacing w:val="3"/>
        </w:rPr>
        <w:t xml:space="preserve"> </w:t>
      </w:r>
      <w:r>
        <w:t>requesting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administrative</w:t>
      </w:r>
      <w:r>
        <w:rPr>
          <w:spacing w:val="-1"/>
        </w:rPr>
        <w:t xml:space="preserve"> </w:t>
      </w:r>
      <w:r>
        <w:t>hearing</w:t>
      </w:r>
      <w:r>
        <w:rPr>
          <w:spacing w:val="-1"/>
        </w:rPr>
        <w:t xml:space="preserve"> </w:t>
      </w:r>
      <w:r>
        <w:t>filed</w:t>
      </w:r>
      <w:r>
        <w:rPr>
          <w:spacing w:val="-1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you</w:t>
      </w:r>
      <w:r>
        <w:rPr>
          <w:spacing w:val="2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IDEA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policy</w:t>
      </w:r>
      <w:r>
        <w:rPr>
          <w:spacing w:val="-1"/>
        </w:rPr>
        <w:t xml:space="preserve"> </w:t>
      </w:r>
      <w:r>
        <w:t>period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 xml:space="preserve">$_________ </w:t>
      </w:r>
      <w:r>
        <w:rPr>
          <w:spacing w:val="-1"/>
        </w:rPr>
        <w:t>in the aggregate</w:t>
      </w:r>
      <w:r w:rsidR="00A06BA8">
        <w:rPr>
          <w:spacing w:val="-1"/>
        </w:rPr>
        <w:t xml:space="preserve"> for the policy period</w:t>
      </w:r>
      <w:r>
        <w:rPr>
          <w:spacing w:val="-1"/>
        </w:rPr>
        <w:t>.</w:t>
      </w:r>
    </w:p>
    <w:p w:rsidR="00136C84" w:rsidRDefault="00136C84" w:rsidP="00136C84">
      <w:pPr>
        <w:pStyle w:val="BodyText"/>
        <w:ind w:left="180" w:firstLine="0"/>
      </w:pPr>
    </w:p>
    <w:p w:rsidR="00136C84" w:rsidRDefault="00136C84" w:rsidP="00136C84">
      <w:pPr>
        <w:pStyle w:val="BodyText"/>
        <w:ind w:left="180" w:firstLine="180"/>
        <w:rPr>
          <w:rFonts w:cs="Arial"/>
        </w:rPr>
      </w:pPr>
      <w:r>
        <w:t>These</w:t>
      </w:r>
      <w:r>
        <w:rPr>
          <w:spacing w:val="-1"/>
        </w:rPr>
        <w:t xml:space="preserve"> </w:t>
      </w:r>
      <w:r>
        <w:t>payments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reduce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Limits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Insurance</w:t>
      </w:r>
      <w:r w:rsidR="00F7088F">
        <w:t>.</w:t>
      </w:r>
    </w:p>
    <w:p w:rsidR="00136C84" w:rsidRDefault="00136C84" w:rsidP="00F508CF">
      <w:pPr>
        <w:pStyle w:val="BodyText"/>
        <w:tabs>
          <w:tab w:val="left" w:pos="540"/>
        </w:tabs>
        <w:ind w:left="540" w:firstLine="0"/>
        <w:rPr>
          <w:rFonts w:cs="Arial"/>
        </w:rPr>
      </w:pPr>
    </w:p>
    <w:p w:rsidR="00EF379E" w:rsidRPr="00CD7225" w:rsidRDefault="00EF379E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88F" w:rsidRDefault="00F7088F" w:rsidP="001905BD">
      <w:r>
        <w:separator/>
      </w:r>
    </w:p>
  </w:endnote>
  <w:endnote w:type="continuationSeparator" w:id="0">
    <w:p w:rsidR="00F7088F" w:rsidRDefault="00F7088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F7088F" w:rsidRPr="002A132A" w:rsidTr="001905BD">
      <w:trPr>
        <w:trHeight w:val="332"/>
      </w:trPr>
      <w:tc>
        <w:tcPr>
          <w:tcW w:w="1728" w:type="dxa"/>
        </w:tcPr>
        <w:p w:rsidR="00F7088F" w:rsidRPr="00CD7225" w:rsidRDefault="008218F3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3990</w:t>
          </w:r>
          <w:ins w:id="1" w:author="Martell, Elaine" w:date="2017-08-15T10:58:00Z"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ins>
          <w:r w:rsidR="00F7088F" w:rsidRPr="00CD7225">
            <w:rPr>
              <w:rFonts w:ascii="Arial" w:hAnsi="Arial" w:cs="Arial"/>
              <w:sz w:val="18"/>
              <w:szCs w:val="18"/>
            </w:rPr>
            <w:t>(</w:t>
          </w:r>
          <w:r>
            <w:rPr>
              <w:rFonts w:ascii="Arial" w:hAnsi="Arial" w:cs="Arial"/>
              <w:sz w:val="18"/>
              <w:szCs w:val="18"/>
            </w:rPr>
            <w:t>8/17</w:t>
          </w:r>
          <w:r w:rsidR="00F7088F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F7088F" w:rsidRPr="00CD7225" w:rsidRDefault="00F7088F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F7088F" w:rsidRPr="00CD7225" w:rsidRDefault="00F7088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218F3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8218F3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F7088F" w:rsidRPr="00CD7225" w:rsidRDefault="00F7088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F7088F" w:rsidRDefault="00F7088F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88F" w:rsidRDefault="00F7088F" w:rsidP="001905BD">
      <w:r>
        <w:separator/>
      </w:r>
    </w:p>
  </w:footnote>
  <w:footnote w:type="continuationSeparator" w:id="0">
    <w:p w:rsidR="00F7088F" w:rsidRDefault="00F7088F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1">
    <w:nsid w:val="5C2D76A8"/>
    <w:multiLevelType w:val="hybridMultilevel"/>
    <w:tmpl w:val="1D34B494"/>
    <w:lvl w:ilvl="0" w:tplc="04021268">
      <w:start w:val="4"/>
      <w:numFmt w:val="decimal"/>
      <w:lvlText w:val="%1."/>
      <w:lvlJc w:val="left"/>
      <w:pPr>
        <w:ind w:left="472" w:hanging="361"/>
        <w:jc w:val="left"/>
      </w:pPr>
      <w:rPr>
        <w:rFonts w:ascii="Arial" w:eastAsia="Arial" w:hAnsi="Arial" w:hint="default"/>
        <w:b/>
        <w:sz w:val="20"/>
        <w:szCs w:val="20"/>
      </w:rPr>
    </w:lvl>
    <w:lvl w:ilvl="1" w:tplc="CD3854F2">
      <w:start w:val="1"/>
      <w:numFmt w:val="upperLetter"/>
      <w:lvlText w:val="%2."/>
      <w:lvlJc w:val="left"/>
      <w:pPr>
        <w:ind w:left="520" w:hanging="360"/>
        <w:jc w:val="right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2" w:tplc="356009C0">
      <w:start w:val="1"/>
      <w:numFmt w:val="lowerLetter"/>
      <w:lvlText w:val="%3."/>
      <w:lvlJc w:val="left"/>
      <w:pPr>
        <w:ind w:left="1060" w:hanging="361"/>
        <w:jc w:val="left"/>
      </w:pPr>
      <w:rPr>
        <w:rFonts w:ascii="Arial" w:eastAsia="Arial" w:hAnsi="Arial" w:hint="default"/>
        <w:sz w:val="20"/>
        <w:szCs w:val="20"/>
      </w:rPr>
    </w:lvl>
    <w:lvl w:ilvl="3" w:tplc="7B2EF704">
      <w:start w:val="1"/>
      <w:numFmt w:val="bullet"/>
      <w:lvlText w:val="•"/>
      <w:lvlJc w:val="left"/>
      <w:pPr>
        <w:ind w:left="5388" w:hanging="361"/>
      </w:pPr>
      <w:rPr>
        <w:rFonts w:hint="default"/>
      </w:rPr>
    </w:lvl>
    <w:lvl w:ilvl="4" w:tplc="0C323D58">
      <w:start w:val="1"/>
      <w:numFmt w:val="bullet"/>
      <w:lvlText w:val="•"/>
      <w:lvlJc w:val="left"/>
      <w:pPr>
        <w:ind w:left="6104" w:hanging="361"/>
      </w:pPr>
      <w:rPr>
        <w:rFonts w:hint="default"/>
      </w:rPr>
    </w:lvl>
    <w:lvl w:ilvl="5" w:tplc="B9E07B96">
      <w:start w:val="1"/>
      <w:numFmt w:val="bullet"/>
      <w:lvlText w:val="•"/>
      <w:lvlJc w:val="left"/>
      <w:pPr>
        <w:ind w:left="6820" w:hanging="361"/>
      </w:pPr>
      <w:rPr>
        <w:rFonts w:hint="default"/>
      </w:rPr>
    </w:lvl>
    <w:lvl w:ilvl="6" w:tplc="9176F57A">
      <w:start w:val="1"/>
      <w:numFmt w:val="bullet"/>
      <w:lvlText w:val="•"/>
      <w:lvlJc w:val="left"/>
      <w:pPr>
        <w:ind w:left="7536" w:hanging="361"/>
      </w:pPr>
      <w:rPr>
        <w:rFonts w:hint="default"/>
      </w:rPr>
    </w:lvl>
    <w:lvl w:ilvl="7" w:tplc="03785370">
      <w:start w:val="1"/>
      <w:numFmt w:val="bullet"/>
      <w:lvlText w:val="•"/>
      <w:lvlJc w:val="left"/>
      <w:pPr>
        <w:ind w:left="8252" w:hanging="361"/>
      </w:pPr>
      <w:rPr>
        <w:rFonts w:hint="default"/>
      </w:rPr>
    </w:lvl>
    <w:lvl w:ilvl="8" w:tplc="5D529ED0">
      <w:start w:val="1"/>
      <w:numFmt w:val="bullet"/>
      <w:lvlText w:val="•"/>
      <w:lvlJc w:val="left"/>
      <w:pPr>
        <w:ind w:left="8968" w:hanging="36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136C84"/>
    <w:rsid w:val="001905BD"/>
    <w:rsid w:val="00210EC7"/>
    <w:rsid w:val="002653B6"/>
    <w:rsid w:val="00273F1D"/>
    <w:rsid w:val="002A49C3"/>
    <w:rsid w:val="00366698"/>
    <w:rsid w:val="003F459C"/>
    <w:rsid w:val="004060D2"/>
    <w:rsid w:val="0049302F"/>
    <w:rsid w:val="004B7E2D"/>
    <w:rsid w:val="0056175F"/>
    <w:rsid w:val="005B28BC"/>
    <w:rsid w:val="00686D31"/>
    <w:rsid w:val="00725A8F"/>
    <w:rsid w:val="007E6471"/>
    <w:rsid w:val="008218F3"/>
    <w:rsid w:val="008A7F6F"/>
    <w:rsid w:val="009C5240"/>
    <w:rsid w:val="009E4C6B"/>
    <w:rsid w:val="00A06BA8"/>
    <w:rsid w:val="00A34659"/>
    <w:rsid w:val="00AF420E"/>
    <w:rsid w:val="00B22F15"/>
    <w:rsid w:val="00B41D51"/>
    <w:rsid w:val="00B64EC1"/>
    <w:rsid w:val="00B833B5"/>
    <w:rsid w:val="00BB5C6C"/>
    <w:rsid w:val="00BC4EBB"/>
    <w:rsid w:val="00C447D2"/>
    <w:rsid w:val="00CD2C18"/>
    <w:rsid w:val="00CD7225"/>
    <w:rsid w:val="00DB4F72"/>
    <w:rsid w:val="00EF379E"/>
    <w:rsid w:val="00F508CF"/>
    <w:rsid w:val="00F7088F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C84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C8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C84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C8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14</cp:revision>
  <dcterms:created xsi:type="dcterms:W3CDTF">2017-04-17T22:10:00Z</dcterms:created>
  <dcterms:modified xsi:type="dcterms:W3CDTF">2017-08-15T14:58:00Z</dcterms:modified>
</cp:coreProperties>
</file>