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GoBack"/>
      <w:bookmarkEnd w:id="0"/>
      <w:r w:rsidRPr="006F574C">
        <w:rPr>
          <w:rFonts w:ascii="Arial" w:eastAsia="Times New Roman" w:hAnsi="Arial" w:cs="Arial"/>
          <w:b/>
          <w:bCs/>
          <w:sz w:val="20"/>
          <w:szCs w:val="20"/>
        </w:rPr>
        <w:t xml:space="preserve">ENDORSEMENT </w:t>
      </w: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F574C">
        <w:rPr>
          <w:rFonts w:ascii="Arial" w:eastAsia="Times New Roman" w:hAnsi="Arial" w:cs="Arial"/>
          <w:b/>
          <w:bCs/>
          <w:sz w:val="20"/>
          <w:szCs w:val="20"/>
        </w:rPr>
        <w:t>THIS ENDORSEMENT CHANGES THE POLICY. PLEASE READ IT CAREFULLY.</w:t>
      </w: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F574C" w:rsidRPr="006F574C" w:rsidRDefault="006F574C" w:rsidP="006F574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574C">
        <w:rPr>
          <w:rFonts w:ascii="Arial" w:eastAsia="Times New Roman" w:hAnsi="Arial" w:cs="Arial"/>
          <w:sz w:val="20"/>
          <w:szCs w:val="20"/>
        </w:rPr>
        <w:t>This endorsement, effective 12:01 A.M.,</w:t>
      </w:r>
    </w:p>
    <w:p w:rsidR="006F574C" w:rsidRPr="006F574C" w:rsidRDefault="006F574C" w:rsidP="006F574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574C">
        <w:rPr>
          <w:rFonts w:ascii="Arial" w:eastAsia="Times New Roman" w:hAnsi="Arial" w:cs="Arial"/>
          <w:sz w:val="20"/>
          <w:szCs w:val="20"/>
        </w:rPr>
        <w:t>Forms a part of Policy No.:</w:t>
      </w:r>
    </w:p>
    <w:p w:rsidR="006F574C" w:rsidRDefault="006F574C" w:rsidP="000D61FD">
      <w:pPr>
        <w:widowControl w:val="0"/>
        <w:spacing w:before="6" w:after="100" w:afterAutospacing="1" w:line="240" w:lineRule="auto"/>
        <w:ind w:left="160"/>
        <w:jc w:val="center"/>
        <w:rPr>
          <w:rFonts w:ascii="Arial" w:eastAsia="Arial" w:hAnsi="Arial"/>
          <w:b/>
          <w:sz w:val="32"/>
          <w:szCs w:val="20"/>
        </w:rPr>
      </w:pPr>
    </w:p>
    <w:p w:rsidR="000D61FD" w:rsidRPr="000D61FD" w:rsidRDefault="000D61FD" w:rsidP="000D61FD">
      <w:pPr>
        <w:widowControl w:val="0"/>
        <w:spacing w:before="6" w:after="100" w:afterAutospacing="1" w:line="240" w:lineRule="auto"/>
        <w:ind w:left="160"/>
        <w:jc w:val="center"/>
        <w:rPr>
          <w:rFonts w:ascii="Arial" w:eastAsia="Arial" w:hAnsi="Arial"/>
          <w:b/>
          <w:sz w:val="32"/>
          <w:szCs w:val="20"/>
        </w:rPr>
      </w:pPr>
      <w:r>
        <w:rPr>
          <w:rFonts w:ascii="Arial" w:eastAsia="Arial" w:hAnsi="Arial"/>
          <w:b/>
          <w:sz w:val="32"/>
          <w:szCs w:val="20"/>
        </w:rPr>
        <w:t>AMENDMENT TO EXCLUSIONS</w:t>
      </w:r>
      <w:r w:rsidR="002C5472">
        <w:rPr>
          <w:rFonts w:ascii="Arial" w:eastAsia="Arial" w:hAnsi="Arial"/>
          <w:b/>
          <w:sz w:val="32"/>
          <w:szCs w:val="20"/>
        </w:rPr>
        <w:t xml:space="preserve"> ENDORSEMENT</w:t>
      </w:r>
    </w:p>
    <w:p w:rsidR="000D61FD" w:rsidRDefault="000D61FD" w:rsidP="006F574C">
      <w:pPr>
        <w:widowControl w:val="0"/>
        <w:spacing w:before="6" w:after="100" w:afterAutospacing="1" w:line="240" w:lineRule="auto"/>
        <w:ind w:left="160" w:hanging="160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This endorsement modifies insurance provided under the following:</w:t>
      </w:r>
    </w:p>
    <w:p w:rsidR="000D61FD" w:rsidRDefault="000D61FD" w:rsidP="006F574C">
      <w:pPr>
        <w:widowControl w:val="0"/>
        <w:spacing w:before="6" w:after="100" w:afterAutospacing="1" w:line="240" w:lineRule="auto"/>
        <w:ind w:left="160" w:firstLine="560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PUBLIC OFFICIALS LIABILITY COVERAGE PART</w:t>
      </w:r>
    </w:p>
    <w:p w:rsidR="000D61FD" w:rsidRDefault="00000082" w:rsidP="006F574C">
      <w:pPr>
        <w:widowControl w:val="0"/>
        <w:spacing w:before="6" w:after="100" w:afterAutospacing="1" w:line="240" w:lineRule="auto"/>
        <w:ind w:left="160" w:hanging="160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Paragraph </w:t>
      </w:r>
      <w:r>
        <w:rPr>
          <w:rFonts w:ascii="Arial" w:eastAsia="Arial" w:hAnsi="Arial"/>
          <w:b/>
          <w:sz w:val="20"/>
          <w:szCs w:val="20"/>
        </w:rPr>
        <w:t xml:space="preserve">B. Exclusion </w:t>
      </w:r>
      <w:r>
        <w:rPr>
          <w:rFonts w:ascii="Arial" w:eastAsia="Arial" w:hAnsi="Arial"/>
          <w:sz w:val="20"/>
          <w:szCs w:val="20"/>
        </w:rPr>
        <w:t xml:space="preserve">of </w:t>
      </w:r>
      <w:r w:rsidRPr="00000082">
        <w:rPr>
          <w:rFonts w:ascii="Arial" w:eastAsia="Arial" w:hAnsi="Arial"/>
          <w:b/>
          <w:sz w:val="20"/>
          <w:szCs w:val="20"/>
        </w:rPr>
        <w:t>SECTION I – COVERAGES</w:t>
      </w:r>
      <w:r>
        <w:rPr>
          <w:rFonts w:ascii="Arial" w:eastAsia="Arial" w:hAnsi="Arial"/>
          <w:sz w:val="20"/>
          <w:szCs w:val="20"/>
        </w:rPr>
        <w:t xml:space="preserve"> is amended as follows</w:t>
      </w:r>
      <w:r w:rsidR="000D61FD" w:rsidRPr="0067481D">
        <w:rPr>
          <w:rFonts w:ascii="Arial" w:eastAsia="Arial" w:hAnsi="Arial"/>
          <w:sz w:val="20"/>
          <w:szCs w:val="20"/>
        </w:rPr>
        <w:t>:</w:t>
      </w:r>
    </w:p>
    <w:p w:rsidR="000D61FD" w:rsidRDefault="00000082" w:rsidP="000D61FD">
      <w:pPr>
        <w:widowControl w:val="0"/>
        <w:spacing w:before="6" w:after="0" w:line="240" w:lineRule="auto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The Exclusion referenced in the Schedule below does not apply when the corresponding box is checked.</w:t>
      </w:r>
    </w:p>
    <w:p w:rsidR="000D61FD" w:rsidRDefault="000D61FD" w:rsidP="000D61FD">
      <w:pPr>
        <w:widowControl w:val="0"/>
        <w:spacing w:before="6" w:after="0" w:line="240" w:lineRule="auto"/>
        <w:ind w:left="160"/>
        <w:rPr>
          <w:rFonts w:ascii="Arial" w:eastAsia="Arial" w:hAnsi="Arial"/>
          <w:sz w:val="20"/>
          <w:szCs w:val="20"/>
        </w:rPr>
      </w:pPr>
    </w:p>
    <w:tbl>
      <w:tblPr>
        <w:tblStyle w:val="TableGrid"/>
        <w:tblW w:w="0" w:type="auto"/>
        <w:tblInd w:w="160" w:type="dxa"/>
        <w:tblLook w:val="04A0" w:firstRow="1" w:lastRow="0" w:firstColumn="1" w:lastColumn="0" w:noHBand="0" w:noVBand="1"/>
      </w:tblPr>
      <w:tblGrid>
        <w:gridCol w:w="2018"/>
        <w:gridCol w:w="7398"/>
      </w:tblGrid>
      <w:tr w:rsidR="000D61FD" w:rsidRPr="000D61FD" w:rsidTr="00FF0EF0">
        <w:tc>
          <w:tcPr>
            <w:tcW w:w="2018" w:type="dxa"/>
          </w:tcPr>
          <w:p w:rsidR="000D61FD" w:rsidRPr="000D61FD" w:rsidRDefault="000D61FD" w:rsidP="00C91DE1">
            <w:pPr>
              <w:widowControl w:val="0"/>
              <w:spacing w:before="6"/>
              <w:jc w:val="center"/>
              <w:rPr>
                <w:rFonts w:ascii="Arial" w:eastAsia="Arial" w:hAnsi="Arial"/>
                <w:b/>
                <w:sz w:val="20"/>
                <w:szCs w:val="20"/>
              </w:rPr>
            </w:pPr>
            <w:r w:rsidRPr="000D61FD">
              <w:rPr>
                <w:rFonts w:ascii="Arial" w:eastAsia="Arial" w:hAnsi="Arial"/>
                <w:b/>
                <w:sz w:val="20"/>
                <w:szCs w:val="20"/>
              </w:rPr>
              <w:t>DOES NOT APPLY</w:t>
            </w:r>
          </w:p>
        </w:tc>
        <w:tc>
          <w:tcPr>
            <w:tcW w:w="7398" w:type="dxa"/>
          </w:tcPr>
          <w:p w:rsidR="000D61FD" w:rsidRPr="000D61FD" w:rsidRDefault="000D61FD" w:rsidP="00FF0EF0">
            <w:pPr>
              <w:widowControl w:val="0"/>
              <w:spacing w:before="6"/>
              <w:rPr>
                <w:rFonts w:ascii="Arial" w:eastAsia="Arial" w:hAnsi="Arial"/>
                <w:b/>
                <w:sz w:val="20"/>
                <w:szCs w:val="20"/>
              </w:rPr>
            </w:pPr>
          </w:p>
        </w:tc>
      </w:tr>
      <w:tr w:rsidR="00000082" w:rsidTr="00FF0EF0">
        <w:tc>
          <w:tcPr>
            <w:tcW w:w="2018" w:type="dxa"/>
          </w:tcPr>
          <w:p w:rsidR="00000082" w:rsidRDefault="00000082" w:rsidP="00C91DE1">
            <w:pPr>
              <w:widowControl w:val="0"/>
              <w:spacing w:before="6"/>
              <w:jc w:val="center"/>
              <w:rPr>
                <w:rFonts w:ascii="Arial" w:eastAsia="Arial" w:hAnsi="Arial"/>
                <w:sz w:val="20"/>
                <w:szCs w:val="20"/>
              </w:rPr>
            </w:pPr>
          </w:p>
        </w:tc>
        <w:tc>
          <w:tcPr>
            <w:tcW w:w="7398" w:type="dxa"/>
          </w:tcPr>
          <w:p w:rsidR="00000082" w:rsidRDefault="00000082" w:rsidP="00FF0EF0">
            <w:pPr>
              <w:widowControl w:val="0"/>
              <w:spacing w:before="6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0D61FD" w:rsidTr="00FF0EF0">
        <w:tc>
          <w:tcPr>
            <w:tcW w:w="2018" w:type="dxa"/>
          </w:tcPr>
          <w:p w:rsidR="000D61FD" w:rsidRDefault="000D61FD" w:rsidP="00C91DE1">
            <w:pPr>
              <w:widowControl w:val="0"/>
              <w:spacing w:before="6"/>
              <w:jc w:val="center"/>
              <w:rPr>
                <w:rFonts w:ascii="Arial" w:eastAsia="Arial" w:hAnsi="Arial"/>
                <w:sz w:val="20"/>
                <w:szCs w:val="20"/>
              </w:rPr>
            </w:pPr>
          </w:p>
        </w:tc>
        <w:tc>
          <w:tcPr>
            <w:tcW w:w="7398" w:type="dxa"/>
          </w:tcPr>
          <w:p w:rsidR="000D61FD" w:rsidRDefault="000D61FD" w:rsidP="00FF0EF0">
            <w:pPr>
              <w:widowControl w:val="0"/>
              <w:spacing w:before="6"/>
              <w:rPr>
                <w:rFonts w:ascii="Arial" w:eastAsia="Arial" w:hAnsi="Arial"/>
                <w:sz w:val="20"/>
                <w:szCs w:val="20"/>
              </w:rPr>
            </w:pPr>
            <w:r w:rsidRPr="00000082">
              <w:rPr>
                <w:rFonts w:ascii="Arial" w:eastAsia="Arial" w:hAnsi="Arial"/>
                <w:b/>
                <w:sz w:val="20"/>
                <w:szCs w:val="20"/>
              </w:rPr>
              <w:t>18</w:t>
            </w:r>
            <w:r>
              <w:rPr>
                <w:rFonts w:ascii="Arial" w:eastAsia="Arial" w:hAnsi="Arial"/>
                <w:sz w:val="20"/>
                <w:szCs w:val="20"/>
              </w:rPr>
              <w:t>.  Any “claim” or “suit” arising out of any of the following operations:</w:t>
            </w:r>
          </w:p>
        </w:tc>
      </w:tr>
      <w:tr w:rsidR="000D61FD" w:rsidTr="00FF0EF0">
        <w:sdt>
          <w:sdtPr>
            <w:rPr>
              <w:rFonts w:ascii="Arial" w:eastAsia="Arial" w:hAnsi="Arial"/>
              <w:sz w:val="20"/>
              <w:szCs w:val="20"/>
            </w:rPr>
            <w:id w:val="1772818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8" w:type="dxa"/>
              </w:tcPr>
              <w:p w:rsidR="000D61FD" w:rsidRDefault="00C91DE1" w:rsidP="00C91DE1">
                <w:pPr>
                  <w:widowControl w:val="0"/>
                  <w:spacing w:before="6"/>
                  <w:jc w:val="center"/>
                  <w:rPr>
                    <w:rFonts w:ascii="Arial" w:eastAsia="Arial" w:hAnsi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398" w:type="dxa"/>
          </w:tcPr>
          <w:p w:rsidR="000D61FD" w:rsidRPr="00000082" w:rsidRDefault="00000082" w:rsidP="00000082">
            <w:pPr>
              <w:widowControl w:val="0"/>
              <w:spacing w:before="6"/>
              <w:ind w:left="360"/>
              <w:rPr>
                <w:rFonts w:ascii="Arial" w:eastAsia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 xml:space="preserve">f.    </w:t>
            </w:r>
            <w:r w:rsidR="000D61FD" w:rsidRPr="00000082">
              <w:rPr>
                <w:rFonts w:ascii="Arial" w:eastAsia="Arial" w:hAnsi="Arial"/>
                <w:sz w:val="20"/>
                <w:szCs w:val="20"/>
              </w:rPr>
              <w:t>Fireworks or pyro</w:t>
            </w:r>
            <w:r>
              <w:rPr>
                <w:rFonts w:ascii="Arial" w:eastAsia="Arial" w:hAnsi="Arial"/>
                <w:sz w:val="20"/>
                <w:szCs w:val="20"/>
              </w:rPr>
              <w:t>technic displays or exhibitions</w:t>
            </w:r>
          </w:p>
        </w:tc>
      </w:tr>
      <w:tr w:rsidR="000D61FD" w:rsidTr="00FF0EF0">
        <w:sdt>
          <w:sdtPr>
            <w:rPr>
              <w:rFonts w:ascii="Arial" w:eastAsia="Arial" w:hAnsi="Arial"/>
              <w:sz w:val="20"/>
              <w:szCs w:val="20"/>
            </w:rPr>
            <w:id w:val="122977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8" w:type="dxa"/>
              </w:tcPr>
              <w:p w:rsidR="000D61FD" w:rsidRDefault="00C91DE1" w:rsidP="00C91DE1">
                <w:pPr>
                  <w:widowControl w:val="0"/>
                  <w:spacing w:before="6"/>
                  <w:jc w:val="center"/>
                  <w:rPr>
                    <w:rFonts w:ascii="Arial" w:eastAsia="Arial" w:hAnsi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398" w:type="dxa"/>
          </w:tcPr>
          <w:p w:rsidR="000D61FD" w:rsidRDefault="000D61FD" w:rsidP="00000082">
            <w:pPr>
              <w:pStyle w:val="ListParagraph"/>
              <w:widowControl w:val="0"/>
              <w:numPr>
                <w:ilvl w:val="0"/>
                <w:numId w:val="5"/>
              </w:numPr>
              <w:spacing w:before="6"/>
              <w:ind w:left="702" w:hanging="360"/>
              <w:rPr>
                <w:rFonts w:ascii="Arial" w:eastAsia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Golf courses</w:t>
            </w:r>
          </w:p>
        </w:tc>
      </w:tr>
      <w:tr w:rsidR="000D61FD" w:rsidTr="00FF0EF0">
        <w:sdt>
          <w:sdtPr>
            <w:rPr>
              <w:rFonts w:ascii="Arial" w:eastAsia="Arial" w:hAnsi="Arial"/>
              <w:sz w:val="20"/>
              <w:szCs w:val="20"/>
            </w:rPr>
            <w:id w:val="971868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8" w:type="dxa"/>
              </w:tcPr>
              <w:p w:rsidR="000D61FD" w:rsidRDefault="003A1B04" w:rsidP="00C91DE1">
                <w:pPr>
                  <w:widowControl w:val="0"/>
                  <w:spacing w:before="6"/>
                  <w:jc w:val="center"/>
                  <w:rPr>
                    <w:rFonts w:ascii="Arial" w:eastAsia="Arial" w:hAnsi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398" w:type="dxa"/>
          </w:tcPr>
          <w:p w:rsidR="000D61FD" w:rsidRDefault="00000082" w:rsidP="00000082">
            <w:pPr>
              <w:pStyle w:val="ListParagraph"/>
              <w:widowControl w:val="0"/>
              <w:spacing w:before="6"/>
              <w:ind w:hanging="378"/>
              <w:rPr>
                <w:rFonts w:ascii="Arial" w:eastAsia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 xml:space="preserve">j.     </w:t>
            </w:r>
            <w:r w:rsidR="000D61FD">
              <w:rPr>
                <w:rFonts w:ascii="Arial" w:eastAsia="Arial" w:hAnsi="Arial"/>
                <w:sz w:val="20"/>
                <w:szCs w:val="20"/>
              </w:rPr>
              <w:t>Trampoline</w:t>
            </w:r>
            <w:r>
              <w:rPr>
                <w:rFonts w:ascii="Arial" w:eastAsia="Arial" w:hAnsi="Arial"/>
                <w:sz w:val="20"/>
                <w:szCs w:val="20"/>
              </w:rPr>
              <w:t>s or similar rebounding devices</w:t>
            </w:r>
          </w:p>
        </w:tc>
      </w:tr>
      <w:tr w:rsidR="000D61FD" w:rsidTr="00FF0EF0">
        <w:tc>
          <w:tcPr>
            <w:tcW w:w="2018" w:type="dxa"/>
          </w:tcPr>
          <w:p w:rsidR="000D61FD" w:rsidRDefault="000D61FD" w:rsidP="00C91DE1">
            <w:pPr>
              <w:widowControl w:val="0"/>
              <w:spacing w:before="6"/>
              <w:jc w:val="center"/>
              <w:rPr>
                <w:rFonts w:ascii="Arial" w:eastAsia="Arial" w:hAnsi="Arial"/>
                <w:sz w:val="20"/>
                <w:szCs w:val="20"/>
              </w:rPr>
            </w:pPr>
          </w:p>
        </w:tc>
        <w:tc>
          <w:tcPr>
            <w:tcW w:w="7398" w:type="dxa"/>
          </w:tcPr>
          <w:p w:rsidR="000D61FD" w:rsidRPr="00000082" w:rsidRDefault="00000082" w:rsidP="00000082">
            <w:pPr>
              <w:widowControl w:val="0"/>
              <w:spacing w:before="6"/>
              <w:ind w:left="360"/>
              <w:rPr>
                <w:rFonts w:ascii="Arial" w:eastAsia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 xml:space="preserve">l.     </w:t>
            </w:r>
            <w:r w:rsidR="000D61FD" w:rsidRPr="00000082">
              <w:rPr>
                <w:rFonts w:ascii="Arial" w:eastAsia="Arial" w:hAnsi="Arial"/>
                <w:sz w:val="20"/>
                <w:szCs w:val="20"/>
              </w:rPr>
              <w:t>Failure of a</w:t>
            </w:r>
            <w:r>
              <w:rPr>
                <w:rFonts w:ascii="Arial" w:eastAsia="Arial" w:hAnsi="Arial"/>
                <w:sz w:val="20"/>
                <w:szCs w:val="20"/>
              </w:rPr>
              <w:t>ny insured to adequately supply:</w:t>
            </w:r>
          </w:p>
        </w:tc>
      </w:tr>
      <w:tr w:rsidR="00C91DE1" w:rsidTr="00FF0EF0">
        <w:sdt>
          <w:sdtPr>
            <w:rPr>
              <w:rFonts w:ascii="Arial" w:eastAsia="Arial" w:hAnsi="Arial"/>
              <w:sz w:val="20"/>
              <w:szCs w:val="20"/>
            </w:rPr>
            <w:id w:val="-1583443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8" w:type="dxa"/>
              </w:tcPr>
              <w:p w:rsidR="00C91DE1" w:rsidRDefault="00C91DE1" w:rsidP="00C91DE1">
                <w:pPr>
                  <w:widowControl w:val="0"/>
                  <w:spacing w:before="6"/>
                  <w:jc w:val="center"/>
                  <w:rPr>
                    <w:rFonts w:ascii="Arial" w:eastAsia="Arial" w:hAnsi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398" w:type="dxa"/>
          </w:tcPr>
          <w:p w:rsidR="00C91DE1" w:rsidRPr="00A31813" w:rsidRDefault="00C91DE1" w:rsidP="00000082">
            <w:pPr>
              <w:widowControl w:val="0"/>
              <w:spacing w:before="6"/>
              <w:rPr>
                <w:rFonts w:ascii="Arial" w:eastAsia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 xml:space="preserve">            </w:t>
            </w:r>
            <w:r w:rsidR="00000082">
              <w:rPr>
                <w:rFonts w:ascii="Arial" w:eastAsia="Arial" w:hAnsi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/>
                <w:sz w:val="20"/>
                <w:szCs w:val="20"/>
              </w:rPr>
              <w:t>Water</w:t>
            </w:r>
            <w:r w:rsidR="00000082">
              <w:rPr>
                <w:rFonts w:ascii="Arial" w:eastAsia="Arial" w:hAnsi="Arial"/>
                <w:sz w:val="20"/>
                <w:szCs w:val="20"/>
              </w:rPr>
              <w:t xml:space="preserve"> utilities or systems</w:t>
            </w:r>
          </w:p>
        </w:tc>
      </w:tr>
      <w:tr w:rsidR="00C91DE1" w:rsidTr="00FF0EF0">
        <w:sdt>
          <w:sdtPr>
            <w:rPr>
              <w:rFonts w:ascii="Arial" w:eastAsia="Arial" w:hAnsi="Arial"/>
              <w:sz w:val="20"/>
              <w:szCs w:val="20"/>
            </w:rPr>
            <w:id w:val="176467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8" w:type="dxa"/>
              </w:tcPr>
              <w:p w:rsidR="00C91DE1" w:rsidRDefault="00C91DE1" w:rsidP="00C91DE1">
                <w:pPr>
                  <w:widowControl w:val="0"/>
                  <w:spacing w:before="6"/>
                  <w:jc w:val="center"/>
                  <w:rPr>
                    <w:rFonts w:ascii="Arial" w:eastAsia="Arial" w:hAnsi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398" w:type="dxa"/>
          </w:tcPr>
          <w:p w:rsidR="00C91DE1" w:rsidRPr="00A31813" w:rsidRDefault="00C91DE1" w:rsidP="00000082">
            <w:pPr>
              <w:widowControl w:val="0"/>
              <w:spacing w:before="6"/>
              <w:rPr>
                <w:rFonts w:ascii="Arial" w:eastAsia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 xml:space="preserve">           </w:t>
            </w:r>
            <w:r w:rsidR="00000082">
              <w:rPr>
                <w:rFonts w:ascii="Arial" w:eastAsia="Arial" w:hAnsi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/>
                <w:sz w:val="20"/>
                <w:szCs w:val="20"/>
              </w:rPr>
              <w:t xml:space="preserve">Sewer </w:t>
            </w:r>
            <w:r w:rsidR="00000082">
              <w:rPr>
                <w:rFonts w:ascii="Arial" w:eastAsia="Arial" w:hAnsi="Arial"/>
                <w:sz w:val="20"/>
                <w:szCs w:val="20"/>
              </w:rPr>
              <w:t>utilities or s</w:t>
            </w:r>
            <w:r>
              <w:rPr>
                <w:rFonts w:ascii="Arial" w:eastAsia="Arial" w:hAnsi="Arial"/>
                <w:sz w:val="20"/>
                <w:szCs w:val="20"/>
              </w:rPr>
              <w:t>ystem</w:t>
            </w:r>
            <w:r w:rsidR="00000082">
              <w:rPr>
                <w:rFonts w:ascii="Arial" w:eastAsia="Arial" w:hAnsi="Arial"/>
                <w:sz w:val="20"/>
                <w:szCs w:val="20"/>
              </w:rPr>
              <w:t>s</w:t>
            </w:r>
          </w:p>
        </w:tc>
      </w:tr>
    </w:tbl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536D8" w:rsidRDefault="009536D8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Arial" w:eastAsia="Times New Roman" w:hAnsi="Arial" w:cs="Arial"/>
          <w:sz w:val="20"/>
          <w:szCs w:val="20"/>
        </w:rPr>
        <w:t>All other terms and conditions of the policy remain the same.</w:t>
      </w: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Univers ATT" w:eastAsia="Times New Roman" w:hAnsi="Univers ATT" w:cs="Arial"/>
          <w:sz w:val="20"/>
          <w:szCs w:val="20"/>
        </w:rPr>
        <w:tab/>
      </w:r>
      <w:r w:rsidRPr="001A209E">
        <w:rPr>
          <w:rFonts w:ascii="Arial" w:eastAsia="Times New Roman" w:hAnsi="Arial" w:cs="Arial"/>
          <w:sz w:val="20"/>
          <w:szCs w:val="20"/>
        </w:rPr>
        <w:t>__________________________</w:t>
      </w:r>
    </w:p>
    <w:p w:rsidR="001A209E" w:rsidRPr="001A209E" w:rsidRDefault="001A209E" w:rsidP="001A209E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Arial" w:eastAsia="Times New Roman" w:hAnsi="Arial" w:cs="Arial"/>
          <w:sz w:val="20"/>
          <w:szCs w:val="20"/>
        </w:rPr>
        <w:tab/>
        <w:t>Authorized Representative</w:t>
      </w: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03DFB" w:rsidRPr="001A209E" w:rsidRDefault="00703DFB" w:rsidP="001A209E">
      <w:pPr>
        <w:tabs>
          <w:tab w:val="left" w:pos="3960"/>
        </w:tabs>
      </w:pPr>
    </w:p>
    <w:sectPr w:rsidR="00703DFB" w:rsidRPr="001A209E" w:rsidSect="006F574C">
      <w:footerReference w:type="default" r:id="rId9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9E" w:rsidRDefault="001A209E" w:rsidP="006F574C">
      <w:pPr>
        <w:spacing w:after="0" w:line="240" w:lineRule="auto"/>
      </w:pPr>
      <w:r>
        <w:separator/>
      </w:r>
    </w:p>
  </w:endnote>
  <w:endnote w:type="continuationSeparator" w:id="0">
    <w:p w:rsidR="001A209E" w:rsidRDefault="001A209E" w:rsidP="006F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Look w:val="01E0" w:firstRow="1" w:lastRow="1" w:firstColumn="1" w:lastColumn="1" w:noHBand="0" w:noVBand="0"/>
    </w:tblPr>
    <w:tblGrid>
      <w:gridCol w:w="1908"/>
      <w:gridCol w:w="6030"/>
      <w:gridCol w:w="1530"/>
    </w:tblGrid>
    <w:tr w:rsidR="001A209E" w:rsidRPr="001A209E" w:rsidTr="001A209E">
      <w:trPr>
        <w:trHeight w:val="332"/>
      </w:trPr>
      <w:tc>
        <w:tcPr>
          <w:tcW w:w="1908" w:type="dxa"/>
        </w:tcPr>
        <w:p w:rsidR="001A209E" w:rsidRPr="001A209E" w:rsidRDefault="000114DE" w:rsidP="001A209E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3978 (8/17)</w:t>
          </w:r>
        </w:p>
      </w:tc>
      <w:tc>
        <w:tcPr>
          <w:tcW w:w="6030" w:type="dxa"/>
        </w:tcPr>
        <w:p w:rsidR="001A209E" w:rsidRPr="001A209E" w:rsidRDefault="001A209E" w:rsidP="001A209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209E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1A209E" w:rsidRPr="001A209E" w:rsidRDefault="001A209E" w:rsidP="001A209E">
          <w:pPr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Arial" w:hAnsi="Arial" w:cs="Arial"/>
              <w:sz w:val="18"/>
              <w:szCs w:val="18"/>
            </w:rPr>
          </w:pPr>
        </w:p>
        <w:p w:rsidR="001A209E" w:rsidRPr="001A209E" w:rsidRDefault="001A209E" w:rsidP="001A209E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1A209E" w:rsidRPr="001A209E" w:rsidRDefault="001A209E" w:rsidP="001A209E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1A209E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209E">
            <w:rPr>
              <w:rFonts w:ascii="Arial" w:hAnsi="Arial" w:cs="Arial"/>
              <w:sz w:val="18"/>
              <w:szCs w:val="18"/>
            </w:rPr>
            <w:fldChar w:fldCharType="begin"/>
          </w:r>
          <w:r w:rsidRPr="001A209E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1A209E">
            <w:rPr>
              <w:rFonts w:ascii="Arial" w:hAnsi="Arial" w:cs="Arial"/>
              <w:sz w:val="18"/>
              <w:szCs w:val="18"/>
            </w:rPr>
            <w:fldChar w:fldCharType="separate"/>
          </w:r>
          <w:r w:rsidR="000114DE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1A209E">
            <w:rPr>
              <w:rFonts w:ascii="Arial" w:hAnsi="Arial" w:cs="Arial"/>
              <w:sz w:val="18"/>
              <w:szCs w:val="18"/>
            </w:rPr>
            <w:fldChar w:fldCharType="end"/>
          </w:r>
          <w:r w:rsidRPr="001A209E">
            <w:rPr>
              <w:rFonts w:ascii="Arial" w:hAnsi="Arial" w:cs="Arial"/>
              <w:sz w:val="18"/>
              <w:szCs w:val="18"/>
            </w:rPr>
            <w:t xml:space="preserve"> of </w:t>
          </w:r>
          <w:r w:rsidRPr="001A209E">
            <w:rPr>
              <w:rFonts w:ascii="Arial" w:hAnsi="Arial" w:cs="Arial"/>
              <w:sz w:val="18"/>
              <w:szCs w:val="18"/>
            </w:rPr>
            <w:fldChar w:fldCharType="begin"/>
          </w:r>
          <w:r w:rsidRPr="001A209E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209E">
            <w:rPr>
              <w:rFonts w:ascii="Arial" w:hAnsi="Arial" w:cs="Arial"/>
              <w:sz w:val="18"/>
              <w:szCs w:val="18"/>
            </w:rPr>
            <w:fldChar w:fldCharType="separate"/>
          </w:r>
          <w:r w:rsidR="000114DE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1A209E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1A209E" w:rsidRPr="001A209E" w:rsidRDefault="001A209E" w:rsidP="001A209E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:rsidR="001A209E" w:rsidRDefault="001A20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9E" w:rsidRDefault="001A209E" w:rsidP="006F574C">
      <w:pPr>
        <w:spacing w:after="0" w:line="240" w:lineRule="auto"/>
      </w:pPr>
      <w:r>
        <w:separator/>
      </w:r>
    </w:p>
  </w:footnote>
  <w:footnote w:type="continuationSeparator" w:id="0">
    <w:p w:rsidR="001A209E" w:rsidRDefault="001A209E" w:rsidP="006F5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972"/>
    <w:multiLevelType w:val="hybridMultilevel"/>
    <w:tmpl w:val="05A85BD4"/>
    <w:lvl w:ilvl="0" w:tplc="42EA98DE">
      <w:start w:val="1"/>
      <w:numFmt w:val="lowerRoman"/>
      <w:lvlText w:val="%1."/>
      <w:lvlJc w:val="left"/>
      <w:pPr>
        <w:ind w:left="10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17DE6676"/>
    <w:multiLevelType w:val="hybridMultilevel"/>
    <w:tmpl w:val="227C5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37579"/>
    <w:multiLevelType w:val="hybridMultilevel"/>
    <w:tmpl w:val="B504D178"/>
    <w:lvl w:ilvl="0" w:tplc="925423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C2D53"/>
    <w:multiLevelType w:val="hybridMultilevel"/>
    <w:tmpl w:val="00C8690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434B4"/>
    <w:multiLevelType w:val="hybridMultilevel"/>
    <w:tmpl w:val="3FFC0FB0"/>
    <w:lvl w:ilvl="0" w:tplc="E2BE2588">
      <w:start w:val="1"/>
      <w:numFmt w:val="decimal"/>
      <w:lvlText w:val="%1."/>
      <w:lvlJc w:val="left"/>
      <w:pPr>
        <w:ind w:left="609" w:hanging="451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2BC0BBBA">
      <w:start w:val="1"/>
      <w:numFmt w:val="lowerLetter"/>
      <w:lvlText w:val="%2."/>
      <w:lvlJc w:val="left"/>
      <w:pPr>
        <w:ind w:left="1060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2" w:tplc="19040728">
      <w:start w:val="1"/>
      <w:numFmt w:val="lowerRoman"/>
      <w:lvlText w:val="%3."/>
      <w:lvlJc w:val="left"/>
      <w:pPr>
        <w:ind w:left="1541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3" w:tplc="9B9C339C">
      <w:start w:val="1"/>
      <w:numFmt w:val="bullet"/>
      <w:lvlText w:val="•"/>
      <w:lvlJc w:val="left"/>
      <w:pPr>
        <w:ind w:left="1000" w:hanging="361"/>
      </w:pPr>
      <w:rPr>
        <w:rFonts w:hint="default"/>
      </w:rPr>
    </w:lvl>
    <w:lvl w:ilvl="4" w:tplc="3190C3A0">
      <w:start w:val="1"/>
      <w:numFmt w:val="bullet"/>
      <w:lvlText w:val="•"/>
      <w:lvlJc w:val="left"/>
      <w:pPr>
        <w:ind w:left="1001" w:hanging="361"/>
      </w:pPr>
      <w:rPr>
        <w:rFonts w:hint="default"/>
      </w:rPr>
    </w:lvl>
    <w:lvl w:ilvl="5" w:tplc="44609FCE">
      <w:start w:val="1"/>
      <w:numFmt w:val="bullet"/>
      <w:lvlText w:val="•"/>
      <w:lvlJc w:val="left"/>
      <w:pPr>
        <w:ind w:left="1008" w:hanging="361"/>
      </w:pPr>
      <w:rPr>
        <w:rFonts w:hint="default"/>
      </w:rPr>
    </w:lvl>
    <w:lvl w:ilvl="6" w:tplc="388A5DCA">
      <w:start w:val="1"/>
      <w:numFmt w:val="bullet"/>
      <w:lvlText w:val="•"/>
      <w:lvlJc w:val="left"/>
      <w:pPr>
        <w:ind w:left="1060" w:hanging="361"/>
      </w:pPr>
      <w:rPr>
        <w:rFonts w:hint="default"/>
      </w:rPr>
    </w:lvl>
    <w:lvl w:ilvl="7" w:tplc="6EBE05F6">
      <w:start w:val="1"/>
      <w:numFmt w:val="bullet"/>
      <w:lvlText w:val="•"/>
      <w:lvlJc w:val="left"/>
      <w:pPr>
        <w:ind w:left="1541" w:hanging="361"/>
      </w:pPr>
      <w:rPr>
        <w:rFonts w:hint="default"/>
      </w:rPr>
    </w:lvl>
    <w:lvl w:ilvl="8" w:tplc="29923D12">
      <w:start w:val="1"/>
      <w:numFmt w:val="bullet"/>
      <w:lvlText w:val="•"/>
      <w:lvlJc w:val="left"/>
      <w:pPr>
        <w:ind w:left="4700" w:hanging="36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FD"/>
    <w:rsid w:val="00000082"/>
    <w:rsid w:val="000114DE"/>
    <w:rsid w:val="000D61FD"/>
    <w:rsid w:val="001A209E"/>
    <w:rsid w:val="002C5472"/>
    <w:rsid w:val="0034113A"/>
    <w:rsid w:val="003A1B04"/>
    <w:rsid w:val="00512127"/>
    <w:rsid w:val="00635B30"/>
    <w:rsid w:val="00676337"/>
    <w:rsid w:val="006F574C"/>
    <w:rsid w:val="00703DFB"/>
    <w:rsid w:val="00761BA8"/>
    <w:rsid w:val="00792A06"/>
    <w:rsid w:val="007B5E3A"/>
    <w:rsid w:val="007E6942"/>
    <w:rsid w:val="008E1E29"/>
    <w:rsid w:val="009536D8"/>
    <w:rsid w:val="00A31813"/>
    <w:rsid w:val="00BA4B06"/>
    <w:rsid w:val="00C11452"/>
    <w:rsid w:val="00C91DE1"/>
    <w:rsid w:val="00D346DA"/>
    <w:rsid w:val="00DB55D3"/>
    <w:rsid w:val="00DE7658"/>
    <w:rsid w:val="00E15F48"/>
    <w:rsid w:val="00F73308"/>
    <w:rsid w:val="00F7472A"/>
    <w:rsid w:val="00F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1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1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74C"/>
  </w:style>
  <w:style w:type="paragraph" w:styleId="Footer">
    <w:name w:val="footer"/>
    <w:basedOn w:val="Normal"/>
    <w:link w:val="Foot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74C"/>
  </w:style>
  <w:style w:type="table" w:customStyle="1" w:styleId="TableGrid1">
    <w:name w:val="Table Grid1"/>
    <w:basedOn w:val="TableNormal"/>
    <w:next w:val="TableGrid"/>
    <w:rsid w:val="001A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1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1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74C"/>
  </w:style>
  <w:style w:type="paragraph" w:styleId="Footer">
    <w:name w:val="footer"/>
    <w:basedOn w:val="Normal"/>
    <w:link w:val="Foot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74C"/>
  </w:style>
  <w:style w:type="table" w:customStyle="1" w:styleId="TableGrid1">
    <w:name w:val="Table Grid1"/>
    <w:basedOn w:val="TableNormal"/>
    <w:next w:val="TableGrid"/>
    <w:rsid w:val="001A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73C13-ED9A-4F23-B630-D9F46923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Group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Bourg, Candace O</dc:creator>
  <cp:lastModifiedBy>Martell, Elaine</cp:lastModifiedBy>
  <cp:revision>10</cp:revision>
  <dcterms:created xsi:type="dcterms:W3CDTF">2017-05-23T19:45:00Z</dcterms:created>
  <dcterms:modified xsi:type="dcterms:W3CDTF">2017-08-15T14:23:00Z</dcterms:modified>
</cp:coreProperties>
</file>