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C53357" w:rsidRPr="00EC78AC" w:rsidRDefault="00141F8A">
      <w:pPr>
        <w:pStyle w:val="c2"/>
        <w:tabs>
          <w:tab w:val="left" w:pos="6040"/>
        </w:tabs>
        <w:spacing w:line="240" w:lineRule="auto"/>
        <w:rPr>
          <w:szCs w:val="24"/>
        </w:rPr>
      </w:pPr>
      <w:r>
        <w:rPr>
          <w:szCs w:val="24"/>
        </w:rPr>
        <w:t>TENNESSEE</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1F5CA2" w:rsidRDefault="001F5CA2">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1" w:name="OLE_LINK1"/>
      <w:bookmarkStart w:id="2"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Neuro-Musculo-Skeletal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8A2E82">
        <w:t xml:space="preserve">or I.V. therapy </w:t>
      </w:r>
      <w:r w:rsidR="008D67CC">
        <w:t>of any kind</w:t>
      </w:r>
    </w:p>
    <w:p w:rsidR="00E3126D" w:rsidRDefault="00092E95" w:rsidP="00092E95">
      <w:pPr>
        <w:pStyle w:val="p4"/>
        <w:tabs>
          <w:tab w:val="left" w:pos="720"/>
        </w:tabs>
        <w:spacing w:line="240" w:lineRule="auto"/>
        <w:ind w:hanging="360"/>
        <w:rPr>
          <w:b/>
          <w:sz w:val="20"/>
        </w:rPr>
      </w:pPr>
      <w:r w:rsidRPr="000F0C7D">
        <w:rPr>
          <w:b/>
          <w:sz w:val="20"/>
        </w:rPr>
        <w:tab/>
      </w:r>
    </w:p>
    <w:p w:rsidR="00092E95" w:rsidRDefault="00092E95" w:rsidP="00092E95">
      <w:pPr>
        <w:pStyle w:val="p4"/>
        <w:tabs>
          <w:tab w:val="left" w:pos="720"/>
        </w:tabs>
        <w:spacing w:line="240" w:lineRule="auto"/>
        <w:ind w:hanging="360"/>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53357">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53357">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pPr>
      <w:r>
        <w:rPr>
          <w:sz w:val="20"/>
        </w:rPr>
        <w:lastRenderedPageBreak/>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r>
        <w:rPr>
          <w:sz w:val="20"/>
        </w:rPr>
        <w:tab/>
      </w:r>
      <w:r>
        <w:rPr>
          <w:sz w:val="20"/>
        </w:rPr>
        <w:tab/>
      </w:r>
    </w:p>
    <w:p w:rsidR="006A7CF0" w:rsidRDefault="006A7CF0" w:rsidP="006A7CF0">
      <w:pPr>
        <w:tabs>
          <w:tab w:val="left" w:pos="3600"/>
        </w:tabs>
        <w:ind w:left="660" w:firstLine="720"/>
      </w:pPr>
      <w:r>
        <w:t>2 Year Option</w:t>
      </w:r>
      <w:r>
        <w:tab/>
        <w:t>85% of mature claims made rate</w:t>
      </w:r>
      <w:r>
        <w:tab/>
      </w:r>
      <w:r>
        <w:tab/>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r>
        <w:tab/>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1E4592">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3B6DD0">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pPr>
              <w:tabs>
                <w:tab w:val="left" w:pos="360"/>
                <w:tab w:val="left" w:pos="1890"/>
                <w:tab w:val="left" w:pos="2880"/>
              </w:tabs>
              <w:ind w:left="1080" w:hanging="1080"/>
              <w:jc w:val="center"/>
              <w:rPr>
                <w:b/>
              </w:rPr>
            </w:pPr>
            <w:r>
              <w:rPr>
                <w:b/>
              </w:rPr>
              <w:t>Practice Size (# of Chiropractors)</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Submit to Company</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w:t>
      </w:r>
      <w:r>
        <w:lastRenderedPageBreak/>
        <w:t xml:space="preserve">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022475" w:rsidRDefault="00022475" w:rsidP="00022475">
      <w:pPr>
        <w:pStyle w:val="p16"/>
        <w:tabs>
          <w:tab w:val="left" w:pos="1120"/>
        </w:tabs>
        <w:spacing w:line="360" w:lineRule="auto"/>
        <w:ind w:left="3600"/>
        <w:rPr>
          <w:b/>
          <w:sz w:val="18"/>
        </w:rPr>
      </w:pPr>
      <w:r>
        <w:rPr>
          <w:b/>
          <w:sz w:val="18"/>
        </w:rPr>
        <w:t>SCHEDULE OF DEBITS (+)  &amp; CREDITS (-)</w:t>
      </w: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5B4A7F">
      <w:pPr>
        <w:tabs>
          <w:tab w:val="left" w:pos="360"/>
        </w:tabs>
        <w:spacing w:line="260" w:lineRule="exact"/>
      </w:pPr>
      <w:r>
        <w:tab/>
      </w:r>
      <w:r w:rsidR="00401BA5">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487145">
        <w:t>25</w:t>
      </w:r>
      <w:r>
        <w:t>,000 Per Wrongful Act</w:t>
      </w:r>
    </w:p>
    <w:p w:rsidR="00401BA5" w:rsidRDefault="00401BA5" w:rsidP="00E01429">
      <w:pPr>
        <w:tabs>
          <w:tab w:val="left" w:pos="360"/>
        </w:tabs>
        <w:spacing w:line="260" w:lineRule="exact"/>
        <w:ind w:left="360"/>
      </w:pPr>
      <w:r>
        <w:tab/>
      </w:r>
      <w:r>
        <w:tab/>
      </w:r>
      <w:r>
        <w:tab/>
        <w:t>$</w:t>
      </w:r>
      <w:r w:rsidR="00487145">
        <w:t>50</w:t>
      </w:r>
      <w:r>
        <w:t>,000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5D294B" w:rsidRPr="007162A0" w:rsidRDefault="00C90012" w:rsidP="00C90012">
      <w:pPr>
        <w:tabs>
          <w:tab w:val="left" w:pos="360"/>
        </w:tabs>
        <w:spacing w:line="260" w:lineRule="exact"/>
        <w:ind w:left="360" w:hanging="310"/>
        <w:jc w:val="both"/>
        <w:rPr>
          <w:b/>
          <w:bCs/>
        </w:rPr>
      </w:pPr>
      <w:r>
        <w:lastRenderedPageBreak/>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401BA5" w:rsidRDefault="00401BA5"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10266" w:type="dxa"/>
        <w:tblInd w:w="108" w:type="dxa"/>
        <w:tblLook w:val="04A0" w:firstRow="1" w:lastRow="0" w:firstColumn="1" w:lastColumn="0" w:noHBand="0" w:noVBand="1"/>
      </w:tblPr>
      <w:tblGrid>
        <w:gridCol w:w="3349"/>
        <w:gridCol w:w="222"/>
        <w:gridCol w:w="1019"/>
        <w:gridCol w:w="97"/>
        <w:gridCol w:w="1019"/>
        <w:gridCol w:w="97"/>
        <w:gridCol w:w="1019"/>
        <w:gridCol w:w="97"/>
        <w:gridCol w:w="236"/>
        <w:gridCol w:w="783"/>
        <w:gridCol w:w="236"/>
        <w:gridCol w:w="97"/>
        <w:gridCol w:w="976"/>
        <w:gridCol w:w="43"/>
        <w:gridCol w:w="976"/>
      </w:tblGrid>
      <w:tr w:rsidR="007620FE" w:rsidRPr="00BE2A96" w:rsidTr="005B4A7F">
        <w:trPr>
          <w:trHeight w:val="255"/>
        </w:trPr>
        <w:tc>
          <w:tcPr>
            <w:tcW w:w="4590" w:type="dxa"/>
            <w:gridSpan w:val="3"/>
            <w:tcBorders>
              <w:top w:val="nil"/>
              <w:left w:val="nil"/>
              <w:bottom w:val="nil"/>
              <w:right w:val="nil"/>
            </w:tcBorders>
            <w:shd w:val="clear" w:color="auto" w:fill="auto"/>
            <w:noWrap/>
            <w:vAlign w:val="bottom"/>
            <w:hideMark/>
          </w:tcPr>
          <w:p w:rsidR="007620FE" w:rsidRPr="00BE2A96" w:rsidRDefault="007620FE" w:rsidP="00D648D3">
            <w:pPr>
              <w:jc w:val="center"/>
              <w:rPr>
                <w:b/>
                <w:bCs/>
              </w:rPr>
            </w:pPr>
            <w:r w:rsidRPr="00BE2A96">
              <w:rPr>
                <w:b/>
                <w:bCs/>
              </w:rPr>
              <w:t>Corporate Identity Protection Coverage</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5B4A7F">
        <w:trPr>
          <w:gridAfter w:val="2"/>
          <w:wAfter w:w="1019" w:type="dxa"/>
          <w:trHeight w:val="255"/>
        </w:trPr>
        <w:tc>
          <w:tcPr>
            <w:tcW w:w="4687" w:type="dxa"/>
            <w:gridSpan w:val="4"/>
            <w:tcBorders>
              <w:top w:val="nil"/>
              <w:left w:val="nil"/>
              <w:bottom w:val="nil"/>
              <w:right w:val="nil"/>
            </w:tcBorders>
            <w:shd w:val="clear" w:color="auto" w:fill="auto"/>
            <w:noWrap/>
            <w:vAlign w:val="bottom"/>
            <w:hideMark/>
          </w:tcPr>
          <w:p w:rsidR="007620FE" w:rsidRPr="00BE2A96" w:rsidRDefault="007620FE" w:rsidP="00D648D3">
            <w:r w:rsidRPr="00BE2A96">
              <w:t>Coverage is available as follows: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5B4A7F">
        <w:trPr>
          <w:gridAfter w:val="2"/>
          <w:wAfter w:w="1019" w:type="dxa"/>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5B4A7F">
        <w:trPr>
          <w:gridAfter w:val="2"/>
          <w:wAfter w:w="1019" w:type="dxa"/>
          <w:trHeight w:val="255"/>
        </w:trPr>
        <w:tc>
          <w:tcPr>
            <w:tcW w:w="7155" w:type="dxa"/>
            <w:gridSpan w:val="9"/>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5B4A7F">
        <w:trPr>
          <w:gridAfter w:val="2"/>
          <w:wAfter w:w="1019" w:type="dxa"/>
          <w:trHeight w:val="255"/>
        </w:trPr>
        <w:tc>
          <w:tcPr>
            <w:tcW w:w="7155" w:type="dxa"/>
            <w:gridSpan w:val="9"/>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lastRenderedPageBreak/>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5B4A7F">
        <w:trPr>
          <w:gridAfter w:val="2"/>
          <w:wAfter w:w="1019" w:type="dxa"/>
          <w:trHeight w:val="255"/>
        </w:trPr>
        <w:tc>
          <w:tcPr>
            <w:tcW w:w="7155" w:type="dxa"/>
            <w:gridSpan w:val="9"/>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5B4A7F">
        <w:trPr>
          <w:gridAfter w:val="2"/>
          <w:wAfter w:w="1019" w:type="dxa"/>
          <w:trHeight w:val="255"/>
        </w:trPr>
        <w:tc>
          <w:tcPr>
            <w:tcW w:w="7155" w:type="dxa"/>
            <w:gridSpan w:val="9"/>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5B4A7F">
        <w:trPr>
          <w:gridAfter w:val="2"/>
          <w:wAfter w:w="1019" w:type="dxa"/>
          <w:trHeight w:val="255"/>
        </w:trPr>
        <w:tc>
          <w:tcPr>
            <w:tcW w:w="5803" w:type="dxa"/>
            <w:gridSpan w:val="6"/>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3"/>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487145">
      <w:footerReference w:type="default" r:id="rId9"/>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A7F" w:rsidRDefault="005B4A7F">
      <w:r>
        <w:separator/>
      </w:r>
    </w:p>
  </w:endnote>
  <w:endnote w:type="continuationSeparator" w:id="0">
    <w:p w:rsidR="005B4A7F" w:rsidRDefault="005B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7F" w:rsidRDefault="005B4A7F" w:rsidP="00B02A37">
    <w:pPr>
      <w:pStyle w:val="Footer"/>
      <w:tabs>
        <w:tab w:val="left" w:pos="4590"/>
      </w:tabs>
    </w:pPr>
    <w:r w:rsidRPr="001778F5">
      <w:rPr>
        <w:color w:val="000000"/>
        <w:sz w:val="16"/>
        <w:szCs w:val="16"/>
      </w:rPr>
      <w:t>AIG-</w:t>
    </w:r>
    <w:r>
      <w:rPr>
        <w:color w:val="000000"/>
        <w:sz w:val="16"/>
        <w:szCs w:val="16"/>
      </w:rPr>
      <w:t>CHIROPRACTORS-PL TN</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Pr="001778F5">
      <w:rPr>
        <w:sz w:val="16"/>
        <w:szCs w:val="16"/>
      </w:rPr>
      <w:fldChar w:fldCharType="begin"/>
    </w:r>
    <w:r w:rsidRPr="001778F5">
      <w:rPr>
        <w:sz w:val="16"/>
        <w:szCs w:val="16"/>
      </w:rPr>
      <w:instrText xml:space="preserve"> PAGE </w:instrText>
    </w:r>
    <w:r w:rsidRPr="001778F5">
      <w:rPr>
        <w:sz w:val="16"/>
        <w:szCs w:val="16"/>
      </w:rPr>
      <w:fldChar w:fldCharType="separate"/>
    </w:r>
    <w:r w:rsidR="002F6D15">
      <w:rPr>
        <w:noProof/>
        <w:sz w:val="16"/>
        <w:szCs w:val="16"/>
      </w:rPr>
      <w:t>1</w:t>
    </w:r>
    <w:r w:rsidRPr="001778F5">
      <w:rPr>
        <w:sz w:val="16"/>
        <w:szCs w:val="16"/>
      </w:rPr>
      <w:fldChar w:fldCharType="end"/>
    </w:r>
    <w:r w:rsidRPr="001778F5">
      <w:rPr>
        <w:sz w:val="16"/>
        <w:szCs w:val="16"/>
      </w:rPr>
      <w:t xml:space="preserve"> of </w:t>
    </w:r>
    <w:r w:rsidRPr="001778F5">
      <w:rPr>
        <w:sz w:val="16"/>
        <w:szCs w:val="16"/>
      </w:rPr>
      <w:fldChar w:fldCharType="begin"/>
    </w:r>
    <w:r w:rsidRPr="001778F5">
      <w:rPr>
        <w:sz w:val="16"/>
        <w:szCs w:val="16"/>
      </w:rPr>
      <w:instrText xml:space="preserve"> NUMPAGES  </w:instrText>
    </w:r>
    <w:r w:rsidRPr="001778F5">
      <w:rPr>
        <w:sz w:val="16"/>
        <w:szCs w:val="16"/>
      </w:rPr>
      <w:fldChar w:fldCharType="separate"/>
    </w:r>
    <w:r w:rsidR="002F6D15">
      <w:rPr>
        <w:noProof/>
        <w:sz w:val="16"/>
        <w:szCs w:val="16"/>
      </w:rPr>
      <w:t>5</w:t>
    </w:r>
    <w:r w:rsidRPr="001778F5">
      <w:rPr>
        <w:sz w:val="16"/>
        <w:szCs w:val="16"/>
      </w:rPr>
      <w:fldChar w:fldCharType="end"/>
    </w:r>
    <w:r>
      <w:rPr>
        <w:sz w:val="16"/>
        <w:szCs w:val="16"/>
      </w:rPr>
      <w:tab/>
    </w:r>
    <w:r w:rsidRPr="001778F5">
      <w:rPr>
        <w:color w:val="000000"/>
        <w:sz w:val="16"/>
        <w:szCs w:val="16"/>
      </w:rPr>
      <w:t>ED. (0</w:t>
    </w:r>
    <w:r w:rsidR="003B6DD0">
      <w:rPr>
        <w:color w:val="000000"/>
        <w:sz w:val="16"/>
        <w:szCs w:val="16"/>
      </w:rPr>
      <w:t>9</w:t>
    </w:r>
    <w:r w:rsidRPr="001778F5">
      <w:rPr>
        <w:color w:val="000000"/>
        <w:sz w:val="16"/>
        <w:szCs w:val="16"/>
      </w:rPr>
      <w:t>/15)</w:t>
    </w:r>
  </w:p>
  <w:p w:rsidR="005B4A7F" w:rsidRDefault="005B4A7F" w:rsidP="00C16AEC">
    <w:pPr>
      <w:spacing w:line="225" w:lineRule="exact"/>
      <w:ind w:left="20" w:right="-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A7F" w:rsidRDefault="005B4A7F">
      <w:r>
        <w:separator/>
      </w:r>
    </w:p>
  </w:footnote>
  <w:footnote w:type="continuationSeparator" w:id="0">
    <w:p w:rsidR="005B4A7F" w:rsidRDefault="005B4A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22475"/>
    <w:rsid w:val="00071C48"/>
    <w:rsid w:val="00091BC0"/>
    <w:rsid w:val="00092E95"/>
    <w:rsid w:val="00097683"/>
    <w:rsid w:val="001177AB"/>
    <w:rsid w:val="0013556D"/>
    <w:rsid w:val="00141F8A"/>
    <w:rsid w:val="00170906"/>
    <w:rsid w:val="00184463"/>
    <w:rsid w:val="001A2E7E"/>
    <w:rsid w:val="001E4592"/>
    <w:rsid w:val="001F5CA2"/>
    <w:rsid w:val="00245FA5"/>
    <w:rsid w:val="0026156B"/>
    <w:rsid w:val="002B08E6"/>
    <w:rsid w:val="002D3B60"/>
    <w:rsid w:val="002F6D15"/>
    <w:rsid w:val="003107BC"/>
    <w:rsid w:val="003A0E25"/>
    <w:rsid w:val="003A44CE"/>
    <w:rsid w:val="003B6DD0"/>
    <w:rsid w:val="003D50EA"/>
    <w:rsid w:val="003F4B4E"/>
    <w:rsid w:val="00401BA5"/>
    <w:rsid w:val="00404355"/>
    <w:rsid w:val="00417B0E"/>
    <w:rsid w:val="0047231F"/>
    <w:rsid w:val="00481F50"/>
    <w:rsid w:val="004826AF"/>
    <w:rsid w:val="00487145"/>
    <w:rsid w:val="004A2B8E"/>
    <w:rsid w:val="004C1510"/>
    <w:rsid w:val="004E5573"/>
    <w:rsid w:val="005100D5"/>
    <w:rsid w:val="0059594F"/>
    <w:rsid w:val="005B4A7F"/>
    <w:rsid w:val="005C1966"/>
    <w:rsid w:val="005C6BC4"/>
    <w:rsid w:val="005D294B"/>
    <w:rsid w:val="005F6A3A"/>
    <w:rsid w:val="00602C19"/>
    <w:rsid w:val="0060332F"/>
    <w:rsid w:val="006342C1"/>
    <w:rsid w:val="00646FDA"/>
    <w:rsid w:val="00653B81"/>
    <w:rsid w:val="0068605D"/>
    <w:rsid w:val="006A7CF0"/>
    <w:rsid w:val="006B275B"/>
    <w:rsid w:val="00712329"/>
    <w:rsid w:val="0072160B"/>
    <w:rsid w:val="00724E4D"/>
    <w:rsid w:val="007620FE"/>
    <w:rsid w:val="00771671"/>
    <w:rsid w:val="00774F78"/>
    <w:rsid w:val="00776BFB"/>
    <w:rsid w:val="00796C53"/>
    <w:rsid w:val="007B1696"/>
    <w:rsid w:val="00814F2D"/>
    <w:rsid w:val="008A2E82"/>
    <w:rsid w:val="008A7DB7"/>
    <w:rsid w:val="008B5309"/>
    <w:rsid w:val="008B7F70"/>
    <w:rsid w:val="008D39F6"/>
    <w:rsid w:val="008D67CC"/>
    <w:rsid w:val="00955F35"/>
    <w:rsid w:val="00975D02"/>
    <w:rsid w:val="009F2858"/>
    <w:rsid w:val="00A429DA"/>
    <w:rsid w:val="00A43103"/>
    <w:rsid w:val="00A73C0B"/>
    <w:rsid w:val="00A832E2"/>
    <w:rsid w:val="00AB36AC"/>
    <w:rsid w:val="00AB76A0"/>
    <w:rsid w:val="00AC4D2E"/>
    <w:rsid w:val="00AE55A9"/>
    <w:rsid w:val="00AF0F1F"/>
    <w:rsid w:val="00B02A37"/>
    <w:rsid w:val="00B277B7"/>
    <w:rsid w:val="00BB2884"/>
    <w:rsid w:val="00BB5909"/>
    <w:rsid w:val="00C16AEC"/>
    <w:rsid w:val="00C41770"/>
    <w:rsid w:val="00C53357"/>
    <w:rsid w:val="00C90012"/>
    <w:rsid w:val="00C9317A"/>
    <w:rsid w:val="00CF4C3E"/>
    <w:rsid w:val="00D00049"/>
    <w:rsid w:val="00D15C2C"/>
    <w:rsid w:val="00D515EC"/>
    <w:rsid w:val="00D648D3"/>
    <w:rsid w:val="00E01429"/>
    <w:rsid w:val="00E3126D"/>
    <w:rsid w:val="00E8796E"/>
    <w:rsid w:val="00EC2B43"/>
    <w:rsid w:val="00EC535B"/>
    <w:rsid w:val="00EC78AC"/>
    <w:rsid w:val="00F77E90"/>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C43CB-226E-44C8-9637-D68A54B92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2235</Words>
  <Characters>12342</Characters>
  <Application>Microsoft Office Word</Application>
  <DocSecurity>0</DocSecurity>
  <Lines>398</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Martell, Elaine</cp:lastModifiedBy>
  <cp:revision>2</cp:revision>
  <cp:lastPrinted>2011-06-20T21:27:00Z</cp:lastPrinted>
  <dcterms:created xsi:type="dcterms:W3CDTF">2015-09-16T17:54:00Z</dcterms:created>
  <dcterms:modified xsi:type="dcterms:W3CDTF">2015-09-16T17:54:00Z</dcterms:modified>
</cp:coreProperties>
</file>