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6"/>
        <w:ind w:left="2533" w:right="3825" w:firstLine="0"/>
        <w:jc w:val="center"/>
        <w:rPr>
          <w:b/>
          <w:i/>
          <w:sz w:val="18"/>
        </w:rPr>
      </w:pPr>
      <w:r>
        <w:rPr>
          <w:b/>
          <w:i/>
          <w:w w:val="105"/>
          <w:sz w:val="18"/>
        </w:rPr>
        <w:t>NATIONAL UNION FIRE INSURANCE COMPANY OF PITTSBURGH, PA.</w:t>
      </w:r>
    </w:p>
    <w:p>
      <w:pPr>
        <w:spacing w:before="52"/>
        <w:ind w:left="2533" w:right="3796" w:firstLine="0"/>
        <w:jc w:val="center"/>
        <w:rPr>
          <w:b/>
          <w:sz w:val="18"/>
        </w:rPr>
      </w:pPr>
      <w:r>
        <w:rPr>
          <w:b/>
          <w:w w:val="105"/>
          <w:sz w:val="18"/>
        </w:rPr>
        <w:t>HEALTH CARE AGENCY PROFESSIONAL LIABILITY</w:t>
      </w:r>
    </w:p>
    <w:p>
      <w:pPr>
        <w:spacing w:line="268" w:lineRule="auto" w:before="27"/>
        <w:ind w:left="5235" w:right="6502" w:firstLine="0"/>
        <w:jc w:val="center"/>
        <w:rPr>
          <w:b/>
          <w:sz w:val="13"/>
        </w:rPr>
      </w:pPr>
      <w:r>
        <w:rPr>
          <w:b/>
          <w:sz w:val="13"/>
        </w:rPr>
        <w:t>RATE SHEET OREGON</w:t>
      </w:r>
    </w:p>
    <w:p>
      <w:pPr>
        <w:pStyle w:val="BodyText"/>
        <w:spacing w:before="8"/>
        <w:rPr>
          <w:b/>
          <w:sz w:val="14"/>
        </w:rPr>
      </w:pPr>
    </w:p>
    <w:p>
      <w:pPr>
        <w:pStyle w:val="ListParagraph"/>
        <w:numPr>
          <w:ilvl w:val="0"/>
          <w:numId w:val="1"/>
        </w:numPr>
        <w:tabs>
          <w:tab w:pos="287" w:val="left" w:leader="none"/>
        </w:tabs>
        <w:spacing w:line="240" w:lineRule="auto" w:before="0" w:after="0"/>
        <w:ind w:left="286" w:right="0" w:hanging="120"/>
        <w:jc w:val="left"/>
        <w:rPr>
          <w:b/>
          <w:sz w:val="13"/>
        </w:rPr>
      </w:pPr>
      <w:r>
        <w:rPr>
          <w:b/>
          <w:sz w:val="13"/>
          <w:u w:val="single"/>
        </w:rPr>
        <w:t>OCCURRENCE</w:t>
      </w:r>
      <w:r>
        <w:rPr>
          <w:b/>
          <w:spacing w:val="20"/>
          <w:sz w:val="13"/>
          <w:u w:val="single"/>
        </w:rPr>
        <w:t> </w:t>
      </w:r>
      <w:r>
        <w:rPr>
          <w:b/>
          <w:sz w:val="13"/>
          <w:u w:val="single"/>
        </w:rPr>
        <w:t>RATES</w:t>
      </w:r>
    </w:p>
    <w:p>
      <w:pPr>
        <w:tabs>
          <w:tab w:pos="3341" w:val="left" w:leader="none"/>
          <w:tab w:pos="4723" w:val="left" w:leader="none"/>
          <w:tab w:pos="6106" w:val="left" w:leader="none"/>
          <w:tab w:pos="7615" w:val="left" w:leader="none"/>
          <w:tab w:pos="9295" w:val="left" w:leader="none"/>
        </w:tabs>
        <w:spacing w:before="18"/>
        <w:ind w:left="286" w:right="0" w:firstLine="0"/>
        <w:jc w:val="left"/>
        <w:rPr>
          <w:sz w:val="13"/>
        </w:rPr>
      </w:pPr>
      <w:r>
        <w:rPr>
          <w:sz w:val="13"/>
        </w:rPr>
        <w:t>Charge</w:t>
      </w:r>
      <w:r>
        <w:rPr>
          <w:spacing w:val="2"/>
          <w:sz w:val="13"/>
        </w:rPr>
        <w:t> </w:t>
      </w:r>
      <w:r>
        <w:rPr>
          <w:sz w:val="13"/>
        </w:rPr>
        <w:t>per:</w:t>
        <w:tab/>
      </w:r>
      <w:r>
        <w:rPr>
          <w:sz w:val="13"/>
          <w:u w:val="single"/>
        </w:rPr>
        <w:t>$100,000/$300,000</w:t>
      </w:r>
      <w:r>
        <w:rPr>
          <w:sz w:val="13"/>
        </w:rPr>
        <w:tab/>
      </w:r>
      <w:r>
        <w:rPr>
          <w:sz w:val="13"/>
          <w:u w:val="single"/>
        </w:rPr>
        <w:t>$300,000/$300,000</w:t>
      </w:r>
      <w:r>
        <w:rPr>
          <w:sz w:val="13"/>
        </w:rPr>
        <w:tab/>
      </w:r>
      <w:r>
        <w:rPr>
          <w:sz w:val="13"/>
          <w:u w:val="single"/>
        </w:rPr>
        <w:t>$500,000/$500,000</w:t>
      </w:r>
      <w:r>
        <w:rPr>
          <w:sz w:val="13"/>
        </w:rPr>
        <w:tab/>
      </w:r>
      <w:r>
        <w:rPr>
          <w:sz w:val="13"/>
          <w:u w:val="single"/>
        </w:rPr>
        <w:t>$1,000,000/$1,000,000</w:t>
      </w:r>
      <w:r>
        <w:rPr>
          <w:sz w:val="13"/>
        </w:rPr>
        <w:tab/>
      </w:r>
      <w:r>
        <w:rPr>
          <w:sz w:val="13"/>
          <w:u w:val="single"/>
        </w:rPr>
        <w:t>$1,000,000/$3,000,000</w:t>
      </w:r>
    </w:p>
    <w:p>
      <w:pPr>
        <w:tabs>
          <w:tab w:pos="3972" w:val="left" w:leader="none"/>
          <w:tab w:pos="5355" w:val="left" w:leader="none"/>
          <w:tab w:pos="6737" w:val="left" w:leader="none"/>
          <w:tab w:pos="8448" w:val="left" w:leader="none"/>
          <w:tab w:pos="10128" w:val="left" w:leader="none"/>
        </w:tabs>
        <w:spacing w:before="18"/>
        <w:ind w:left="286" w:right="0" w:firstLine="0"/>
        <w:jc w:val="left"/>
        <w:rPr>
          <w:sz w:val="13"/>
        </w:rPr>
      </w:pPr>
      <w:r>
        <w:rPr>
          <w:b/>
          <w:sz w:val="13"/>
        </w:rPr>
        <w:t>A.</w:t>
      </w:r>
      <w:r>
        <w:rPr>
          <w:b/>
          <w:spacing w:val="2"/>
          <w:sz w:val="13"/>
        </w:rPr>
        <w:t> </w:t>
      </w:r>
      <w:r>
        <w:rPr>
          <w:b/>
          <w:sz w:val="13"/>
        </w:rPr>
        <w:t>Agency</w:t>
        <w:tab/>
      </w:r>
      <w:r>
        <w:rPr>
          <w:sz w:val="13"/>
        </w:rPr>
        <w:t>$1,779</w:t>
        <w:tab/>
        <w:t>$2,099</w:t>
        <w:tab/>
        <w:t>$2,277</w:t>
        <w:tab/>
        <w:t>$2,598</w:t>
        <w:tab/>
        <w:t>$2,757</w:t>
      </w:r>
    </w:p>
    <w:p>
      <w:pPr>
        <w:pStyle w:val="BodyText"/>
        <w:spacing w:before="2"/>
        <w:rPr>
          <w:sz w:val="16"/>
        </w:rPr>
      </w:pPr>
    </w:p>
    <w:p>
      <w:pPr>
        <w:spacing w:before="0"/>
        <w:ind w:left="286" w:right="0" w:firstLine="0"/>
        <w:jc w:val="left"/>
        <w:rPr>
          <w:b/>
          <w:sz w:val="13"/>
        </w:rPr>
      </w:pPr>
      <w:r>
        <w:rPr/>
        <w:pict>
          <v:shapetype id="_x0000_t202" o:spt="202" coordsize="21600,21600" path="m,l,21600r21600,l21600,xe">
            <v:stroke joinstyle="miter"/>
            <v:path gradientshapeok="t" o:connecttype="rect"/>
          </v:shapetype>
          <v:shape style="position:absolute;margin-left:136.199997pt;margin-top:8.586830pt;width:505.1pt;height:251.95pt;mso-position-horizontal-relative:page;mso-position-vertical-relative:paragraph;z-index:0"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736"/>
                    <w:gridCol w:w="1647"/>
                    <w:gridCol w:w="1382"/>
                    <w:gridCol w:w="1547"/>
                    <w:gridCol w:w="1696"/>
                    <w:gridCol w:w="1094"/>
                  </w:tblGrid>
                  <w:tr>
                    <w:trPr>
                      <w:trHeight w:val="155" w:hRule="exact"/>
                    </w:trPr>
                    <w:tc>
                      <w:tcPr>
                        <w:tcW w:w="2736" w:type="dxa"/>
                        <w:tcBorders>
                          <w:bottom w:val="single" w:sz="5" w:space="0" w:color="000000"/>
                        </w:tcBorders>
                      </w:tcPr>
                      <w:p>
                        <w:pPr>
                          <w:pStyle w:val="TableParagraph"/>
                          <w:spacing w:line="146" w:lineRule="exact" w:before="0"/>
                          <w:ind w:left="24"/>
                          <w:jc w:val="left"/>
                          <w:rPr>
                            <w:sz w:val="13"/>
                          </w:rPr>
                        </w:pPr>
                        <w:r>
                          <w:rPr>
                            <w:sz w:val="13"/>
                          </w:rPr>
                          <w:t>Home Health Aide</w:t>
                        </w:r>
                      </w:p>
                    </w:tc>
                    <w:tc>
                      <w:tcPr>
                        <w:tcW w:w="1647" w:type="dxa"/>
                        <w:tcBorders>
                          <w:bottom w:val="single" w:sz="5" w:space="0" w:color="000000"/>
                        </w:tcBorders>
                      </w:tcPr>
                      <w:p>
                        <w:pPr>
                          <w:pStyle w:val="TableParagraph"/>
                          <w:spacing w:line="146" w:lineRule="exact" w:before="0"/>
                          <w:ind w:right="507"/>
                          <w:rPr>
                            <w:sz w:val="13"/>
                          </w:rPr>
                        </w:pPr>
                        <w:r>
                          <w:rPr>
                            <w:sz w:val="13"/>
                          </w:rPr>
                          <w:t>$125</w:t>
                        </w:r>
                      </w:p>
                    </w:tc>
                    <w:tc>
                      <w:tcPr>
                        <w:tcW w:w="1382" w:type="dxa"/>
                        <w:tcBorders>
                          <w:bottom w:val="single" w:sz="5" w:space="0" w:color="000000"/>
                        </w:tcBorders>
                      </w:tcPr>
                      <w:p>
                        <w:pPr>
                          <w:pStyle w:val="TableParagraph"/>
                          <w:spacing w:line="146" w:lineRule="exact" w:before="0"/>
                          <w:ind w:right="506"/>
                          <w:rPr>
                            <w:sz w:val="13"/>
                          </w:rPr>
                        </w:pPr>
                        <w:r>
                          <w:rPr>
                            <w:sz w:val="13"/>
                          </w:rPr>
                          <w:t>$148</w:t>
                        </w:r>
                      </w:p>
                    </w:tc>
                    <w:tc>
                      <w:tcPr>
                        <w:tcW w:w="1547" w:type="dxa"/>
                        <w:tcBorders>
                          <w:bottom w:val="single" w:sz="5" w:space="0" w:color="000000"/>
                        </w:tcBorders>
                      </w:tcPr>
                      <w:p>
                        <w:pPr>
                          <w:pStyle w:val="TableParagraph"/>
                          <w:spacing w:line="146" w:lineRule="exact" w:before="0"/>
                          <w:ind w:right="671"/>
                          <w:rPr>
                            <w:sz w:val="13"/>
                          </w:rPr>
                        </w:pPr>
                        <w:r>
                          <w:rPr>
                            <w:sz w:val="13"/>
                          </w:rPr>
                          <w:t>$160</w:t>
                        </w:r>
                      </w:p>
                    </w:tc>
                    <w:tc>
                      <w:tcPr>
                        <w:tcW w:w="1696" w:type="dxa"/>
                        <w:tcBorders>
                          <w:bottom w:val="single" w:sz="5" w:space="0" w:color="000000"/>
                        </w:tcBorders>
                      </w:tcPr>
                      <w:p>
                        <w:pPr>
                          <w:pStyle w:val="TableParagraph"/>
                          <w:spacing w:line="146" w:lineRule="exact" w:before="0"/>
                          <w:ind w:left="655" w:right="539"/>
                          <w:jc w:val="center"/>
                          <w:rPr>
                            <w:sz w:val="13"/>
                          </w:rPr>
                        </w:pPr>
                        <w:r>
                          <w:rPr>
                            <w:sz w:val="13"/>
                          </w:rPr>
                          <w:t>$183</w:t>
                        </w:r>
                      </w:p>
                    </w:tc>
                    <w:tc>
                      <w:tcPr>
                        <w:tcW w:w="1094" w:type="dxa"/>
                        <w:tcBorders>
                          <w:bottom w:val="single" w:sz="5" w:space="0" w:color="000000"/>
                        </w:tcBorders>
                      </w:tcPr>
                      <w:p>
                        <w:pPr>
                          <w:pStyle w:val="TableParagraph"/>
                          <w:spacing w:line="146" w:lineRule="exact" w:before="0"/>
                          <w:ind w:right="69"/>
                          <w:rPr>
                            <w:sz w:val="13"/>
                          </w:rPr>
                        </w:pPr>
                        <w:r>
                          <w:rPr>
                            <w:sz w:val="13"/>
                          </w:rPr>
                          <w:t>$194</w:t>
                        </w:r>
                      </w:p>
                    </w:tc>
                  </w:tr>
                  <w:tr>
                    <w:trPr>
                      <w:trHeight w:val="504"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 Aide/Sitter/Companion/ Clerical/Administrative/ Bereaval Therapist/Homemaker</w:t>
                        </w:r>
                      </w:p>
                    </w:tc>
                    <w:tc>
                      <w:tcPr>
                        <w:tcW w:w="1647" w:type="dxa"/>
                        <w:tcBorders>
                          <w:top w:val="single" w:sz="5" w:space="0" w:color="000000"/>
                          <w:bottom w:val="single" w:sz="5" w:space="0" w:color="000000"/>
                        </w:tcBorders>
                      </w:tcPr>
                      <w:p>
                        <w:pPr>
                          <w:pStyle w:val="TableParagraph"/>
                          <w:ind w:right="506"/>
                          <w:rPr>
                            <w:sz w:val="13"/>
                          </w:rPr>
                        </w:pPr>
                        <w:r>
                          <w:rPr>
                            <w:sz w:val="13"/>
                          </w:rPr>
                          <w:t>$92</w:t>
                        </w:r>
                      </w:p>
                    </w:tc>
                    <w:tc>
                      <w:tcPr>
                        <w:tcW w:w="1382" w:type="dxa"/>
                        <w:tcBorders>
                          <w:top w:val="single" w:sz="5" w:space="0" w:color="000000"/>
                          <w:bottom w:val="single" w:sz="5" w:space="0" w:color="000000"/>
                        </w:tcBorders>
                      </w:tcPr>
                      <w:p>
                        <w:pPr>
                          <w:pStyle w:val="TableParagraph"/>
                          <w:ind w:right="506"/>
                          <w:rPr>
                            <w:sz w:val="13"/>
                          </w:rPr>
                        </w:pPr>
                        <w:r>
                          <w:rPr>
                            <w:sz w:val="13"/>
                          </w:rPr>
                          <w:t>$109</w:t>
                        </w:r>
                      </w:p>
                    </w:tc>
                    <w:tc>
                      <w:tcPr>
                        <w:tcW w:w="1547" w:type="dxa"/>
                        <w:tcBorders>
                          <w:top w:val="single" w:sz="5" w:space="0" w:color="000000"/>
                          <w:bottom w:val="single" w:sz="5" w:space="0" w:color="000000"/>
                        </w:tcBorders>
                      </w:tcPr>
                      <w:p>
                        <w:pPr>
                          <w:pStyle w:val="TableParagraph"/>
                          <w:ind w:right="671"/>
                          <w:rPr>
                            <w:sz w:val="13"/>
                          </w:rPr>
                        </w:pPr>
                        <w:r>
                          <w:rPr>
                            <w:sz w:val="13"/>
                          </w:rPr>
                          <w:t>$118</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$135</w:t>
                        </w:r>
                      </w:p>
                    </w:tc>
                    <w:tc>
                      <w:tcPr>
                        <w:tcW w:w="1094" w:type="dxa"/>
                        <w:tcBorders>
                          <w:top w:val="single" w:sz="5" w:space="0" w:color="000000"/>
                          <w:bottom w:val="single" w:sz="5" w:space="0" w:color="000000"/>
                        </w:tcBorders>
                      </w:tcPr>
                      <w:p>
                        <w:pPr>
                          <w:pStyle w:val="TableParagraph"/>
                          <w:ind w:right="69"/>
                          <w:rPr>
                            <w:sz w:val="13"/>
                          </w:rPr>
                        </w:pPr>
                        <w:r>
                          <w:rPr>
                            <w:sz w:val="13"/>
                          </w:rPr>
                          <w:t>$143</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Dietician/Nutritionist</w:t>
                        </w:r>
                      </w:p>
                    </w:tc>
                    <w:tc>
                      <w:tcPr>
                        <w:tcW w:w="1647" w:type="dxa"/>
                        <w:tcBorders>
                          <w:top w:val="single" w:sz="5" w:space="0" w:color="000000"/>
                          <w:bottom w:val="single" w:sz="5" w:space="0" w:color="000000"/>
                        </w:tcBorders>
                      </w:tcPr>
                      <w:p>
                        <w:pPr>
                          <w:pStyle w:val="TableParagraph"/>
                          <w:ind w:right="507"/>
                          <w:rPr>
                            <w:sz w:val="13"/>
                          </w:rPr>
                        </w:pPr>
                        <w:r>
                          <w:rPr>
                            <w:sz w:val="13"/>
                          </w:rPr>
                          <w:t>$148</w:t>
                        </w:r>
                      </w:p>
                    </w:tc>
                    <w:tc>
                      <w:tcPr>
                        <w:tcW w:w="1382" w:type="dxa"/>
                        <w:tcBorders>
                          <w:top w:val="single" w:sz="5" w:space="0" w:color="000000"/>
                          <w:bottom w:val="single" w:sz="5" w:space="0" w:color="000000"/>
                        </w:tcBorders>
                      </w:tcPr>
                      <w:p>
                        <w:pPr>
                          <w:pStyle w:val="TableParagraph"/>
                          <w:ind w:right="506"/>
                          <w:rPr>
                            <w:sz w:val="13"/>
                          </w:rPr>
                        </w:pPr>
                        <w:r>
                          <w:rPr>
                            <w:sz w:val="13"/>
                          </w:rPr>
                          <w:t>$175</w:t>
                        </w:r>
                      </w:p>
                    </w:tc>
                    <w:tc>
                      <w:tcPr>
                        <w:tcW w:w="1547" w:type="dxa"/>
                        <w:tcBorders>
                          <w:top w:val="single" w:sz="5" w:space="0" w:color="000000"/>
                          <w:bottom w:val="single" w:sz="5" w:space="0" w:color="000000"/>
                        </w:tcBorders>
                      </w:tcPr>
                      <w:p>
                        <w:pPr>
                          <w:pStyle w:val="TableParagraph"/>
                          <w:ind w:right="671"/>
                          <w:rPr>
                            <w:sz w:val="13"/>
                          </w:rPr>
                        </w:pPr>
                        <w:r>
                          <w:rPr>
                            <w:sz w:val="13"/>
                          </w:rPr>
                          <w:t>$190</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$217</w:t>
                        </w:r>
                      </w:p>
                    </w:tc>
                    <w:tc>
                      <w:tcPr>
                        <w:tcW w:w="1094" w:type="dxa"/>
                        <w:tcBorders>
                          <w:top w:val="single" w:sz="5" w:space="0" w:color="000000"/>
                          <w:bottom w:val="single" w:sz="5" w:space="0" w:color="000000"/>
                        </w:tcBorders>
                      </w:tcPr>
                      <w:p>
                        <w:pPr>
                          <w:pStyle w:val="TableParagraph"/>
                          <w:ind w:right="69"/>
                          <w:rPr>
                            <w:sz w:val="13"/>
                          </w:rPr>
                        </w:pPr>
                        <w:r>
                          <w:rPr>
                            <w:sz w:val="13"/>
                          </w:rPr>
                          <w:t>$230</w:t>
                        </w:r>
                      </w:p>
                    </w:tc>
                  </w:tr>
                  <w:tr>
                    <w:trPr>
                      <w:trHeight w:val="840" w:hRule="exact"/>
                    </w:trPr>
                    <w:tc>
                      <w:tcPr>
                        <w:tcW w:w="2736" w:type="dxa"/>
                        <w:tcBorders>
                          <w:top w:val="single" w:sz="5" w:space="0" w:color="000000"/>
                          <w:bottom w:val="single" w:sz="5" w:space="0" w:color="000000"/>
                        </w:tcBorders>
                      </w:tcPr>
                      <w:p>
                        <w:pPr>
                          <w:pStyle w:val="TableParagraph"/>
                          <w:spacing w:line="268" w:lineRule="auto"/>
                          <w:ind w:left="24" w:right="770"/>
                          <w:jc w:val="left"/>
                          <w:rPr>
                            <w:sz w:val="13"/>
                          </w:rPr>
                        </w:pPr>
                        <w:r>
                          <w:rPr>
                            <w:sz w:val="13"/>
                          </w:rPr>
                          <w:t>LPN/Dental Hygenist/Pharmacy Ass't/Lab Tech/EKG-Ultrasound Tech/Medical Tech/Echocardiogram Tech/X-Ray Tech/Radiology Tech/ Certified Medical Ass't.</w:t>
                        </w:r>
                      </w:p>
                    </w:tc>
                    <w:tc>
                      <w:tcPr>
                        <w:tcW w:w="1647" w:type="dxa"/>
                        <w:tcBorders>
                          <w:top w:val="single" w:sz="5" w:space="0" w:color="000000"/>
                          <w:bottom w:val="single" w:sz="5" w:space="0" w:color="000000"/>
                        </w:tcBorders>
                      </w:tcPr>
                      <w:p>
                        <w:pPr>
                          <w:pStyle w:val="TableParagraph"/>
                          <w:ind w:right="507"/>
                          <w:rPr>
                            <w:sz w:val="13"/>
                          </w:rPr>
                        </w:pPr>
                        <w:r>
                          <w:rPr>
                            <w:sz w:val="13"/>
                          </w:rPr>
                          <w:t>$199</w:t>
                        </w:r>
                      </w:p>
                    </w:tc>
                    <w:tc>
                      <w:tcPr>
                        <w:tcW w:w="1382" w:type="dxa"/>
                        <w:tcBorders>
                          <w:top w:val="single" w:sz="5" w:space="0" w:color="000000"/>
                          <w:bottom w:val="single" w:sz="5" w:space="0" w:color="000000"/>
                        </w:tcBorders>
                      </w:tcPr>
                      <w:p>
                        <w:pPr>
                          <w:pStyle w:val="TableParagraph"/>
                          <w:ind w:right="506"/>
                          <w:rPr>
                            <w:sz w:val="13"/>
                          </w:rPr>
                        </w:pPr>
                        <w:r>
                          <w:rPr>
                            <w:sz w:val="13"/>
                          </w:rPr>
                          <w:t>$234</w:t>
                        </w:r>
                      </w:p>
                    </w:tc>
                    <w:tc>
                      <w:tcPr>
                        <w:tcW w:w="1547" w:type="dxa"/>
                        <w:tcBorders>
                          <w:top w:val="single" w:sz="5" w:space="0" w:color="000000"/>
                          <w:bottom w:val="single" w:sz="5" w:space="0" w:color="000000"/>
                        </w:tcBorders>
                      </w:tcPr>
                      <w:p>
                        <w:pPr>
                          <w:pStyle w:val="TableParagraph"/>
                          <w:ind w:right="671"/>
                          <w:rPr>
                            <w:sz w:val="13"/>
                          </w:rPr>
                        </w:pPr>
                        <w:r>
                          <w:rPr>
                            <w:sz w:val="13"/>
                          </w:rPr>
                          <w:t>$254</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$290</w:t>
                        </w:r>
                      </w:p>
                    </w:tc>
                    <w:tc>
                      <w:tcPr>
                        <w:tcW w:w="1094" w:type="dxa"/>
                        <w:tcBorders>
                          <w:top w:val="single" w:sz="5" w:space="0" w:color="000000"/>
                          <w:bottom w:val="single" w:sz="5" w:space="0" w:color="000000"/>
                        </w:tcBorders>
                      </w:tcPr>
                      <w:p>
                        <w:pPr>
                          <w:pStyle w:val="TableParagraph"/>
                          <w:ind w:right="69"/>
                          <w:rPr>
                            <w:sz w:val="13"/>
                          </w:rPr>
                        </w:pPr>
                        <w:r>
                          <w:rPr>
                            <w:sz w:val="13"/>
                          </w:rPr>
                          <w:t>$308</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Nurse/Enterstomal Therapist/ Social Worker/Dialysis Tech</w:t>
                        </w:r>
                      </w:p>
                    </w:tc>
                    <w:tc>
                      <w:tcPr>
                        <w:tcW w:w="1647" w:type="dxa"/>
                        <w:tcBorders>
                          <w:top w:val="single" w:sz="5" w:space="0" w:color="000000"/>
                          <w:bottom w:val="single" w:sz="5" w:space="0" w:color="000000"/>
                        </w:tcBorders>
                      </w:tcPr>
                      <w:p>
                        <w:pPr>
                          <w:pStyle w:val="TableParagraph"/>
                          <w:ind w:right="507"/>
                          <w:rPr>
                            <w:sz w:val="13"/>
                          </w:rPr>
                        </w:pPr>
                        <w:r>
                          <w:rPr>
                            <w:sz w:val="13"/>
                          </w:rPr>
                          <w:t>$245</w:t>
                        </w:r>
                      </w:p>
                    </w:tc>
                    <w:tc>
                      <w:tcPr>
                        <w:tcW w:w="1382" w:type="dxa"/>
                        <w:tcBorders>
                          <w:top w:val="single" w:sz="5" w:space="0" w:color="000000"/>
                          <w:bottom w:val="single" w:sz="5" w:space="0" w:color="000000"/>
                        </w:tcBorders>
                      </w:tcPr>
                      <w:p>
                        <w:pPr>
                          <w:pStyle w:val="TableParagraph"/>
                          <w:ind w:right="506"/>
                          <w:rPr>
                            <w:sz w:val="13"/>
                          </w:rPr>
                        </w:pPr>
                        <w:r>
                          <w:rPr>
                            <w:sz w:val="13"/>
                          </w:rPr>
                          <w:t>$290</w:t>
                        </w:r>
                      </w:p>
                    </w:tc>
                    <w:tc>
                      <w:tcPr>
                        <w:tcW w:w="1547" w:type="dxa"/>
                        <w:tcBorders>
                          <w:top w:val="single" w:sz="5" w:space="0" w:color="000000"/>
                          <w:bottom w:val="single" w:sz="5" w:space="0" w:color="000000"/>
                        </w:tcBorders>
                      </w:tcPr>
                      <w:p>
                        <w:pPr>
                          <w:pStyle w:val="TableParagraph"/>
                          <w:ind w:right="671"/>
                          <w:rPr>
                            <w:sz w:val="13"/>
                          </w:rPr>
                        </w:pPr>
                        <w:r>
                          <w:rPr>
                            <w:sz w:val="13"/>
                          </w:rPr>
                          <w:t>$314</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$358</w:t>
                        </w:r>
                      </w:p>
                    </w:tc>
                    <w:tc>
                      <w:tcPr>
                        <w:tcW w:w="1094" w:type="dxa"/>
                        <w:tcBorders>
                          <w:top w:val="single" w:sz="5" w:space="0" w:color="000000"/>
                          <w:bottom w:val="single" w:sz="5" w:space="0" w:color="000000"/>
                        </w:tcBorders>
                      </w:tcPr>
                      <w:p>
                        <w:pPr>
                          <w:pStyle w:val="TableParagraph"/>
                          <w:ind w:right="69"/>
                          <w:rPr>
                            <w:sz w:val="13"/>
                          </w:rPr>
                        </w:pPr>
                        <w:r>
                          <w:rPr>
                            <w:sz w:val="13"/>
                          </w:rPr>
                          <w:t>$380</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Occupational Therapist/Speech Pathologist</w:t>
                        </w:r>
                      </w:p>
                    </w:tc>
                    <w:tc>
                      <w:tcPr>
                        <w:tcW w:w="1647" w:type="dxa"/>
                        <w:tcBorders>
                          <w:top w:val="single" w:sz="5" w:space="0" w:color="000000"/>
                          <w:bottom w:val="single" w:sz="5" w:space="0" w:color="000000"/>
                        </w:tcBorders>
                      </w:tcPr>
                      <w:p>
                        <w:pPr>
                          <w:pStyle w:val="TableParagraph"/>
                          <w:ind w:right="507"/>
                          <w:rPr>
                            <w:sz w:val="13"/>
                          </w:rPr>
                        </w:pPr>
                        <w:r>
                          <w:rPr>
                            <w:sz w:val="13"/>
                          </w:rPr>
                          <w:t>$292</w:t>
                        </w:r>
                      </w:p>
                    </w:tc>
                    <w:tc>
                      <w:tcPr>
                        <w:tcW w:w="1382" w:type="dxa"/>
                        <w:tcBorders>
                          <w:top w:val="single" w:sz="5" w:space="0" w:color="000000"/>
                          <w:bottom w:val="single" w:sz="5" w:space="0" w:color="000000"/>
                        </w:tcBorders>
                      </w:tcPr>
                      <w:p>
                        <w:pPr>
                          <w:pStyle w:val="TableParagraph"/>
                          <w:ind w:right="506"/>
                          <w:rPr>
                            <w:sz w:val="13"/>
                          </w:rPr>
                        </w:pPr>
                        <w:r>
                          <w:rPr>
                            <w:sz w:val="13"/>
                          </w:rPr>
                          <w:t>$345</w:t>
                        </w:r>
                      </w:p>
                    </w:tc>
                    <w:tc>
                      <w:tcPr>
                        <w:tcW w:w="1547" w:type="dxa"/>
                        <w:tcBorders>
                          <w:top w:val="single" w:sz="5" w:space="0" w:color="000000"/>
                          <w:bottom w:val="single" w:sz="5" w:space="0" w:color="000000"/>
                        </w:tcBorders>
                      </w:tcPr>
                      <w:p>
                        <w:pPr>
                          <w:pStyle w:val="TableParagraph"/>
                          <w:ind w:right="671"/>
                          <w:rPr>
                            <w:sz w:val="13"/>
                          </w:rPr>
                        </w:pPr>
                        <w:r>
                          <w:rPr>
                            <w:sz w:val="13"/>
                          </w:rPr>
                          <w:t>$374</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$426</w:t>
                        </w:r>
                      </w:p>
                    </w:tc>
                    <w:tc>
                      <w:tcPr>
                        <w:tcW w:w="1094" w:type="dxa"/>
                        <w:tcBorders>
                          <w:top w:val="single" w:sz="5" w:space="0" w:color="000000"/>
                          <w:bottom w:val="single" w:sz="5" w:space="0" w:color="000000"/>
                        </w:tcBorders>
                      </w:tcPr>
                      <w:p>
                        <w:pPr>
                          <w:pStyle w:val="TableParagraph"/>
                          <w:ind w:right="69"/>
                          <w:rPr>
                            <w:sz w:val="13"/>
                          </w:rPr>
                        </w:pPr>
                        <w:r>
                          <w:rPr>
                            <w:sz w:val="13"/>
                          </w:rPr>
                          <w:t>$453</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Pharmacist</w:t>
                        </w:r>
                      </w:p>
                    </w:tc>
                    <w:tc>
                      <w:tcPr>
                        <w:tcW w:w="1647" w:type="dxa"/>
                        <w:tcBorders>
                          <w:top w:val="single" w:sz="5" w:space="0" w:color="000000"/>
                          <w:bottom w:val="single" w:sz="5" w:space="0" w:color="000000"/>
                        </w:tcBorders>
                      </w:tcPr>
                      <w:p>
                        <w:pPr>
                          <w:pStyle w:val="TableParagraph"/>
                          <w:ind w:right="507"/>
                          <w:rPr>
                            <w:sz w:val="13"/>
                          </w:rPr>
                        </w:pPr>
                        <w:r>
                          <w:rPr>
                            <w:sz w:val="13"/>
                          </w:rPr>
                          <w:t>$436</w:t>
                        </w:r>
                      </w:p>
                    </w:tc>
                    <w:tc>
                      <w:tcPr>
                        <w:tcW w:w="1382" w:type="dxa"/>
                        <w:tcBorders>
                          <w:top w:val="single" w:sz="5" w:space="0" w:color="000000"/>
                          <w:bottom w:val="single" w:sz="5" w:space="0" w:color="000000"/>
                        </w:tcBorders>
                      </w:tcPr>
                      <w:p>
                        <w:pPr>
                          <w:pStyle w:val="TableParagraph"/>
                          <w:ind w:right="506"/>
                          <w:rPr>
                            <w:sz w:val="13"/>
                          </w:rPr>
                        </w:pPr>
                        <w:r>
                          <w:rPr>
                            <w:sz w:val="13"/>
                          </w:rPr>
                          <w:t>$514</w:t>
                        </w:r>
                      </w:p>
                    </w:tc>
                    <w:tc>
                      <w:tcPr>
                        <w:tcW w:w="1547" w:type="dxa"/>
                        <w:tcBorders>
                          <w:top w:val="single" w:sz="5" w:space="0" w:color="000000"/>
                          <w:bottom w:val="single" w:sz="5" w:space="0" w:color="000000"/>
                        </w:tcBorders>
                      </w:tcPr>
                      <w:p>
                        <w:pPr>
                          <w:pStyle w:val="TableParagraph"/>
                          <w:ind w:right="671"/>
                          <w:rPr>
                            <w:sz w:val="13"/>
                          </w:rPr>
                        </w:pPr>
                        <w:r>
                          <w:rPr>
                            <w:sz w:val="13"/>
                          </w:rPr>
                          <w:t>$558</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$636</w:t>
                        </w:r>
                      </w:p>
                    </w:tc>
                    <w:tc>
                      <w:tcPr>
                        <w:tcW w:w="1094" w:type="dxa"/>
                        <w:tcBorders>
                          <w:top w:val="single" w:sz="5" w:space="0" w:color="000000"/>
                          <w:bottom w:val="single" w:sz="5" w:space="0" w:color="000000"/>
                        </w:tcBorders>
                      </w:tcPr>
                      <w:p>
                        <w:pPr>
                          <w:pStyle w:val="TableParagraph"/>
                          <w:ind w:right="69"/>
                          <w:rPr>
                            <w:sz w:val="13"/>
                          </w:rPr>
                        </w:pPr>
                        <w:r>
                          <w:rPr>
                            <w:sz w:val="13"/>
                          </w:rPr>
                          <w:t>$675</w:t>
                        </w:r>
                      </w:p>
                    </w:tc>
                  </w:tr>
                  <w:tr>
                    <w:trPr>
                      <w:trHeight w:val="672" w:hRule="exact"/>
                    </w:trPr>
                    <w:tc>
                      <w:tcPr>
                        <w:tcW w:w="2736" w:type="dxa"/>
                        <w:tcBorders>
                          <w:top w:val="single" w:sz="5" w:space="0" w:color="000000"/>
                          <w:bottom w:val="single" w:sz="5" w:space="0" w:color="000000"/>
                        </w:tcBorders>
                      </w:tcPr>
                      <w:p>
                        <w:pPr>
                          <w:pStyle w:val="TableParagraph"/>
                          <w:spacing w:line="268" w:lineRule="auto"/>
                          <w:ind w:left="24" w:right="770"/>
                          <w:jc w:val="left"/>
                          <w:rPr>
                            <w:sz w:val="13"/>
                          </w:rPr>
                        </w:pPr>
                        <w:r>
                          <w:rPr>
                            <w:sz w:val="13"/>
                          </w:rPr>
                          <w:t>Physical Therapist/Respiratory Therapist/Phlebotomist/Clergy/ Nuclear Medicine Tech/Radiation Therapist</w:t>
                        </w:r>
                      </w:p>
                    </w:tc>
                    <w:tc>
                      <w:tcPr>
                        <w:tcW w:w="1647" w:type="dxa"/>
                        <w:tcBorders>
                          <w:top w:val="single" w:sz="5" w:space="0" w:color="000000"/>
                          <w:bottom w:val="single" w:sz="5" w:space="0" w:color="000000"/>
                        </w:tcBorders>
                      </w:tcPr>
                      <w:p>
                        <w:pPr>
                          <w:pStyle w:val="TableParagraph"/>
                          <w:ind w:right="507"/>
                          <w:rPr>
                            <w:sz w:val="13"/>
                          </w:rPr>
                        </w:pPr>
                        <w:r>
                          <w:rPr>
                            <w:sz w:val="13"/>
                          </w:rPr>
                          <w:t>$567</w:t>
                        </w:r>
                      </w:p>
                    </w:tc>
                    <w:tc>
                      <w:tcPr>
                        <w:tcW w:w="1382" w:type="dxa"/>
                        <w:tcBorders>
                          <w:top w:val="single" w:sz="5" w:space="0" w:color="000000"/>
                          <w:bottom w:val="single" w:sz="5" w:space="0" w:color="000000"/>
                        </w:tcBorders>
                      </w:tcPr>
                      <w:p>
                        <w:pPr>
                          <w:pStyle w:val="TableParagraph"/>
                          <w:ind w:right="506"/>
                          <w:rPr>
                            <w:sz w:val="13"/>
                          </w:rPr>
                        </w:pPr>
                        <w:r>
                          <w:rPr>
                            <w:sz w:val="13"/>
                          </w:rPr>
                          <w:t>$669</w:t>
                        </w:r>
                      </w:p>
                    </w:tc>
                    <w:tc>
                      <w:tcPr>
                        <w:tcW w:w="1547" w:type="dxa"/>
                        <w:tcBorders>
                          <w:top w:val="single" w:sz="5" w:space="0" w:color="000000"/>
                          <w:bottom w:val="single" w:sz="5" w:space="0" w:color="000000"/>
                        </w:tcBorders>
                      </w:tcPr>
                      <w:p>
                        <w:pPr>
                          <w:pStyle w:val="TableParagraph"/>
                          <w:ind w:right="671"/>
                          <w:rPr>
                            <w:sz w:val="13"/>
                          </w:rPr>
                        </w:pPr>
                        <w:r>
                          <w:rPr>
                            <w:sz w:val="13"/>
                          </w:rPr>
                          <w:t>$726</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$828</w:t>
                        </w:r>
                      </w:p>
                    </w:tc>
                    <w:tc>
                      <w:tcPr>
                        <w:tcW w:w="1094" w:type="dxa"/>
                        <w:tcBorders>
                          <w:top w:val="single" w:sz="5" w:space="0" w:color="000000"/>
                          <w:bottom w:val="single" w:sz="5" w:space="0" w:color="000000"/>
                        </w:tcBorders>
                      </w:tcPr>
                      <w:p>
                        <w:pPr>
                          <w:pStyle w:val="TableParagraph"/>
                          <w:ind w:right="69"/>
                          <w:rPr>
                            <w:sz w:val="13"/>
                          </w:rPr>
                        </w:pPr>
                        <w:r>
                          <w:rPr>
                            <w:sz w:val="13"/>
                          </w:rPr>
                          <w:t>$879</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Psychologist</w:t>
                        </w:r>
                      </w:p>
                    </w:tc>
                    <w:tc>
                      <w:tcPr>
                        <w:tcW w:w="1647" w:type="dxa"/>
                        <w:tcBorders>
                          <w:top w:val="single" w:sz="5" w:space="0" w:color="000000"/>
                          <w:bottom w:val="single" w:sz="5" w:space="0" w:color="000000"/>
                        </w:tcBorders>
                      </w:tcPr>
                      <w:p>
                        <w:pPr>
                          <w:pStyle w:val="TableParagraph"/>
                          <w:ind w:right="507"/>
                          <w:rPr>
                            <w:sz w:val="13"/>
                          </w:rPr>
                        </w:pPr>
                        <w:r>
                          <w:rPr>
                            <w:sz w:val="13"/>
                          </w:rPr>
                          <w:t>$933</w:t>
                        </w:r>
                      </w:p>
                    </w:tc>
                    <w:tc>
                      <w:tcPr>
                        <w:tcW w:w="1382" w:type="dxa"/>
                        <w:tcBorders>
                          <w:top w:val="single" w:sz="5" w:space="0" w:color="000000"/>
                          <w:bottom w:val="single" w:sz="5" w:space="0" w:color="000000"/>
                        </w:tcBorders>
                      </w:tcPr>
                      <w:p>
                        <w:pPr>
                          <w:pStyle w:val="TableParagraph"/>
                          <w:ind w:right="508"/>
                          <w:rPr>
                            <w:sz w:val="13"/>
                          </w:rPr>
                        </w:pPr>
                        <w:r>
                          <w:rPr>
                            <w:sz w:val="13"/>
                          </w:rPr>
                          <w:t>$1,102</w:t>
                        </w:r>
                      </w:p>
                    </w:tc>
                    <w:tc>
                      <w:tcPr>
                        <w:tcW w:w="1547" w:type="dxa"/>
                        <w:tcBorders>
                          <w:top w:val="single" w:sz="5" w:space="0" w:color="000000"/>
                          <w:bottom w:val="single" w:sz="5" w:space="0" w:color="000000"/>
                        </w:tcBorders>
                      </w:tcPr>
                      <w:p>
                        <w:pPr>
                          <w:pStyle w:val="TableParagraph"/>
                          <w:ind w:right="673"/>
                          <w:rPr>
                            <w:sz w:val="13"/>
                          </w:rPr>
                        </w:pPr>
                        <w:r>
                          <w:rPr>
                            <w:sz w:val="13"/>
                          </w:rPr>
                          <w:t>$1,195</w:t>
                        </w:r>
                      </w:p>
                    </w:tc>
                    <w:tc>
                      <w:tcPr>
                        <w:tcW w:w="1696" w:type="dxa"/>
                        <w:tcBorders>
                          <w:top w:val="single" w:sz="5" w:space="0" w:color="000000"/>
                          <w:bottom w:val="single" w:sz="5" w:space="0" w:color="000000"/>
                        </w:tcBorders>
                      </w:tcPr>
                      <w:p>
                        <w:pPr>
                          <w:pStyle w:val="TableParagraph"/>
                          <w:ind w:left="652" w:right="639"/>
                          <w:jc w:val="center"/>
                          <w:rPr>
                            <w:sz w:val="13"/>
                          </w:rPr>
                        </w:pPr>
                        <w:r>
                          <w:rPr>
                            <w:sz w:val="13"/>
                          </w:rPr>
                          <w:t>$1,363</w:t>
                        </w:r>
                      </w:p>
                    </w:tc>
                    <w:tc>
                      <w:tcPr>
                        <w:tcW w:w="1094" w:type="dxa"/>
                        <w:tcBorders>
                          <w:top w:val="single" w:sz="5" w:space="0" w:color="000000"/>
                          <w:bottom w:val="single" w:sz="5" w:space="0" w:color="000000"/>
                        </w:tcBorders>
                      </w:tcPr>
                      <w:p>
                        <w:pPr>
                          <w:pStyle w:val="TableParagraph"/>
                          <w:ind w:right="71"/>
                          <w:rPr>
                            <w:sz w:val="13"/>
                          </w:rPr>
                        </w:pPr>
                        <w:r>
                          <w:rPr>
                            <w:sz w:val="13"/>
                          </w:rPr>
                          <w:t>$1,447</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 Practitioner/Physician Ass't/Paramedic/EMT</w:t>
                        </w:r>
                      </w:p>
                    </w:tc>
                    <w:tc>
                      <w:tcPr>
                        <w:tcW w:w="1647" w:type="dxa"/>
                        <w:tcBorders>
                          <w:top w:val="single" w:sz="5" w:space="0" w:color="000000"/>
                          <w:bottom w:val="single" w:sz="5" w:space="0" w:color="000000"/>
                        </w:tcBorders>
                      </w:tcPr>
                      <w:p>
                        <w:pPr>
                          <w:pStyle w:val="TableParagraph"/>
                          <w:ind w:right="509"/>
                          <w:rPr>
                            <w:sz w:val="13"/>
                          </w:rPr>
                        </w:pPr>
                        <w:r>
                          <w:rPr>
                            <w:sz w:val="13"/>
                          </w:rPr>
                          <w:t>$1,223</w:t>
                        </w:r>
                      </w:p>
                    </w:tc>
                    <w:tc>
                      <w:tcPr>
                        <w:tcW w:w="1382" w:type="dxa"/>
                        <w:tcBorders>
                          <w:top w:val="single" w:sz="5" w:space="0" w:color="000000"/>
                          <w:bottom w:val="single" w:sz="5" w:space="0" w:color="000000"/>
                        </w:tcBorders>
                      </w:tcPr>
                      <w:p>
                        <w:pPr>
                          <w:pStyle w:val="TableParagraph"/>
                          <w:ind w:right="508"/>
                          <w:rPr>
                            <w:sz w:val="13"/>
                          </w:rPr>
                        </w:pPr>
                        <w:r>
                          <w:rPr>
                            <w:sz w:val="13"/>
                          </w:rPr>
                          <w:t>$1,443</w:t>
                        </w:r>
                      </w:p>
                    </w:tc>
                    <w:tc>
                      <w:tcPr>
                        <w:tcW w:w="1547" w:type="dxa"/>
                        <w:tcBorders>
                          <w:top w:val="single" w:sz="5" w:space="0" w:color="000000"/>
                          <w:bottom w:val="single" w:sz="5" w:space="0" w:color="000000"/>
                        </w:tcBorders>
                      </w:tcPr>
                      <w:p>
                        <w:pPr>
                          <w:pStyle w:val="TableParagraph"/>
                          <w:ind w:right="672"/>
                          <w:rPr>
                            <w:sz w:val="13"/>
                          </w:rPr>
                        </w:pPr>
                        <w:r>
                          <w:rPr>
                            <w:sz w:val="13"/>
                          </w:rPr>
                          <w:t>$1,566</w:t>
                        </w:r>
                      </w:p>
                    </w:tc>
                    <w:tc>
                      <w:tcPr>
                        <w:tcW w:w="1696" w:type="dxa"/>
                        <w:tcBorders>
                          <w:top w:val="single" w:sz="5" w:space="0" w:color="000000"/>
                          <w:bottom w:val="single" w:sz="5" w:space="0" w:color="000000"/>
                        </w:tcBorders>
                      </w:tcPr>
                      <w:p>
                        <w:pPr>
                          <w:pStyle w:val="TableParagraph"/>
                          <w:ind w:left="652" w:right="639"/>
                          <w:jc w:val="center"/>
                          <w:rPr>
                            <w:sz w:val="13"/>
                          </w:rPr>
                        </w:pPr>
                        <w:r>
                          <w:rPr>
                            <w:sz w:val="13"/>
                          </w:rPr>
                          <w:t>$1,786</w:t>
                        </w:r>
                      </w:p>
                    </w:tc>
                    <w:tc>
                      <w:tcPr>
                        <w:tcW w:w="1094" w:type="dxa"/>
                        <w:tcBorders>
                          <w:top w:val="single" w:sz="5" w:space="0" w:color="000000"/>
                          <w:bottom w:val="single" w:sz="5" w:space="0" w:color="000000"/>
                        </w:tcBorders>
                      </w:tcPr>
                      <w:p>
                        <w:pPr>
                          <w:pStyle w:val="TableParagraph"/>
                          <w:ind w:right="71"/>
                          <w:rPr>
                            <w:sz w:val="13"/>
                          </w:rPr>
                        </w:pPr>
                        <w:r>
                          <w:rPr>
                            <w:sz w:val="13"/>
                          </w:rPr>
                          <w:t>$1,896</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Medical Director</w:t>
                        </w:r>
                      </w:p>
                    </w:tc>
                    <w:tc>
                      <w:tcPr>
                        <w:tcW w:w="1647" w:type="dxa"/>
                        <w:tcBorders>
                          <w:top w:val="single" w:sz="5" w:space="0" w:color="000000"/>
                          <w:bottom w:val="single" w:sz="5" w:space="0" w:color="000000"/>
                        </w:tcBorders>
                      </w:tcPr>
                      <w:p>
                        <w:pPr>
                          <w:pStyle w:val="TableParagraph"/>
                          <w:ind w:right="507"/>
                          <w:rPr>
                            <w:sz w:val="13"/>
                          </w:rPr>
                        </w:pPr>
                        <w:r>
                          <w:rPr>
                            <w:sz w:val="13"/>
                          </w:rPr>
                          <w:t>$334</w:t>
                        </w:r>
                      </w:p>
                    </w:tc>
                    <w:tc>
                      <w:tcPr>
                        <w:tcW w:w="1382" w:type="dxa"/>
                        <w:tcBorders>
                          <w:top w:val="single" w:sz="5" w:space="0" w:color="000000"/>
                          <w:bottom w:val="single" w:sz="5" w:space="0" w:color="000000"/>
                        </w:tcBorders>
                      </w:tcPr>
                      <w:p>
                        <w:pPr>
                          <w:pStyle w:val="TableParagraph"/>
                          <w:ind w:right="506"/>
                          <w:rPr>
                            <w:sz w:val="13"/>
                          </w:rPr>
                        </w:pPr>
                        <w:r>
                          <w:rPr>
                            <w:sz w:val="13"/>
                          </w:rPr>
                          <w:t>$394</w:t>
                        </w:r>
                      </w:p>
                    </w:tc>
                    <w:tc>
                      <w:tcPr>
                        <w:tcW w:w="1547" w:type="dxa"/>
                        <w:tcBorders>
                          <w:top w:val="single" w:sz="5" w:space="0" w:color="000000"/>
                          <w:bottom w:val="single" w:sz="5" w:space="0" w:color="000000"/>
                        </w:tcBorders>
                      </w:tcPr>
                      <w:p>
                        <w:pPr>
                          <w:pStyle w:val="TableParagraph"/>
                          <w:ind w:right="671"/>
                          <w:rPr>
                            <w:sz w:val="13"/>
                          </w:rPr>
                        </w:pPr>
                        <w:r>
                          <w:rPr>
                            <w:sz w:val="13"/>
                          </w:rPr>
                          <w:t>$427</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$488</w:t>
                        </w:r>
                      </w:p>
                    </w:tc>
                    <w:tc>
                      <w:tcPr>
                        <w:tcW w:w="1094" w:type="dxa"/>
                        <w:tcBorders>
                          <w:top w:val="single" w:sz="5" w:space="0" w:color="000000"/>
                          <w:bottom w:val="single" w:sz="5" w:space="0" w:color="000000"/>
                        </w:tcBorders>
                      </w:tcPr>
                      <w:p>
                        <w:pPr>
                          <w:pStyle w:val="TableParagraph"/>
                          <w:ind w:right="69"/>
                          <w:rPr>
                            <w:sz w:val="13"/>
                          </w:rPr>
                        </w:pPr>
                        <w:r>
                          <w:rPr>
                            <w:sz w:val="13"/>
                          </w:rPr>
                          <w:t>$517</w:t>
                        </w:r>
                      </w:p>
                    </w:tc>
                  </w:tr>
                  <w:tr>
                    <w:trPr>
                      <w:trHeight w:val="338" w:hRule="exact"/>
                    </w:trPr>
                    <w:tc>
                      <w:tcPr>
                        <w:tcW w:w="10102" w:type="dxa"/>
                        <w:gridSpan w:val="6"/>
                      </w:tcPr>
                      <w:p>
                        <w:pPr>
                          <w:pStyle w:val="TableParagraph"/>
                          <w:spacing w:before="4"/>
                          <w:jc w:val="left"/>
                          <w:rPr>
                            <w:rFonts w:ascii="Arial"/>
                            <w:sz w:val="15"/>
                          </w:rPr>
                        </w:pPr>
                      </w:p>
                      <w:p>
                        <w:pPr>
                          <w:pStyle w:val="TableParagraph"/>
                          <w:spacing w:before="1"/>
                          <w:ind w:left="23"/>
                          <w:jc w:val="left"/>
                          <w:rPr>
                            <w:b/>
                            <w:sz w:val="13"/>
                          </w:rPr>
                        </w:pPr>
                        <w:r>
                          <w:rPr>
                            <w:b/>
                            <w:sz w:val="13"/>
                          </w:rPr>
                          <w:t>Non Medical Office Staff (Rates per $1,000  payroll):</w:t>
                        </w:r>
                      </w:p>
                    </w:tc>
                  </w:tr>
                  <w:tr>
                    <w:trPr>
                      <w:trHeight w:val="166" w:hRule="exact"/>
                    </w:trPr>
                    <w:tc>
                      <w:tcPr>
                        <w:tcW w:w="2736" w:type="dxa"/>
                        <w:tcBorders>
                          <w:bottom w:val="single" w:sz="5" w:space="0" w:color="000000"/>
                        </w:tcBorders>
                      </w:tcPr>
                      <w:p>
                        <w:pPr>
                          <w:pStyle w:val="TableParagraph"/>
                          <w:spacing w:line="146" w:lineRule="exact" w:before="0"/>
                          <w:ind w:left="24"/>
                          <w:jc w:val="left"/>
                          <w:rPr>
                            <w:sz w:val="13"/>
                          </w:rPr>
                        </w:pPr>
                        <w:r>
                          <w:rPr>
                            <w:sz w:val="13"/>
                          </w:rPr>
                          <w:t>$0-$500,000</w:t>
                        </w:r>
                      </w:p>
                    </w:tc>
                    <w:tc>
                      <w:tcPr>
                        <w:tcW w:w="1647" w:type="dxa"/>
                        <w:tcBorders>
                          <w:bottom w:val="single" w:sz="5" w:space="0" w:color="000000"/>
                        </w:tcBorders>
                      </w:tcPr>
                      <w:p>
                        <w:pPr>
                          <w:pStyle w:val="TableParagraph"/>
                          <w:spacing w:line="146" w:lineRule="exact" w:before="0"/>
                          <w:ind w:right="508"/>
                          <w:rPr>
                            <w:sz w:val="13"/>
                          </w:rPr>
                        </w:pPr>
                        <w:r>
                          <w:rPr>
                            <w:sz w:val="13"/>
                          </w:rPr>
                          <w:t>$1.68</w:t>
                        </w:r>
                      </w:p>
                    </w:tc>
                    <w:tc>
                      <w:tcPr>
                        <w:tcW w:w="1382" w:type="dxa"/>
                        <w:tcBorders>
                          <w:bottom w:val="single" w:sz="5" w:space="0" w:color="000000"/>
                        </w:tcBorders>
                      </w:tcPr>
                      <w:p>
                        <w:pPr>
                          <w:pStyle w:val="TableParagraph"/>
                          <w:spacing w:line="146" w:lineRule="exact" w:before="0"/>
                          <w:ind w:right="507"/>
                          <w:rPr>
                            <w:sz w:val="13"/>
                          </w:rPr>
                        </w:pPr>
                        <w:r>
                          <w:rPr>
                            <w:sz w:val="13"/>
                          </w:rPr>
                          <w:t>$1.98</w:t>
                        </w:r>
                      </w:p>
                    </w:tc>
                    <w:tc>
                      <w:tcPr>
                        <w:tcW w:w="1547" w:type="dxa"/>
                        <w:tcBorders>
                          <w:bottom w:val="single" w:sz="5" w:space="0" w:color="000000"/>
                        </w:tcBorders>
                      </w:tcPr>
                      <w:p>
                        <w:pPr>
                          <w:pStyle w:val="TableParagraph"/>
                          <w:spacing w:line="146" w:lineRule="exact" w:before="0"/>
                          <w:ind w:right="671"/>
                          <w:rPr>
                            <w:sz w:val="13"/>
                          </w:rPr>
                        </w:pPr>
                        <w:r>
                          <w:rPr>
                            <w:sz w:val="13"/>
                          </w:rPr>
                          <w:t>$2.15</w:t>
                        </w:r>
                      </w:p>
                    </w:tc>
                    <w:tc>
                      <w:tcPr>
                        <w:tcW w:w="1696" w:type="dxa"/>
                        <w:tcBorders>
                          <w:bottom w:val="single" w:sz="5" w:space="0" w:color="000000"/>
                        </w:tcBorders>
                      </w:tcPr>
                      <w:p>
                        <w:pPr>
                          <w:pStyle w:val="TableParagraph"/>
                          <w:spacing w:line="146" w:lineRule="exact" w:before="0"/>
                          <w:ind w:left="655" w:right="574"/>
                          <w:jc w:val="center"/>
                          <w:rPr>
                            <w:sz w:val="13"/>
                          </w:rPr>
                        </w:pPr>
                        <w:r>
                          <w:rPr>
                            <w:sz w:val="13"/>
                          </w:rPr>
                          <w:t>$2.46</w:t>
                        </w:r>
                      </w:p>
                    </w:tc>
                    <w:tc>
                      <w:tcPr>
                        <w:tcW w:w="1094" w:type="dxa"/>
                        <w:tcBorders>
                          <w:bottom w:val="single" w:sz="5" w:space="0" w:color="000000"/>
                        </w:tcBorders>
                      </w:tcPr>
                      <w:p>
                        <w:pPr>
                          <w:pStyle w:val="TableParagraph"/>
                          <w:spacing w:line="146" w:lineRule="exact" w:before="0"/>
                          <w:ind w:right="70"/>
                          <w:rPr>
                            <w:sz w:val="13"/>
                          </w:rPr>
                        </w:pPr>
                        <w:r>
                          <w:rPr>
                            <w:sz w:val="13"/>
                          </w:rPr>
                          <w:t>$2.61</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$500,001-$2,000,000</w:t>
                        </w:r>
                      </w:p>
                    </w:tc>
                    <w:tc>
                      <w:tcPr>
                        <w:tcW w:w="1647" w:type="dxa"/>
                        <w:tcBorders>
                          <w:top w:val="single" w:sz="5" w:space="0" w:color="000000"/>
                          <w:bottom w:val="single" w:sz="5" w:space="0" w:color="000000"/>
                        </w:tcBorders>
                      </w:tcPr>
                      <w:p>
                        <w:pPr>
                          <w:pStyle w:val="TableParagraph"/>
                          <w:ind w:right="508"/>
                          <w:rPr>
                            <w:sz w:val="13"/>
                          </w:rPr>
                        </w:pPr>
                        <w:r>
                          <w:rPr>
                            <w:sz w:val="13"/>
                          </w:rPr>
                          <w:t>$0.84</w:t>
                        </w:r>
                      </w:p>
                    </w:tc>
                    <w:tc>
                      <w:tcPr>
                        <w:tcW w:w="1382" w:type="dxa"/>
                        <w:tcBorders>
                          <w:top w:val="single" w:sz="5" w:space="0" w:color="000000"/>
                          <w:bottom w:val="single" w:sz="5" w:space="0" w:color="000000"/>
                        </w:tcBorders>
                      </w:tcPr>
                      <w:p>
                        <w:pPr>
                          <w:pStyle w:val="TableParagraph"/>
                          <w:ind w:right="507"/>
                          <w:rPr>
                            <w:sz w:val="13"/>
                          </w:rPr>
                        </w:pPr>
                        <w:r>
                          <w:rPr>
                            <w:sz w:val="13"/>
                          </w:rPr>
                          <w:t>$0.99</w:t>
                        </w:r>
                      </w:p>
                    </w:tc>
                    <w:tc>
                      <w:tcPr>
                        <w:tcW w:w="1547" w:type="dxa"/>
                        <w:tcBorders>
                          <w:top w:val="single" w:sz="5" w:space="0" w:color="000000"/>
                          <w:bottom w:val="single" w:sz="5" w:space="0" w:color="000000"/>
                        </w:tcBorders>
                      </w:tcPr>
                      <w:p>
                        <w:pPr>
                          <w:pStyle w:val="TableParagraph"/>
                          <w:ind w:right="671"/>
                          <w:rPr>
                            <w:sz w:val="13"/>
                          </w:rPr>
                        </w:pPr>
                        <w:r>
                          <w:rPr>
                            <w:sz w:val="13"/>
                          </w:rPr>
                          <w:t>$1.07</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$1.22</w:t>
                        </w:r>
                      </w:p>
                    </w:tc>
                    <w:tc>
                      <w:tcPr>
                        <w:tcW w:w="1094" w:type="dxa"/>
                        <w:tcBorders>
                          <w:top w:val="single" w:sz="5" w:space="0" w:color="000000"/>
                          <w:bottom w:val="single" w:sz="5" w:space="0" w:color="000000"/>
                        </w:tcBorders>
                      </w:tcPr>
                      <w:p>
                        <w:pPr>
                          <w:pStyle w:val="TableParagraph"/>
                          <w:ind w:right="70"/>
                          <w:rPr>
                            <w:sz w:val="13"/>
                          </w:rPr>
                        </w:pPr>
                        <w:r>
                          <w:rPr>
                            <w:sz w:val="13"/>
                          </w:rPr>
                          <w:t>$1.30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$2,000,001-$7,000,000</w:t>
                        </w:r>
                      </w:p>
                    </w:tc>
                    <w:tc>
                      <w:tcPr>
                        <w:tcW w:w="1647" w:type="dxa"/>
                        <w:tcBorders>
                          <w:top w:val="single" w:sz="5" w:space="0" w:color="000000"/>
                          <w:bottom w:val="single" w:sz="5" w:space="0" w:color="000000"/>
                        </w:tcBorders>
                      </w:tcPr>
                      <w:p>
                        <w:pPr>
                          <w:pStyle w:val="TableParagraph"/>
                          <w:ind w:right="508"/>
                          <w:rPr>
                            <w:sz w:val="13"/>
                          </w:rPr>
                        </w:pPr>
                        <w:r>
                          <w:rPr>
                            <w:sz w:val="13"/>
                          </w:rPr>
                          <w:t>$0.58</w:t>
                        </w:r>
                      </w:p>
                    </w:tc>
                    <w:tc>
                      <w:tcPr>
                        <w:tcW w:w="1382" w:type="dxa"/>
                        <w:tcBorders>
                          <w:top w:val="single" w:sz="5" w:space="0" w:color="000000"/>
                          <w:bottom w:val="single" w:sz="5" w:space="0" w:color="000000"/>
                        </w:tcBorders>
                      </w:tcPr>
                      <w:p>
                        <w:pPr>
                          <w:pStyle w:val="TableParagraph"/>
                          <w:ind w:right="507"/>
                          <w:rPr>
                            <w:sz w:val="13"/>
                          </w:rPr>
                        </w:pPr>
                        <w:r>
                          <w:rPr>
                            <w:sz w:val="13"/>
                          </w:rPr>
                          <w:t>$0.68</w:t>
                        </w:r>
                      </w:p>
                    </w:tc>
                    <w:tc>
                      <w:tcPr>
                        <w:tcW w:w="1547" w:type="dxa"/>
                        <w:tcBorders>
                          <w:top w:val="single" w:sz="5" w:space="0" w:color="000000"/>
                          <w:bottom w:val="single" w:sz="5" w:space="0" w:color="000000"/>
                        </w:tcBorders>
                      </w:tcPr>
                      <w:p>
                        <w:pPr>
                          <w:pStyle w:val="TableParagraph"/>
                          <w:ind w:right="671"/>
                          <w:rPr>
                            <w:sz w:val="13"/>
                          </w:rPr>
                        </w:pPr>
                        <w:r>
                          <w:rPr>
                            <w:sz w:val="13"/>
                          </w:rPr>
                          <w:t>$0.74</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$0.85</w:t>
                        </w:r>
                      </w:p>
                    </w:tc>
                    <w:tc>
                      <w:tcPr>
                        <w:tcW w:w="1094" w:type="dxa"/>
                        <w:tcBorders>
                          <w:top w:val="single" w:sz="5" w:space="0" w:color="000000"/>
                          <w:bottom w:val="single" w:sz="5" w:space="0" w:color="000000"/>
                        </w:tcBorders>
                      </w:tcPr>
                      <w:p>
                        <w:pPr>
                          <w:pStyle w:val="TableParagraph"/>
                          <w:ind w:right="70"/>
                          <w:rPr>
                            <w:sz w:val="13"/>
                          </w:rPr>
                        </w:pPr>
                        <w:r>
                          <w:rPr>
                            <w:sz w:val="13"/>
                          </w:rPr>
                          <w:t>$0.90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$7,000,001-$20,000,000</w:t>
                        </w:r>
                      </w:p>
                    </w:tc>
                    <w:tc>
                      <w:tcPr>
                        <w:tcW w:w="1647" w:type="dxa"/>
                        <w:tcBorders>
                          <w:top w:val="single" w:sz="5" w:space="0" w:color="000000"/>
                          <w:bottom w:val="single" w:sz="5" w:space="0" w:color="000000"/>
                        </w:tcBorders>
                      </w:tcPr>
                      <w:p>
                        <w:pPr>
                          <w:pStyle w:val="TableParagraph"/>
                          <w:ind w:right="508"/>
                          <w:rPr>
                            <w:sz w:val="13"/>
                          </w:rPr>
                        </w:pPr>
                        <w:r>
                          <w:rPr>
                            <w:sz w:val="13"/>
                          </w:rPr>
                          <w:t>$0.26</w:t>
                        </w:r>
                      </w:p>
                    </w:tc>
                    <w:tc>
                      <w:tcPr>
                        <w:tcW w:w="1382" w:type="dxa"/>
                        <w:tcBorders>
                          <w:top w:val="single" w:sz="5" w:space="0" w:color="000000"/>
                          <w:bottom w:val="single" w:sz="5" w:space="0" w:color="000000"/>
                        </w:tcBorders>
                      </w:tcPr>
                      <w:p>
                        <w:pPr>
                          <w:pStyle w:val="TableParagraph"/>
                          <w:ind w:right="507"/>
                          <w:rPr>
                            <w:sz w:val="13"/>
                          </w:rPr>
                        </w:pPr>
                        <w:r>
                          <w:rPr>
                            <w:sz w:val="13"/>
                          </w:rPr>
                          <w:t>$0.30</w:t>
                        </w:r>
                      </w:p>
                    </w:tc>
                    <w:tc>
                      <w:tcPr>
                        <w:tcW w:w="1547" w:type="dxa"/>
                        <w:tcBorders>
                          <w:top w:val="single" w:sz="5" w:space="0" w:color="000000"/>
                          <w:bottom w:val="single" w:sz="5" w:space="0" w:color="000000"/>
                        </w:tcBorders>
                      </w:tcPr>
                      <w:p>
                        <w:pPr>
                          <w:pStyle w:val="TableParagraph"/>
                          <w:ind w:right="671"/>
                          <w:rPr>
                            <w:sz w:val="13"/>
                          </w:rPr>
                        </w:pPr>
                        <w:r>
                          <w:rPr>
                            <w:sz w:val="13"/>
                          </w:rPr>
                          <w:t>$0.33</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$0.37</w:t>
                        </w:r>
                      </w:p>
                    </w:tc>
                    <w:tc>
                      <w:tcPr>
                        <w:tcW w:w="1094" w:type="dxa"/>
                        <w:tcBorders>
                          <w:top w:val="single" w:sz="5" w:space="0" w:color="000000"/>
                          <w:bottom w:val="single" w:sz="5" w:space="0" w:color="000000"/>
                        </w:tcBorders>
                      </w:tcPr>
                      <w:p>
                        <w:pPr>
                          <w:pStyle w:val="TableParagraph"/>
                          <w:ind w:right="70"/>
                          <w:rPr>
                            <w:sz w:val="13"/>
                          </w:rPr>
                        </w:pPr>
                        <w:r>
                          <w:rPr>
                            <w:sz w:val="13"/>
                          </w:rPr>
                          <w:t>$0.40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Over $20,000,000</w:t>
                        </w:r>
                      </w:p>
                    </w:tc>
                    <w:tc>
                      <w:tcPr>
                        <w:tcW w:w="1647" w:type="dxa"/>
                        <w:tcBorders>
                          <w:top w:val="single" w:sz="5" w:space="0" w:color="000000"/>
                          <w:bottom w:val="single" w:sz="5" w:space="0" w:color="000000"/>
                        </w:tcBorders>
                      </w:tcPr>
                      <w:p>
                        <w:pPr>
                          <w:pStyle w:val="TableParagraph"/>
                          <w:ind w:right="508"/>
                          <w:rPr>
                            <w:sz w:val="13"/>
                          </w:rPr>
                        </w:pPr>
                        <w:r>
                          <w:rPr>
                            <w:sz w:val="13"/>
                          </w:rPr>
                          <w:t>$0.13</w:t>
                        </w:r>
                      </w:p>
                    </w:tc>
                    <w:tc>
                      <w:tcPr>
                        <w:tcW w:w="1382" w:type="dxa"/>
                        <w:tcBorders>
                          <w:top w:val="single" w:sz="5" w:space="0" w:color="000000"/>
                          <w:bottom w:val="single" w:sz="5" w:space="0" w:color="000000"/>
                        </w:tcBorders>
                      </w:tcPr>
                      <w:p>
                        <w:pPr>
                          <w:pStyle w:val="TableParagraph"/>
                          <w:ind w:right="507"/>
                          <w:rPr>
                            <w:sz w:val="13"/>
                          </w:rPr>
                        </w:pPr>
                        <w:r>
                          <w:rPr>
                            <w:sz w:val="13"/>
                          </w:rPr>
                          <w:t>$0.16</w:t>
                        </w:r>
                      </w:p>
                    </w:tc>
                    <w:tc>
                      <w:tcPr>
                        <w:tcW w:w="1547" w:type="dxa"/>
                        <w:tcBorders>
                          <w:top w:val="single" w:sz="5" w:space="0" w:color="000000"/>
                          <w:bottom w:val="single" w:sz="5" w:space="0" w:color="000000"/>
                        </w:tcBorders>
                      </w:tcPr>
                      <w:p>
                        <w:pPr>
                          <w:pStyle w:val="TableParagraph"/>
                          <w:ind w:right="671"/>
                          <w:rPr>
                            <w:sz w:val="13"/>
                          </w:rPr>
                        </w:pPr>
                        <w:r>
                          <w:rPr>
                            <w:sz w:val="13"/>
                          </w:rPr>
                          <w:t>$0.17</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$0.19</w:t>
                        </w:r>
                      </w:p>
                    </w:tc>
                    <w:tc>
                      <w:tcPr>
                        <w:tcW w:w="1094" w:type="dxa"/>
                        <w:tcBorders>
                          <w:top w:val="single" w:sz="5" w:space="0" w:color="000000"/>
                          <w:bottom w:val="single" w:sz="5" w:space="0" w:color="000000"/>
                        </w:tcBorders>
                      </w:tcPr>
                      <w:p>
                        <w:pPr>
                          <w:pStyle w:val="TableParagraph"/>
                          <w:ind w:right="70"/>
                          <w:rPr>
                            <w:sz w:val="13"/>
                          </w:rPr>
                        </w:pPr>
                        <w:r>
                          <w:rPr>
                            <w:sz w:val="13"/>
                          </w:rPr>
                          <w:t>$0.21</w:t>
                        </w:r>
                      </w:p>
                    </w:tc>
                  </w:tr>
                </w:tbl>
                <w:p>
                  <w:pPr>
                    <w:pStyle w:val="BodyText"/>
                  </w:pPr>
                </w:p>
              </w:txbxContent>
            </v:textbox>
            <w10:wrap type="none"/>
          </v:shape>
        </w:pict>
      </w:r>
      <w:r>
        <w:rPr>
          <w:b/>
          <w:sz w:val="13"/>
        </w:rPr>
        <w:t>B. Full Time Equivalent Employee:</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2"/>
        <w:rPr>
          <w:b/>
          <w:sz w:val="16"/>
        </w:rPr>
      </w:pPr>
    </w:p>
    <w:p>
      <w:pPr>
        <w:spacing w:before="0"/>
        <w:ind w:left="286" w:right="0" w:firstLine="0"/>
        <w:jc w:val="left"/>
        <w:rPr>
          <w:b/>
          <w:sz w:val="13"/>
        </w:rPr>
      </w:pPr>
      <w:r>
        <w:rPr>
          <w:b/>
          <w:sz w:val="13"/>
        </w:rPr>
        <w:t>C.</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7"/>
        <w:rPr>
          <w:b/>
          <w:sz w:val="18"/>
        </w:rPr>
      </w:pPr>
    </w:p>
    <w:p>
      <w:pPr>
        <w:spacing w:line="268" w:lineRule="auto" w:before="0"/>
        <w:ind w:left="488" w:right="4508" w:firstLine="0"/>
        <w:jc w:val="left"/>
        <w:rPr>
          <w:sz w:val="13"/>
        </w:rPr>
      </w:pPr>
      <w:r>
        <w:rPr>
          <w:sz w:val="13"/>
        </w:rPr>
        <w:t>The above rates are based on the total payroll of the insured's non medical office staff. Each individual payroll layer should be rated separately and added together, in order to determine the total premium.  This premium includes the payroll of all non medical office   staff.</w:t>
      </w:r>
    </w:p>
    <w:p>
      <w:pPr>
        <w:pStyle w:val="BodyText"/>
        <w:spacing w:before="8"/>
        <w:rPr>
          <w:sz w:val="14"/>
        </w:rPr>
      </w:pPr>
    </w:p>
    <w:p>
      <w:pPr>
        <w:pStyle w:val="ListParagraph"/>
        <w:numPr>
          <w:ilvl w:val="0"/>
          <w:numId w:val="1"/>
        </w:numPr>
        <w:tabs>
          <w:tab w:pos="287" w:val="left" w:leader="none"/>
        </w:tabs>
        <w:spacing w:line="240" w:lineRule="auto" w:before="0" w:after="0"/>
        <w:ind w:left="286" w:right="0" w:hanging="161"/>
        <w:jc w:val="left"/>
        <w:rPr>
          <w:b/>
          <w:sz w:val="13"/>
        </w:rPr>
      </w:pPr>
      <w:r>
        <w:rPr>
          <w:b/>
          <w:sz w:val="13"/>
          <w:u w:val="single"/>
        </w:rPr>
        <w:t>RATING</w:t>
      </w:r>
      <w:r>
        <w:rPr>
          <w:b/>
          <w:spacing w:val="24"/>
          <w:sz w:val="13"/>
          <w:u w:val="single"/>
        </w:rPr>
        <w:t> </w:t>
      </w:r>
      <w:r>
        <w:rPr>
          <w:b/>
          <w:sz w:val="13"/>
          <w:u w:val="single"/>
        </w:rPr>
        <w:t>METHODOLOGY</w:t>
      </w:r>
    </w:p>
    <w:p>
      <w:pPr>
        <w:pStyle w:val="ListParagraph"/>
        <w:numPr>
          <w:ilvl w:val="1"/>
          <w:numId w:val="1"/>
        </w:numPr>
        <w:tabs>
          <w:tab w:pos="488" w:val="left" w:leader="none"/>
        </w:tabs>
        <w:spacing w:line="240" w:lineRule="auto" w:before="18" w:after="0"/>
        <w:ind w:left="488" w:right="0" w:hanging="202"/>
        <w:jc w:val="left"/>
        <w:rPr>
          <w:sz w:val="13"/>
        </w:rPr>
      </w:pPr>
      <w:r>
        <w:rPr>
          <w:sz w:val="13"/>
        </w:rPr>
        <w:t>Agency Rate-The rate indicated applies to every risk written under this </w:t>
      </w:r>
      <w:r>
        <w:rPr>
          <w:spacing w:val="26"/>
          <w:sz w:val="13"/>
        </w:rPr>
        <w:t> </w:t>
      </w:r>
      <w:r>
        <w:rPr>
          <w:sz w:val="13"/>
        </w:rPr>
        <w:t>program.</w:t>
      </w:r>
    </w:p>
    <w:p>
      <w:pPr>
        <w:pStyle w:val="ListParagraph"/>
        <w:numPr>
          <w:ilvl w:val="1"/>
          <w:numId w:val="1"/>
        </w:numPr>
        <w:tabs>
          <w:tab w:pos="488" w:val="left" w:leader="none"/>
        </w:tabs>
        <w:spacing w:line="268" w:lineRule="auto" w:before="18" w:after="0"/>
        <w:ind w:left="488" w:right="3527" w:hanging="202"/>
        <w:jc w:val="left"/>
        <w:rPr>
          <w:sz w:val="13"/>
        </w:rPr>
      </w:pPr>
      <w:r>
        <w:rPr>
          <w:sz w:val="13"/>
        </w:rPr>
        <w:t>Employee Rates-The rate indicated for each category is applied to the number of Full Time Equivalent Employees (FTE's) in each category. The number of FTE's  is calculated as</w:t>
      </w:r>
      <w:r>
        <w:rPr>
          <w:spacing w:val="17"/>
          <w:sz w:val="13"/>
        </w:rPr>
        <w:t> </w:t>
      </w:r>
      <w:r>
        <w:rPr>
          <w:sz w:val="13"/>
        </w:rPr>
        <w:t>follows:</w:t>
      </w:r>
    </w:p>
    <w:p>
      <w:pPr>
        <w:pStyle w:val="ListParagraph"/>
        <w:numPr>
          <w:ilvl w:val="2"/>
          <w:numId w:val="1"/>
        </w:numPr>
        <w:tabs>
          <w:tab w:pos="653" w:val="left" w:leader="none"/>
        </w:tabs>
        <w:spacing w:line="268" w:lineRule="auto" w:before="1" w:after="0"/>
        <w:ind w:left="620" w:right="3642" w:hanging="132"/>
        <w:jc w:val="left"/>
        <w:rPr>
          <w:sz w:val="13"/>
        </w:rPr>
      </w:pPr>
      <w:r>
        <w:rPr>
          <w:sz w:val="13"/>
        </w:rPr>
        <w:t>FTE's/Hours-The annual number of hours worked by all employees in each category is divided by 2,000. The number obtained is then multiplied by the rate indicated for that category of</w:t>
      </w:r>
      <w:r>
        <w:rPr>
          <w:spacing w:val="29"/>
          <w:sz w:val="13"/>
        </w:rPr>
        <w:t> </w:t>
      </w:r>
      <w:r>
        <w:rPr>
          <w:sz w:val="13"/>
        </w:rPr>
        <w:t>employee.</w:t>
      </w:r>
    </w:p>
    <w:p>
      <w:pPr>
        <w:pStyle w:val="ListParagraph"/>
        <w:numPr>
          <w:ilvl w:val="2"/>
          <w:numId w:val="1"/>
        </w:numPr>
        <w:tabs>
          <w:tab w:pos="620" w:val="left" w:leader="none"/>
        </w:tabs>
        <w:spacing w:line="268" w:lineRule="auto" w:before="1" w:after="0"/>
        <w:ind w:left="620" w:right="3394" w:hanging="132"/>
        <w:jc w:val="left"/>
        <w:rPr>
          <w:sz w:val="13"/>
        </w:rPr>
      </w:pPr>
      <w:r>
        <w:rPr>
          <w:sz w:val="13"/>
        </w:rPr>
        <w:t>FTE's/Payroll-When the number of hours worked is unavailable or invalid, the number of FTE's is determined using payroll information. The total annual payroll for each category is divided by the estimated average payroll for that category.    </w:t>
      </w:r>
      <w:r>
        <w:rPr>
          <w:spacing w:val="1"/>
          <w:sz w:val="13"/>
        </w:rPr>
        <w:t> </w:t>
      </w:r>
      <w:r>
        <w:rPr>
          <w:sz w:val="13"/>
        </w:rPr>
        <w:t>This number is then multiplied by the rate for that category.</w:t>
      </w:r>
    </w:p>
    <w:p>
      <w:pPr>
        <w:spacing w:before="1" w:after="22"/>
        <w:ind w:left="1359" w:right="0" w:firstLine="0"/>
        <w:jc w:val="left"/>
        <w:rPr>
          <w:sz w:val="13"/>
        </w:rPr>
      </w:pPr>
      <w:r>
        <w:rPr>
          <w:sz w:val="13"/>
          <w:u w:val="single"/>
        </w:rPr>
        <w:t>Average Salaries:*</w:t>
      </w:r>
    </w:p>
    <w:tbl>
      <w:tblPr>
        <w:tblW w:w="0" w:type="auto"/>
        <w:jc w:val="left"/>
        <w:tblInd w:w="1325"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853"/>
        <w:gridCol w:w="1896"/>
        <w:gridCol w:w="4868"/>
      </w:tblGrid>
      <w:tr>
        <w:trPr>
          <w:trHeight w:val="157" w:hRule="exact"/>
        </w:trPr>
        <w:tc>
          <w:tcPr>
            <w:tcW w:w="1853" w:type="dxa"/>
          </w:tcPr>
          <w:p>
            <w:pPr>
              <w:pStyle w:val="TableParagraph"/>
              <w:spacing w:line="146" w:lineRule="exact" w:before="0"/>
              <w:ind w:left="33"/>
              <w:jc w:val="left"/>
              <w:rPr>
                <w:sz w:val="13"/>
              </w:rPr>
            </w:pPr>
            <w:r>
              <w:rPr>
                <w:sz w:val="13"/>
              </w:rPr>
              <w:t>Nurse (RN)</w:t>
            </w:r>
          </w:p>
        </w:tc>
        <w:tc>
          <w:tcPr>
            <w:tcW w:w="1896" w:type="dxa"/>
          </w:tcPr>
          <w:p>
            <w:pPr>
              <w:pStyle w:val="TableParagraph"/>
              <w:spacing w:line="146" w:lineRule="exact" w:before="0"/>
              <w:ind w:left="727"/>
              <w:jc w:val="left"/>
              <w:rPr>
                <w:sz w:val="13"/>
              </w:rPr>
            </w:pPr>
            <w:r>
              <w:rPr>
                <w:sz w:val="13"/>
              </w:rPr>
              <w:t>$29,466</w:t>
            </w:r>
          </w:p>
        </w:tc>
        <w:tc>
          <w:tcPr>
            <w:tcW w:w="4868" w:type="dxa"/>
          </w:tcPr>
          <w:p>
            <w:pPr>
              <w:pStyle w:val="TableParagraph"/>
              <w:spacing w:line="146" w:lineRule="exact" w:before="0"/>
              <w:ind w:left="739"/>
              <w:jc w:val="left"/>
              <w:rPr>
                <w:sz w:val="13"/>
              </w:rPr>
            </w:pPr>
            <w:r>
              <w:rPr>
                <w:sz w:val="13"/>
              </w:rPr>
              <w:t>*Salaries are based on Home Health Agency Compensation Survey  Report,</w:t>
            </w:r>
          </w:p>
        </w:tc>
      </w:tr>
      <w:tr>
        <w:trPr>
          <w:trHeight w:val="168" w:hRule="exact"/>
        </w:trPr>
        <w:tc>
          <w:tcPr>
            <w:tcW w:w="1853" w:type="dxa"/>
          </w:tcPr>
          <w:p>
            <w:pPr>
              <w:pStyle w:val="TableParagraph"/>
              <w:spacing w:before="7"/>
              <w:ind w:left="33"/>
              <w:jc w:val="left"/>
              <w:rPr>
                <w:sz w:val="13"/>
              </w:rPr>
            </w:pPr>
            <w:r>
              <w:rPr>
                <w:sz w:val="13"/>
              </w:rPr>
              <w:t>Licensed Prac Nurse</w:t>
            </w:r>
          </w:p>
        </w:tc>
        <w:tc>
          <w:tcPr>
            <w:tcW w:w="1896" w:type="dxa"/>
          </w:tcPr>
          <w:p>
            <w:pPr>
              <w:pStyle w:val="TableParagraph"/>
              <w:spacing w:before="7"/>
              <w:ind w:left="727"/>
              <w:jc w:val="left"/>
              <w:rPr>
                <w:sz w:val="13"/>
              </w:rPr>
            </w:pPr>
            <w:r>
              <w:rPr>
                <w:sz w:val="13"/>
              </w:rPr>
              <w:t>$20,000</w:t>
            </w:r>
          </w:p>
        </w:tc>
        <w:tc>
          <w:tcPr>
            <w:tcW w:w="4868" w:type="dxa"/>
          </w:tcPr>
          <w:p>
            <w:pPr>
              <w:pStyle w:val="TableParagraph"/>
              <w:spacing w:before="7"/>
              <w:ind w:left="739"/>
              <w:jc w:val="left"/>
              <w:rPr>
                <w:sz w:val="13"/>
              </w:rPr>
            </w:pPr>
            <w:r>
              <w:rPr>
                <w:sz w:val="13"/>
              </w:rPr>
              <w:t>Washington, DC, National Association of Home Care (NAHC).   Salaries</w:t>
            </w:r>
          </w:p>
        </w:tc>
      </w:tr>
      <w:tr>
        <w:trPr>
          <w:trHeight w:val="168" w:hRule="exact"/>
        </w:trPr>
        <w:tc>
          <w:tcPr>
            <w:tcW w:w="1853" w:type="dxa"/>
          </w:tcPr>
          <w:p>
            <w:pPr>
              <w:pStyle w:val="TableParagraph"/>
              <w:spacing w:before="7"/>
              <w:ind w:left="33"/>
              <w:jc w:val="left"/>
              <w:rPr>
                <w:sz w:val="13"/>
              </w:rPr>
            </w:pPr>
            <w:r>
              <w:rPr>
                <w:sz w:val="13"/>
              </w:rPr>
              <w:t>Physical Ther.</w:t>
            </w:r>
          </w:p>
        </w:tc>
        <w:tc>
          <w:tcPr>
            <w:tcW w:w="1896" w:type="dxa"/>
          </w:tcPr>
          <w:p>
            <w:pPr>
              <w:pStyle w:val="TableParagraph"/>
              <w:spacing w:before="7"/>
              <w:ind w:left="727"/>
              <w:jc w:val="left"/>
              <w:rPr>
                <w:sz w:val="13"/>
              </w:rPr>
            </w:pPr>
            <w:r>
              <w:rPr>
                <w:sz w:val="13"/>
              </w:rPr>
              <w:t>$49,176</w:t>
            </w:r>
          </w:p>
        </w:tc>
        <w:tc>
          <w:tcPr>
            <w:tcW w:w="4868" w:type="dxa"/>
          </w:tcPr>
          <w:p>
            <w:pPr>
              <w:pStyle w:val="TableParagraph"/>
              <w:spacing w:before="7"/>
              <w:ind w:left="739"/>
              <w:jc w:val="left"/>
              <w:rPr>
                <w:sz w:val="13"/>
              </w:rPr>
            </w:pPr>
            <w:r>
              <w:rPr>
                <w:sz w:val="13"/>
              </w:rPr>
              <w:t>used to calculate FTE's will be revised as the report is updated.   Average</w:t>
            </w:r>
          </w:p>
        </w:tc>
      </w:tr>
      <w:tr>
        <w:trPr>
          <w:trHeight w:val="168" w:hRule="exact"/>
        </w:trPr>
        <w:tc>
          <w:tcPr>
            <w:tcW w:w="1853" w:type="dxa"/>
          </w:tcPr>
          <w:p>
            <w:pPr>
              <w:pStyle w:val="TableParagraph"/>
              <w:spacing w:before="7"/>
              <w:ind w:left="33"/>
              <w:jc w:val="left"/>
              <w:rPr>
                <w:sz w:val="13"/>
              </w:rPr>
            </w:pPr>
            <w:r>
              <w:rPr>
                <w:sz w:val="13"/>
              </w:rPr>
              <w:t>Occupational Ther.</w:t>
            </w:r>
          </w:p>
        </w:tc>
        <w:tc>
          <w:tcPr>
            <w:tcW w:w="1896" w:type="dxa"/>
          </w:tcPr>
          <w:p>
            <w:pPr>
              <w:pStyle w:val="TableParagraph"/>
              <w:spacing w:before="7"/>
              <w:ind w:left="727"/>
              <w:jc w:val="left"/>
              <w:rPr>
                <w:sz w:val="13"/>
              </w:rPr>
            </w:pPr>
            <w:r>
              <w:rPr>
                <w:sz w:val="13"/>
              </w:rPr>
              <w:t>$39,337</w:t>
            </w:r>
          </w:p>
        </w:tc>
        <w:tc>
          <w:tcPr>
            <w:tcW w:w="4868" w:type="dxa"/>
          </w:tcPr>
          <w:p>
            <w:pPr>
              <w:pStyle w:val="TableParagraph"/>
              <w:spacing w:before="7"/>
              <w:ind w:left="739"/>
              <w:jc w:val="left"/>
              <w:rPr>
                <w:sz w:val="13"/>
              </w:rPr>
            </w:pPr>
            <w:r>
              <w:rPr>
                <w:sz w:val="13"/>
              </w:rPr>
              <w:t>salaries for categories not listed at the left will be estimated by comparing  the</w:t>
            </w:r>
          </w:p>
        </w:tc>
      </w:tr>
      <w:tr>
        <w:trPr>
          <w:trHeight w:val="168" w:hRule="exact"/>
        </w:trPr>
        <w:tc>
          <w:tcPr>
            <w:tcW w:w="1853" w:type="dxa"/>
          </w:tcPr>
          <w:p>
            <w:pPr>
              <w:pStyle w:val="TableParagraph"/>
              <w:spacing w:before="7"/>
              <w:ind w:left="33"/>
              <w:jc w:val="left"/>
              <w:rPr>
                <w:sz w:val="13"/>
              </w:rPr>
            </w:pPr>
            <w:r>
              <w:rPr>
                <w:sz w:val="13"/>
              </w:rPr>
              <w:t>Speech Therapist</w:t>
            </w:r>
          </w:p>
        </w:tc>
        <w:tc>
          <w:tcPr>
            <w:tcW w:w="1896" w:type="dxa"/>
          </w:tcPr>
          <w:p>
            <w:pPr>
              <w:pStyle w:val="TableParagraph"/>
              <w:spacing w:before="7"/>
              <w:ind w:left="727"/>
              <w:jc w:val="left"/>
              <w:rPr>
                <w:sz w:val="13"/>
              </w:rPr>
            </w:pPr>
            <w:r>
              <w:rPr>
                <w:sz w:val="13"/>
              </w:rPr>
              <w:t>$36,389</w:t>
            </w:r>
          </w:p>
        </w:tc>
        <w:tc>
          <w:tcPr>
            <w:tcW w:w="4868" w:type="dxa"/>
          </w:tcPr>
          <w:p>
            <w:pPr>
              <w:pStyle w:val="TableParagraph"/>
              <w:spacing w:before="7"/>
              <w:ind w:left="739"/>
              <w:jc w:val="left"/>
              <w:rPr>
                <w:sz w:val="13"/>
              </w:rPr>
            </w:pPr>
            <w:r>
              <w:rPr>
                <w:sz w:val="13"/>
              </w:rPr>
              <w:t>educational requirements for unlisted categories with those categories  listed.</w:t>
            </w:r>
          </w:p>
        </w:tc>
      </w:tr>
      <w:tr>
        <w:trPr>
          <w:trHeight w:val="168" w:hRule="exact"/>
        </w:trPr>
        <w:tc>
          <w:tcPr>
            <w:tcW w:w="1853" w:type="dxa"/>
          </w:tcPr>
          <w:p>
            <w:pPr>
              <w:pStyle w:val="TableParagraph"/>
              <w:spacing w:before="7"/>
              <w:ind w:left="33"/>
              <w:jc w:val="left"/>
              <w:rPr>
                <w:sz w:val="13"/>
              </w:rPr>
            </w:pPr>
            <w:r>
              <w:rPr>
                <w:sz w:val="13"/>
              </w:rPr>
              <w:t>Social Worker</w:t>
            </w:r>
          </w:p>
        </w:tc>
        <w:tc>
          <w:tcPr>
            <w:tcW w:w="1896" w:type="dxa"/>
          </w:tcPr>
          <w:p>
            <w:pPr>
              <w:pStyle w:val="TableParagraph"/>
              <w:spacing w:before="7"/>
              <w:ind w:left="727"/>
              <w:jc w:val="left"/>
              <w:rPr>
                <w:sz w:val="13"/>
              </w:rPr>
            </w:pPr>
            <w:r>
              <w:rPr>
                <w:sz w:val="13"/>
              </w:rPr>
              <w:t>$30,821</w:t>
            </w:r>
          </w:p>
        </w:tc>
        <w:tc>
          <w:tcPr>
            <w:tcW w:w="4868" w:type="dxa"/>
          </w:tcPr>
          <w:p>
            <w:pPr/>
          </w:p>
        </w:tc>
      </w:tr>
      <w:tr>
        <w:trPr>
          <w:trHeight w:val="157" w:hRule="exact"/>
        </w:trPr>
        <w:tc>
          <w:tcPr>
            <w:tcW w:w="1853" w:type="dxa"/>
          </w:tcPr>
          <w:p>
            <w:pPr>
              <w:pStyle w:val="TableParagraph"/>
              <w:spacing w:before="7"/>
              <w:ind w:left="33"/>
              <w:jc w:val="left"/>
              <w:rPr>
                <w:sz w:val="13"/>
              </w:rPr>
            </w:pPr>
            <w:r>
              <w:rPr>
                <w:sz w:val="13"/>
              </w:rPr>
              <w:t>Home Health Aide</w:t>
            </w:r>
          </w:p>
        </w:tc>
        <w:tc>
          <w:tcPr>
            <w:tcW w:w="1896" w:type="dxa"/>
          </w:tcPr>
          <w:p>
            <w:pPr>
              <w:pStyle w:val="TableParagraph"/>
              <w:spacing w:before="7"/>
              <w:ind w:left="727"/>
              <w:jc w:val="left"/>
              <w:rPr>
                <w:sz w:val="13"/>
              </w:rPr>
            </w:pPr>
            <w:r>
              <w:rPr>
                <w:sz w:val="13"/>
              </w:rPr>
              <w:t>$14,647</w:t>
            </w:r>
          </w:p>
        </w:tc>
        <w:tc>
          <w:tcPr>
            <w:tcW w:w="4868" w:type="dxa"/>
          </w:tcPr>
          <w:p>
            <w:pPr/>
          </w:p>
        </w:tc>
      </w:tr>
    </w:tbl>
    <w:p>
      <w:pPr>
        <w:pStyle w:val="ListParagraph"/>
        <w:numPr>
          <w:ilvl w:val="1"/>
          <w:numId w:val="1"/>
        </w:numPr>
        <w:tabs>
          <w:tab w:pos="441" w:val="left" w:leader="none"/>
        </w:tabs>
        <w:spacing w:line="268" w:lineRule="auto" w:before="18" w:after="0"/>
        <w:ind w:left="418" w:right="3868" w:hanging="132"/>
        <w:jc w:val="left"/>
        <w:rPr>
          <w:sz w:val="13"/>
        </w:rPr>
      </w:pPr>
      <w:r>
        <w:rPr>
          <w:sz w:val="13"/>
        </w:rPr>
        <w:t>For agencies that use independent contractors, the number of FTE's are calculated as described above. If the independent contractors are not to be covered, individually, 50% of the rate indicated under I.B is charged.    </w:t>
      </w:r>
      <w:r>
        <w:rPr>
          <w:spacing w:val="14"/>
          <w:sz w:val="13"/>
        </w:rPr>
        <w:t> </w:t>
      </w:r>
      <w:r>
        <w:rPr>
          <w:sz w:val="13"/>
        </w:rPr>
        <w:t>If independent contractors are to be covered individually, 100% of the rate indicated is charged.</w:t>
      </w:r>
    </w:p>
    <w:p>
      <w:pPr>
        <w:pStyle w:val="BodyText"/>
        <w:rPr>
          <w:sz w:val="20"/>
        </w:rPr>
      </w:pPr>
    </w:p>
    <w:p>
      <w:pPr>
        <w:pStyle w:val="BodyText"/>
        <w:spacing w:before="9"/>
        <w:rPr>
          <w:sz w:val="19"/>
        </w:rPr>
      </w:pPr>
    </w:p>
    <w:p>
      <w:pPr>
        <w:tabs>
          <w:tab w:pos="11619" w:val="left" w:leader="none"/>
        </w:tabs>
        <w:spacing w:before="97"/>
        <w:ind w:left="5444" w:right="0" w:firstLine="0"/>
        <w:jc w:val="left"/>
        <w:rPr>
          <w:rFonts w:ascii="Arial"/>
          <w:sz w:val="13"/>
        </w:rPr>
      </w:pPr>
      <w:r>
        <w:rPr>
          <w:rFonts w:ascii="Arial"/>
          <w:sz w:val="13"/>
        </w:rPr>
        <w:t>Page</w:t>
      </w:r>
      <w:r>
        <w:rPr>
          <w:rFonts w:ascii="Arial"/>
          <w:spacing w:val="1"/>
          <w:sz w:val="13"/>
        </w:rPr>
        <w:t> </w:t>
      </w:r>
      <w:r>
        <w:rPr>
          <w:rFonts w:ascii="Arial"/>
          <w:sz w:val="13"/>
        </w:rPr>
        <w:t>1</w:t>
        <w:tab/>
        <w:t>Rev</w:t>
      </w:r>
      <w:r>
        <w:rPr>
          <w:rFonts w:ascii="Arial"/>
          <w:spacing w:val="12"/>
          <w:sz w:val="13"/>
        </w:rPr>
        <w:t> </w:t>
      </w:r>
      <w:r>
        <w:rPr>
          <w:rFonts w:ascii="Arial"/>
          <w:sz w:val="13"/>
        </w:rPr>
        <w:t>6/15/2009</w:t>
      </w:r>
    </w:p>
    <w:p>
      <w:pPr>
        <w:spacing w:after="0"/>
        <w:jc w:val="left"/>
        <w:rPr>
          <w:rFonts w:ascii="Arial"/>
          <w:sz w:val="13"/>
        </w:rPr>
        <w:sectPr>
          <w:type w:val="continuous"/>
          <w:pgSz w:w="15840" w:h="12240" w:orient="landscape"/>
          <w:pgMar w:top="1020" w:bottom="0" w:left="2260" w:right="1000"/>
        </w:sectPr>
      </w:pPr>
    </w:p>
    <w:p>
      <w:pPr>
        <w:spacing w:line="276" w:lineRule="auto" w:before="82"/>
        <w:ind w:left="5384" w:right="1759" w:hanging="2801"/>
        <w:jc w:val="left"/>
        <w:rPr>
          <w:b/>
          <w:sz w:val="21"/>
        </w:rPr>
      </w:pPr>
      <w:r>
        <w:rPr>
          <w:b/>
          <w:sz w:val="21"/>
        </w:rPr>
        <w:t>HEALTHCARE AGENCY PROFESSIONAL LIABILITY PROGRAM OREGON</w:t>
      </w:r>
    </w:p>
    <w:p>
      <w:pPr>
        <w:pStyle w:val="Heading1"/>
        <w:numPr>
          <w:ilvl w:val="0"/>
          <w:numId w:val="1"/>
        </w:numPr>
        <w:tabs>
          <w:tab w:pos="448" w:val="left" w:leader="none"/>
        </w:tabs>
        <w:spacing w:line="165" w:lineRule="exact" w:before="0" w:after="0"/>
        <w:ind w:left="448" w:right="0" w:hanging="312"/>
        <w:jc w:val="left"/>
      </w:pPr>
      <w:r>
        <w:rPr>
          <w:u w:val="single"/>
        </w:rPr>
        <w:t>SURCHARGES, CREDITS AND</w:t>
      </w:r>
      <w:r>
        <w:rPr>
          <w:spacing w:val="20"/>
          <w:u w:val="single"/>
        </w:rPr>
        <w:t> </w:t>
      </w:r>
      <w:r>
        <w:rPr>
          <w:u w:val="single"/>
        </w:rPr>
        <w:t>DEBITS</w:t>
      </w:r>
    </w:p>
    <w:p>
      <w:pPr>
        <w:pStyle w:val="BodyText"/>
        <w:spacing w:before="8"/>
        <w:rPr>
          <w:b/>
          <w:sz w:val="9"/>
        </w:rPr>
      </w:pPr>
    </w:p>
    <w:p>
      <w:pPr>
        <w:pStyle w:val="ListParagraph"/>
        <w:numPr>
          <w:ilvl w:val="1"/>
          <w:numId w:val="1"/>
        </w:numPr>
        <w:tabs>
          <w:tab w:pos="760" w:val="left" w:leader="none"/>
        </w:tabs>
        <w:spacing w:line="240" w:lineRule="auto" w:before="95" w:after="0"/>
        <w:ind w:left="759" w:right="0" w:hanging="311"/>
        <w:jc w:val="left"/>
        <w:rPr>
          <w:b/>
          <w:sz w:val="15"/>
        </w:rPr>
      </w:pPr>
      <w:r>
        <w:rPr>
          <w:b/>
          <w:sz w:val="15"/>
          <w:u w:val="single"/>
        </w:rPr>
        <w:t>Surcharges</w:t>
      </w:r>
    </w:p>
    <w:p>
      <w:pPr>
        <w:pStyle w:val="ListParagraph"/>
        <w:numPr>
          <w:ilvl w:val="2"/>
          <w:numId w:val="1"/>
        </w:numPr>
        <w:tabs>
          <w:tab w:pos="912" w:val="left" w:leader="none"/>
          <w:tab w:pos="4708" w:val="left" w:leader="none"/>
        </w:tabs>
        <w:spacing w:line="264" w:lineRule="auto" w:before="17" w:after="0"/>
        <w:ind w:left="4708" w:right="1038" w:hanging="3948"/>
        <w:jc w:val="left"/>
        <w:rPr>
          <w:sz w:val="15"/>
        </w:rPr>
      </w:pPr>
      <w:r>
        <w:rPr>
          <w:sz w:val="15"/>
        </w:rPr>
        <w:t>Malplacement-</w:t>
        <w:tab/>
        <w:tab/>
        <w:t>A malplacement surcharge of 25% of the developed premium, before credits and debits, </w:t>
      </w:r>
      <w:r>
        <w:rPr>
          <w:spacing w:val="2"/>
          <w:sz w:val="15"/>
        </w:rPr>
        <w:t> </w:t>
      </w:r>
      <w:r>
        <w:rPr>
          <w:sz w:val="15"/>
        </w:rPr>
        <w:t>will</w:t>
      </w:r>
      <w:r>
        <w:rPr>
          <w:spacing w:val="3"/>
          <w:sz w:val="15"/>
        </w:rPr>
        <w:t> </w:t>
      </w:r>
      <w:r>
        <w:rPr>
          <w:sz w:val="15"/>
        </w:rPr>
        <w:t>apply</w:t>
      </w:r>
      <w:r>
        <w:rPr>
          <w:w w:val="100"/>
          <w:sz w:val="15"/>
        </w:rPr>
        <w:t> </w:t>
      </w:r>
      <w:r>
        <w:rPr>
          <w:sz w:val="15"/>
        </w:rPr>
        <w:t>to agencies engaged in supplemental</w:t>
      </w:r>
      <w:r>
        <w:rPr>
          <w:spacing w:val="20"/>
          <w:sz w:val="15"/>
        </w:rPr>
        <w:t> </w:t>
      </w:r>
      <w:r>
        <w:rPr>
          <w:sz w:val="15"/>
        </w:rPr>
        <w:t>staffing.</w:t>
      </w:r>
    </w:p>
    <w:p>
      <w:pPr>
        <w:pStyle w:val="ListParagraph"/>
        <w:numPr>
          <w:ilvl w:val="2"/>
          <w:numId w:val="1"/>
        </w:numPr>
        <w:tabs>
          <w:tab w:pos="912" w:val="left" w:leader="none"/>
          <w:tab w:pos="4707" w:val="left" w:leader="none"/>
        </w:tabs>
        <w:spacing w:line="264" w:lineRule="auto" w:before="0" w:after="0"/>
        <w:ind w:left="4708" w:right="711" w:hanging="3948"/>
        <w:jc w:val="left"/>
        <w:rPr>
          <w:sz w:val="15"/>
        </w:rPr>
      </w:pPr>
      <w:r>
        <w:rPr>
          <w:sz w:val="15"/>
        </w:rPr>
        <w:t>Registry-</w:t>
        <w:tab/>
        <w:t>A registry surcharge of 25% of the developed premium, before credits and debits, will apply </w:t>
      </w:r>
      <w:r>
        <w:rPr>
          <w:spacing w:val="4"/>
          <w:sz w:val="15"/>
        </w:rPr>
        <w:t> </w:t>
      </w:r>
      <w:r>
        <w:rPr>
          <w:sz w:val="15"/>
        </w:rPr>
        <w:t>to</w:t>
      </w:r>
      <w:r>
        <w:rPr>
          <w:spacing w:val="2"/>
          <w:sz w:val="15"/>
        </w:rPr>
        <w:t> </w:t>
      </w:r>
      <w:r>
        <w:rPr>
          <w:sz w:val="15"/>
        </w:rPr>
        <w:t>agencies</w:t>
      </w:r>
      <w:r>
        <w:rPr>
          <w:w w:val="100"/>
          <w:sz w:val="15"/>
        </w:rPr>
        <w:t> </w:t>
      </w:r>
      <w:r>
        <w:rPr>
          <w:sz w:val="15"/>
        </w:rPr>
        <w:t>that do supplemental staffing.  This is in addition to the malplacement</w:t>
      </w:r>
      <w:r>
        <w:rPr>
          <w:spacing w:val="35"/>
          <w:sz w:val="15"/>
        </w:rPr>
        <w:t> </w:t>
      </w:r>
      <w:r>
        <w:rPr>
          <w:sz w:val="15"/>
        </w:rPr>
        <w:t>surcharge.</w:t>
      </w:r>
    </w:p>
    <w:p>
      <w:pPr>
        <w:pStyle w:val="ListParagraph"/>
        <w:numPr>
          <w:ilvl w:val="2"/>
          <w:numId w:val="1"/>
        </w:numPr>
        <w:tabs>
          <w:tab w:pos="912" w:val="left" w:leader="none"/>
          <w:tab w:pos="4708" w:val="left" w:leader="none"/>
        </w:tabs>
        <w:spacing w:line="240" w:lineRule="auto" w:before="0" w:after="0"/>
        <w:ind w:left="911" w:right="0" w:hanging="151"/>
        <w:jc w:val="left"/>
        <w:rPr>
          <w:sz w:val="15"/>
        </w:rPr>
      </w:pPr>
      <w:r>
        <w:rPr>
          <w:sz w:val="15"/>
        </w:rPr>
        <w:t>Background</w:t>
      </w:r>
      <w:r>
        <w:rPr>
          <w:spacing w:val="9"/>
          <w:sz w:val="15"/>
        </w:rPr>
        <w:t> </w:t>
      </w:r>
      <w:r>
        <w:rPr>
          <w:sz w:val="15"/>
        </w:rPr>
        <w:t>Check-</w:t>
        <w:tab/>
        <w:t>A surcharge of 10% to agencies not performing background checks on their employees and independent </w:t>
      </w:r>
      <w:r>
        <w:rPr>
          <w:spacing w:val="11"/>
          <w:sz w:val="15"/>
        </w:rPr>
        <w:t> </w:t>
      </w:r>
      <w:r>
        <w:rPr>
          <w:sz w:val="15"/>
        </w:rPr>
        <w:t>contracto</w:t>
      </w:r>
    </w:p>
    <w:p>
      <w:pPr>
        <w:pStyle w:val="ListParagraph"/>
        <w:numPr>
          <w:ilvl w:val="2"/>
          <w:numId w:val="1"/>
        </w:numPr>
        <w:tabs>
          <w:tab w:pos="912" w:val="left" w:leader="none"/>
          <w:tab w:pos="4708" w:val="left" w:leader="none"/>
        </w:tabs>
        <w:spacing w:line="240" w:lineRule="auto" w:before="17" w:after="0"/>
        <w:ind w:left="911" w:right="0" w:hanging="151"/>
        <w:jc w:val="left"/>
        <w:rPr>
          <w:sz w:val="15"/>
        </w:rPr>
      </w:pPr>
      <w:r>
        <w:rPr>
          <w:sz w:val="15"/>
        </w:rPr>
        <w:t>Nrsng Hms/Asstd Lvng Ctrs/Lng Trm</w:t>
      </w:r>
      <w:r>
        <w:rPr>
          <w:spacing w:val="17"/>
          <w:sz w:val="15"/>
        </w:rPr>
        <w:t> </w:t>
      </w:r>
      <w:r>
        <w:rPr>
          <w:sz w:val="15"/>
        </w:rPr>
        <w:t>Care</w:t>
      </w:r>
      <w:r>
        <w:rPr>
          <w:spacing w:val="3"/>
          <w:sz w:val="15"/>
        </w:rPr>
        <w:t> </w:t>
      </w:r>
      <w:r>
        <w:rPr>
          <w:sz w:val="15"/>
        </w:rPr>
        <w:t>Fac-</w:t>
        <w:tab/>
        <w:t>A surcharge of 25% of the developed premium, before debits and credits, will apply to agencies that </w:t>
      </w:r>
      <w:r>
        <w:rPr>
          <w:spacing w:val="5"/>
          <w:sz w:val="15"/>
        </w:rPr>
        <w:t> </w:t>
      </w:r>
      <w:r>
        <w:rPr>
          <w:sz w:val="15"/>
        </w:rPr>
        <w:t>do</w:t>
      </w:r>
    </w:p>
    <w:p>
      <w:pPr>
        <w:pStyle w:val="BodyText"/>
        <w:spacing w:before="17"/>
        <w:ind w:left="4707"/>
      </w:pPr>
      <w:r>
        <w:rPr/>
        <w:t>staffing of Nursing Home Facilities, Assisted Living Centers, or Long Term Care  Facilities.</w:t>
      </w:r>
    </w:p>
    <w:p>
      <w:pPr>
        <w:pStyle w:val="ListParagraph"/>
        <w:numPr>
          <w:ilvl w:val="2"/>
          <w:numId w:val="1"/>
        </w:numPr>
        <w:tabs>
          <w:tab w:pos="912" w:val="left" w:leader="none"/>
          <w:tab w:pos="4708" w:val="left" w:leader="none"/>
        </w:tabs>
        <w:spacing w:line="264" w:lineRule="auto" w:before="17" w:after="0"/>
        <w:ind w:left="4708" w:right="153" w:hanging="3948"/>
        <w:jc w:val="left"/>
        <w:rPr>
          <w:sz w:val="15"/>
        </w:rPr>
      </w:pPr>
      <w:r>
        <w:rPr>
          <w:sz w:val="15"/>
        </w:rPr>
        <w:t>High</w:t>
      </w:r>
      <w:r>
        <w:rPr>
          <w:spacing w:val="5"/>
          <w:sz w:val="15"/>
        </w:rPr>
        <w:t> </w:t>
      </w:r>
      <w:r>
        <w:rPr>
          <w:sz w:val="15"/>
        </w:rPr>
        <w:t>Tech/Crtcl</w:t>
      </w:r>
      <w:r>
        <w:rPr>
          <w:spacing w:val="5"/>
          <w:sz w:val="15"/>
        </w:rPr>
        <w:t> </w:t>
      </w:r>
      <w:r>
        <w:rPr>
          <w:sz w:val="15"/>
        </w:rPr>
        <w:t>Care-</w:t>
        <w:tab/>
        <w:t>A malplacement Surcharge of 25% of the developed premium, before credits and debits, will apply to </w:t>
      </w:r>
      <w:r>
        <w:rPr>
          <w:spacing w:val="7"/>
          <w:sz w:val="15"/>
        </w:rPr>
        <w:t> </w:t>
      </w:r>
      <w:r>
        <w:rPr>
          <w:sz w:val="15"/>
        </w:rPr>
        <w:t>Agencies</w:t>
      </w:r>
      <w:r>
        <w:rPr>
          <w:spacing w:val="2"/>
          <w:sz w:val="15"/>
        </w:rPr>
        <w:t> </w:t>
      </w:r>
      <w:r>
        <w:rPr>
          <w:sz w:val="15"/>
        </w:rPr>
        <w:t>e</w:t>
      </w:r>
      <w:r>
        <w:rPr>
          <w:w w:val="100"/>
          <w:sz w:val="15"/>
        </w:rPr>
        <w:t> </w:t>
      </w:r>
      <w:r>
        <w:rPr>
          <w:sz w:val="15"/>
        </w:rPr>
        <w:t>in High Tech/Critical Care services including Surgical, Pediatric, Infusion Therapy, and </w:t>
      </w:r>
      <w:r>
        <w:rPr>
          <w:spacing w:val="13"/>
          <w:sz w:val="15"/>
        </w:rPr>
        <w:t> </w:t>
      </w:r>
      <w:r>
        <w:rPr>
          <w:sz w:val="15"/>
        </w:rPr>
        <w:t>Tracheotomy/Ventilator</w:t>
      </w:r>
    </w:p>
    <w:p>
      <w:pPr>
        <w:pStyle w:val="BodyText"/>
        <w:spacing w:before="8"/>
        <w:rPr>
          <w:sz w:val="24"/>
        </w:rPr>
      </w:pPr>
    </w:p>
    <w:p>
      <w:pPr>
        <w:spacing w:after="0"/>
        <w:rPr>
          <w:sz w:val="24"/>
        </w:rPr>
        <w:sectPr>
          <w:footerReference w:type="default" r:id="rId5"/>
          <w:pgSz w:w="12240" w:h="15840"/>
          <w:pgMar w:footer="0" w:header="0" w:top="1020" w:bottom="180" w:left="260" w:right="260"/>
        </w:sectPr>
      </w:pPr>
    </w:p>
    <w:p>
      <w:pPr>
        <w:pStyle w:val="Heading1"/>
        <w:numPr>
          <w:ilvl w:val="1"/>
          <w:numId w:val="1"/>
        </w:numPr>
        <w:tabs>
          <w:tab w:pos="760" w:val="left" w:leader="none"/>
        </w:tabs>
        <w:spacing w:line="240" w:lineRule="auto" w:before="95" w:after="0"/>
        <w:ind w:left="760" w:right="0" w:hanging="312"/>
        <w:jc w:val="left"/>
      </w:pPr>
      <w:r>
        <w:rPr>
          <w:u w:val="single"/>
        </w:rPr>
        <w:t>Credits/Debits</w:t>
      </w:r>
    </w:p>
    <w:p>
      <w:pPr>
        <w:pStyle w:val="BodyText"/>
        <w:rPr>
          <w:b/>
          <w:sz w:val="16"/>
        </w:rPr>
      </w:pPr>
    </w:p>
    <w:p>
      <w:pPr>
        <w:pStyle w:val="BodyText"/>
        <w:rPr>
          <w:b/>
          <w:sz w:val="16"/>
        </w:rPr>
      </w:pPr>
    </w:p>
    <w:p>
      <w:pPr>
        <w:pStyle w:val="BodyText"/>
        <w:rPr>
          <w:b/>
          <w:sz w:val="16"/>
        </w:rPr>
      </w:pPr>
    </w:p>
    <w:p>
      <w:pPr>
        <w:pStyle w:val="BodyText"/>
        <w:rPr>
          <w:b/>
          <w:sz w:val="16"/>
        </w:rPr>
      </w:pPr>
    </w:p>
    <w:p>
      <w:pPr>
        <w:pStyle w:val="BodyText"/>
        <w:spacing w:before="10"/>
        <w:rPr>
          <w:b/>
          <w:sz w:val="19"/>
        </w:rPr>
      </w:pPr>
    </w:p>
    <w:p>
      <w:pPr>
        <w:pStyle w:val="ListParagraph"/>
        <w:numPr>
          <w:ilvl w:val="0"/>
          <w:numId w:val="1"/>
        </w:numPr>
        <w:tabs>
          <w:tab w:pos="448" w:val="left" w:leader="none"/>
        </w:tabs>
        <w:spacing w:line="240" w:lineRule="auto" w:before="0" w:after="0"/>
        <w:ind w:left="448" w:right="0" w:hanging="312"/>
        <w:jc w:val="left"/>
        <w:rPr>
          <w:b/>
          <w:sz w:val="15"/>
        </w:rPr>
      </w:pPr>
      <w:r>
        <w:rPr>
          <w:b/>
          <w:sz w:val="15"/>
          <w:u w:val="single"/>
        </w:rPr>
        <w:t>ADDITIONAL</w:t>
      </w:r>
      <w:r>
        <w:rPr>
          <w:b/>
          <w:spacing w:val="13"/>
          <w:sz w:val="15"/>
          <w:u w:val="single"/>
        </w:rPr>
        <w:t> </w:t>
      </w:r>
      <w:r>
        <w:rPr>
          <w:b/>
          <w:sz w:val="15"/>
          <w:u w:val="single"/>
        </w:rPr>
        <w:t>INSUREDS</w:t>
      </w:r>
    </w:p>
    <w:p>
      <w:pPr>
        <w:pStyle w:val="BodyText"/>
        <w:rPr>
          <w:b/>
          <w:sz w:val="16"/>
        </w:rPr>
      </w:pPr>
      <w:r>
        <w:rPr/>
        <w:br w:type="column"/>
      </w:r>
      <w:r>
        <w:rPr>
          <w:b/>
          <w:sz w:val="16"/>
        </w:rPr>
      </w:r>
    </w:p>
    <w:p>
      <w:pPr>
        <w:pStyle w:val="BodyText"/>
        <w:tabs>
          <w:tab w:pos="3908" w:val="left" w:leader="none"/>
        </w:tabs>
        <w:spacing w:before="101"/>
        <w:ind w:left="138"/>
      </w:pPr>
      <w:r>
        <w:rPr>
          <w:u w:val="single"/>
        </w:rPr>
        <w:t>Debits</w:t>
      </w:r>
      <w:r>
        <w:rPr/>
        <w:tab/>
      </w:r>
      <w:r>
        <w:rPr>
          <w:u w:val="single"/>
        </w:rPr>
        <w:t>Credit</w:t>
      </w:r>
    </w:p>
    <w:p>
      <w:pPr>
        <w:pStyle w:val="BodyText"/>
        <w:tabs>
          <w:tab w:pos="2331" w:val="left" w:leader="none"/>
          <w:tab w:pos="3899" w:val="left" w:leader="none"/>
        </w:tabs>
        <w:spacing w:before="17"/>
        <w:ind w:left="135"/>
      </w:pPr>
      <w:r>
        <w:rPr/>
        <w:t>0-25%</w:t>
        <w:tab/>
        <w:t>Claims</w:t>
      </w:r>
      <w:r>
        <w:rPr>
          <w:spacing w:val="2"/>
        </w:rPr>
        <w:t> </w:t>
      </w:r>
      <w:r>
        <w:rPr/>
        <w:t>History</w:t>
        <w:tab/>
        <w:t>0-25%</w:t>
      </w:r>
    </w:p>
    <w:p>
      <w:pPr>
        <w:pStyle w:val="BodyText"/>
        <w:tabs>
          <w:tab w:pos="2331" w:val="left" w:leader="none"/>
          <w:tab w:pos="3899" w:val="left" w:leader="none"/>
        </w:tabs>
        <w:spacing w:before="17"/>
        <w:ind w:left="135"/>
      </w:pPr>
      <w:r>
        <w:rPr/>
        <w:t>0-20%</w:t>
        <w:tab/>
        <w:t>Risk</w:t>
      </w:r>
      <w:r>
        <w:rPr>
          <w:spacing w:val="2"/>
        </w:rPr>
        <w:t> </w:t>
      </w:r>
      <w:r>
        <w:rPr/>
        <w:t>Management</w:t>
        <w:tab/>
        <w:t>0-20%</w:t>
      </w:r>
    </w:p>
    <w:p>
      <w:pPr>
        <w:pStyle w:val="BodyText"/>
        <w:tabs>
          <w:tab w:pos="2331" w:val="left" w:leader="none"/>
          <w:tab w:pos="3899" w:val="left" w:leader="none"/>
        </w:tabs>
        <w:spacing w:before="17"/>
        <w:ind w:left="135"/>
      </w:pPr>
      <w:r>
        <w:rPr/>
        <w:t>0-15%</w:t>
        <w:tab/>
        <w:t>Nature</w:t>
      </w:r>
      <w:r>
        <w:rPr>
          <w:spacing w:val="2"/>
        </w:rPr>
        <w:t> </w:t>
      </w:r>
      <w:r>
        <w:rPr/>
        <w:t>of</w:t>
      </w:r>
      <w:r>
        <w:rPr>
          <w:spacing w:val="2"/>
        </w:rPr>
        <w:t> </w:t>
      </w:r>
      <w:r>
        <w:rPr/>
        <w:t>Operations</w:t>
        <w:tab/>
        <w:t>0-15%</w:t>
      </w:r>
    </w:p>
    <w:p>
      <w:pPr>
        <w:pStyle w:val="Heading1"/>
        <w:spacing w:before="17"/>
        <w:ind w:left="2331" w:firstLine="0"/>
      </w:pPr>
      <w:r>
        <w:rPr/>
        <w:t>MAXIMUM DEBIT/CREDIT +/-25%</w:t>
      </w:r>
    </w:p>
    <w:p>
      <w:pPr>
        <w:spacing w:after="0"/>
        <w:sectPr>
          <w:type w:val="continuous"/>
          <w:pgSz w:w="12240" w:h="15840"/>
          <w:pgMar w:top="1020" w:bottom="0" w:left="260" w:right="260"/>
          <w:cols w:num="2" w:equalWidth="0">
            <w:col w:w="2234" w:space="142"/>
            <w:col w:w="9344"/>
          </w:cols>
        </w:sectPr>
      </w:pPr>
    </w:p>
    <w:p>
      <w:pPr>
        <w:pStyle w:val="BodyText"/>
        <w:spacing w:before="17"/>
        <w:ind w:left="448"/>
      </w:pPr>
      <w:r>
        <w:rPr/>
        <w:t>For each additional insured charge 25% of the developed premium, before debits/credits are applied; maximum  $1,000.</w:t>
      </w:r>
    </w:p>
    <w:p>
      <w:pPr>
        <w:pStyle w:val="BodyText"/>
        <w:spacing w:before="11"/>
        <w:rPr>
          <w:sz w:val="17"/>
        </w:rPr>
      </w:pPr>
    </w:p>
    <w:p>
      <w:pPr>
        <w:pStyle w:val="Heading1"/>
        <w:numPr>
          <w:ilvl w:val="0"/>
          <w:numId w:val="1"/>
        </w:numPr>
        <w:tabs>
          <w:tab w:pos="448" w:val="left" w:leader="none"/>
        </w:tabs>
        <w:spacing w:line="240" w:lineRule="auto" w:before="0" w:after="0"/>
        <w:ind w:left="448" w:right="0" w:hanging="312"/>
        <w:jc w:val="left"/>
      </w:pPr>
      <w:r>
        <w:rPr>
          <w:u w:val="single"/>
        </w:rPr>
        <w:t>MINIMUM</w:t>
      </w:r>
      <w:r>
        <w:rPr>
          <w:spacing w:val="12"/>
          <w:u w:val="single"/>
        </w:rPr>
        <w:t> </w:t>
      </w:r>
      <w:r>
        <w:rPr>
          <w:u w:val="single"/>
        </w:rPr>
        <w:t>PREMIUMS</w:t>
      </w:r>
    </w:p>
    <w:p>
      <w:pPr>
        <w:pStyle w:val="BodyText"/>
        <w:tabs>
          <w:tab w:pos="6354" w:val="left" w:leader="none"/>
        </w:tabs>
        <w:spacing w:before="16"/>
        <w:ind w:left="760"/>
      </w:pPr>
      <w:r>
        <w:rPr/>
        <w:t>Home Health Agency in business less than</w:t>
      </w:r>
      <w:r>
        <w:rPr>
          <w:spacing w:val="13"/>
        </w:rPr>
        <w:t> </w:t>
      </w:r>
      <w:r>
        <w:rPr/>
        <w:t>3</w:t>
      </w:r>
      <w:r>
        <w:rPr>
          <w:spacing w:val="2"/>
        </w:rPr>
        <w:t> </w:t>
      </w:r>
      <w:r>
        <w:rPr/>
        <w:t>yrs</w:t>
        <w:tab/>
        <w:t>$3,000</w:t>
      </w:r>
    </w:p>
    <w:p>
      <w:pPr>
        <w:pStyle w:val="BodyText"/>
        <w:tabs>
          <w:tab w:pos="6354" w:val="left" w:leader="none"/>
        </w:tabs>
        <w:spacing w:before="16"/>
        <w:ind w:left="760"/>
      </w:pPr>
      <w:r>
        <w:rPr/>
        <w:t>Home</w:t>
      </w:r>
      <w:r>
        <w:rPr>
          <w:spacing w:val="2"/>
        </w:rPr>
        <w:t> </w:t>
      </w:r>
      <w:r>
        <w:rPr/>
        <w:t>Health</w:t>
      </w:r>
      <w:r>
        <w:rPr>
          <w:spacing w:val="2"/>
        </w:rPr>
        <w:t> </w:t>
      </w:r>
      <w:r>
        <w:rPr/>
        <w:t>Agency</w:t>
        <w:tab/>
        <w:t>$1,000</w:t>
      </w:r>
    </w:p>
    <w:p>
      <w:pPr>
        <w:pStyle w:val="BodyText"/>
        <w:tabs>
          <w:tab w:pos="6469" w:val="left" w:leader="none"/>
        </w:tabs>
        <w:spacing w:before="17"/>
        <w:ind w:left="760"/>
      </w:pPr>
      <w:r>
        <w:rPr/>
        <w:t>Hospice</w:t>
        <w:tab/>
        <w:t>$500</w:t>
      </w:r>
    </w:p>
    <w:p>
      <w:pPr>
        <w:pStyle w:val="BodyText"/>
        <w:tabs>
          <w:tab w:pos="6354" w:val="left" w:leader="none"/>
        </w:tabs>
        <w:spacing w:before="17"/>
        <w:ind w:left="760"/>
      </w:pPr>
      <w:r>
        <w:rPr/>
        <w:t>Pure</w:t>
      </w:r>
      <w:r>
        <w:rPr>
          <w:spacing w:val="1"/>
        </w:rPr>
        <w:t> </w:t>
      </w:r>
      <w:r>
        <w:rPr/>
        <w:t>Registry</w:t>
        <w:tab/>
        <w:t>$2,500</w:t>
      </w:r>
    </w:p>
    <w:p>
      <w:pPr>
        <w:pStyle w:val="BodyText"/>
        <w:spacing w:before="4"/>
        <w:rPr>
          <w:sz w:val="18"/>
        </w:rPr>
      </w:pPr>
    </w:p>
    <w:tbl>
      <w:tblPr>
        <w:tblW w:w="0" w:type="auto"/>
        <w:jc w:val="left"/>
        <w:tblInd w:w="102"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864"/>
        <w:gridCol w:w="2243"/>
        <w:gridCol w:w="1342"/>
        <w:gridCol w:w="613"/>
      </w:tblGrid>
      <w:tr>
        <w:trPr>
          <w:trHeight w:val="179" w:hRule="exact"/>
        </w:trPr>
        <w:tc>
          <w:tcPr>
            <w:tcW w:w="4864" w:type="dxa"/>
          </w:tcPr>
          <w:p>
            <w:pPr>
              <w:pStyle w:val="TableParagraph"/>
              <w:spacing w:line="167" w:lineRule="exact" w:before="0"/>
              <w:ind w:left="33"/>
              <w:jc w:val="left"/>
              <w:rPr>
                <w:b/>
                <w:sz w:val="15"/>
              </w:rPr>
            </w:pPr>
            <w:r>
              <w:rPr>
                <w:sz w:val="15"/>
              </w:rPr>
              <w:t>VI.   </w:t>
            </w:r>
            <w:r>
              <w:rPr>
                <w:b/>
                <w:sz w:val="15"/>
                <w:u w:val="single"/>
              </w:rPr>
              <w:t>ADDITIONAL LIMITS AND DEDUCTIBLES</w:t>
            </w:r>
          </w:p>
        </w:tc>
        <w:tc>
          <w:tcPr>
            <w:tcW w:w="4198" w:type="dxa"/>
            <w:gridSpan w:val="3"/>
          </w:tcPr>
          <w:p>
            <w:pPr/>
          </w:p>
        </w:tc>
      </w:tr>
      <w:tr>
        <w:trPr>
          <w:trHeight w:val="190" w:hRule="exact"/>
        </w:trPr>
        <w:tc>
          <w:tcPr>
            <w:tcW w:w="4864" w:type="dxa"/>
          </w:tcPr>
          <w:p>
            <w:pPr>
              <w:pStyle w:val="TableParagraph"/>
              <w:spacing w:before="5"/>
              <w:ind w:left="345"/>
              <w:jc w:val="left"/>
              <w:rPr>
                <w:b/>
                <w:sz w:val="15"/>
              </w:rPr>
            </w:pPr>
            <w:r>
              <w:rPr>
                <w:sz w:val="15"/>
              </w:rPr>
              <w:t>A.     </w:t>
            </w:r>
            <w:r>
              <w:rPr>
                <w:b/>
                <w:sz w:val="15"/>
                <w:u w:val="single"/>
              </w:rPr>
              <w:t>Increased Limits Factors</w:t>
            </w:r>
          </w:p>
        </w:tc>
        <w:tc>
          <w:tcPr>
            <w:tcW w:w="2243" w:type="dxa"/>
          </w:tcPr>
          <w:p>
            <w:pPr/>
          </w:p>
        </w:tc>
        <w:tc>
          <w:tcPr>
            <w:tcW w:w="1342" w:type="dxa"/>
          </w:tcPr>
          <w:p>
            <w:pPr>
              <w:pStyle w:val="TableParagraph"/>
              <w:spacing w:before="5"/>
              <w:ind w:left="438"/>
              <w:jc w:val="left"/>
              <w:rPr>
                <w:b/>
                <w:sz w:val="15"/>
              </w:rPr>
            </w:pPr>
            <w:r>
              <w:rPr>
                <w:b/>
                <w:sz w:val="15"/>
                <w:u w:val="single"/>
              </w:rPr>
              <w:t>B. Deductible</w:t>
            </w:r>
          </w:p>
        </w:tc>
        <w:tc>
          <w:tcPr>
            <w:tcW w:w="613" w:type="dxa"/>
          </w:tcPr>
          <w:p>
            <w:pPr/>
          </w:p>
        </w:tc>
      </w:tr>
      <w:tr>
        <w:trPr>
          <w:trHeight w:val="190" w:hRule="exact"/>
        </w:trPr>
        <w:tc>
          <w:tcPr>
            <w:tcW w:w="4864" w:type="dxa"/>
          </w:tcPr>
          <w:p>
            <w:pPr>
              <w:pStyle w:val="TableParagraph"/>
              <w:spacing w:before="5"/>
              <w:ind w:left="657"/>
              <w:jc w:val="left"/>
              <w:rPr>
                <w:sz w:val="15"/>
              </w:rPr>
            </w:pPr>
            <w:r>
              <w:rPr>
                <w:sz w:val="15"/>
              </w:rPr>
              <w:t>$1,000,000/$1,000,000</w:t>
            </w:r>
          </w:p>
        </w:tc>
        <w:tc>
          <w:tcPr>
            <w:tcW w:w="2243" w:type="dxa"/>
          </w:tcPr>
          <w:p>
            <w:pPr>
              <w:pStyle w:val="TableParagraph"/>
              <w:spacing w:before="5"/>
              <w:ind w:right="436"/>
              <w:rPr>
                <w:sz w:val="15"/>
              </w:rPr>
            </w:pPr>
            <w:r>
              <w:rPr>
                <w:sz w:val="15"/>
              </w:rPr>
              <w:t>1.000</w:t>
            </w:r>
          </w:p>
        </w:tc>
        <w:tc>
          <w:tcPr>
            <w:tcW w:w="1342" w:type="dxa"/>
          </w:tcPr>
          <w:p>
            <w:pPr>
              <w:pStyle w:val="TableParagraph"/>
              <w:spacing w:before="5"/>
              <w:ind w:left="486"/>
              <w:jc w:val="left"/>
              <w:rPr>
                <w:sz w:val="15"/>
              </w:rPr>
            </w:pPr>
            <w:r>
              <w:rPr>
                <w:sz w:val="15"/>
              </w:rPr>
              <w:t>Deductible</w:t>
            </w:r>
          </w:p>
        </w:tc>
        <w:tc>
          <w:tcPr>
            <w:tcW w:w="613" w:type="dxa"/>
          </w:tcPr>
          <w:p>
            <w:pPr>
              <w:pStyle w:val="TableParagraph"/>
              <w:spacing w:before="5"/>
              <w:ind w:right="34"/>
              <w:rPr>
                <w:sz w:val="15"/>
              </w:rPr>
            </w:pPr>
            <w:r>
              <w:rPr>
                <w:sz w:val="15"/>
              </w:rPr>
              <w:t>Discount</w:t>
            </w:r>
          </w:p>
        </w:tc>
      </w:tr>
      <w:tr>
        <w:trPr>
          <w:trHeight w:val="190" w:hRule="exact"/>
        </w:trPr>
        <w:tc>
          <w:tcPr>
            <w:tcW w:w="4864" w:type="dxa"/>
          </w:tcPr>
          <w:p>
            <w:pPr>
              <w:pStyle w:val="TableParagraph"/>
              <w:spacing w:before="5"/>
              <w:ind w:left="657"/>
              <w:jc w:val="left"/>
              <w:rPr>
                <w:sz w:val="15"/>
              </w:rPr>
            </w:pPr>
            <w:r>
              <w:rPr>
                <w:sz w:val="15"/>
              </w:rPr>
              <w:t>$2,000,000/$2,000,000</w:t>
            </w:r>
          </w:p>
        </w:tc>
        <w:tc>
          <w:tcPr>
            <w:tcW w:w="2243" w:type="dxa"/>
          </w:tcPr>
          <w:p>
            <w:pPr>
              <w:pStyle w:val="TableParagraph"/>
              <w:spacing w:before="5"/>
              <w:ind w:right="436"/>
              <w:rPr>
                <w:sz w:val="15"/>
              </w:rPr>
            </w:pPr>
            <w:r>
              <w:rPr>
                <w:sz w:val="15"/>
              </w:rPr>
              <w:t>1.183</w:t>
            </w:r>
          </w:p>
        </w:tc>
        <w:tc>
          <w:tcPr>
            <w:tcW w:w="1342" w:type="dxa"/>
          </w:tcPr>
          <w:p>
            <w:pPr>
              <w:pStyle w:val="TableParagraph"/>
              <w:spacing w:before="5"/>
              <w:ind w:left="680"/>
              <w:jc w:val="left"/>
              <w:rPr>
                <w:sz w:val="15"/>
              </w:rPr>
            </w:pPr>
            <w:r>
              <w:rPr>
                <w:sz w:val="15"/>
              </w:rPr>
              <w:t>$1,000</w:t>
            </w:r>
          </w:p>
        </w:tc>
        <w:tc>
          <w:tcPr>
            <w:tcW w:w="613" w:type="dxa"/>
          </w:tcPr>
          <w:p>
            <w:pPr>
              <w:pStyle w:val="TableParagraph"/>
              <w:spacing w:before="5"/>
              <w:ind w:right="31"/>
              <w:rPr>
                <w:sz w:val="15"/>
              </w:rPr>
            </w:pPr>
            <w:r>
              <w:rPr>
                <w:sz w:val="15"/>
              </w:rPr>
              <w:t>1%</w:t>
            </w:r>
          </w:p>
        </w:tc>
      </w:tr>
      <w:tr>
        <w:trPr>
          <w:trHeight w:val="190" w:hRule="exact"/>
        </w:trPr>
        <w:tc>
          <w:tcPr>
            <w:tcW w:w="4864" w:type="dxa"/>
          </w:tcPr>
          <w:p>
            <w:pPr>
              <w:pStyle w:val="TableParagraph"/>
              <w:spacing w:before="5"/>
              <w:ind w:left="657"/>
              <w:jc w:val="left"/>
              <w:rPr>
                <w:sz w:val="15"/>
              </w:rPr>
            </w:pPr>
            <w:r>
              <w:rPr>
                <w:sz w:val="15"/>
              </w:rPr>
              <w:t>$2,000,000/$4,000,000</w:t>
            </w:r>
          </w:p>
        </w:tc>
        <w:tc>
          <w:tcPr>
            <w:tcW w:w="2243" w:type="dxa"/>
          </w:tcPr>
          <w:p>
            <w:pPr>
              <w:pStyle w:val="TableParagraph"/>
              <w:spacing w:before="5"/>
              <w:ind w:right="436"/>
              <w:rPr>
                <w:sz w:val="15"/>
              </w:rPr>
            </w:pPr>
            <w:r>
              <w:rPr>
                <w:sz w:val="15"/>
              </w:rPr>
              <w:t>1.372</w:t>
            </w:r>
          </w:p>
        </w:tc>
        <w:tc>
          <w:tcPr>
            <w:tcW w:w="1342" w:type="dxa"/>
          </w:tcPr>
          <w:p>
            <w:pPr>
              <w:pStyle w:val="TableParagraph"/>
              <w:spacing w:before="5"/>
              <w:ind w:left="680"/>
              <w:jc w:val="left"/>
              <w:rPr>
                <w:sz w:val="15"/>
              </w:rPr>
            </w:pPr>
            <w:r>
              <w:rPr>
                <w:sz w:val="15"/>
              </w:rPr>
              <w:t>$2,500</w:t>
            </w:r>
          </w:p>
        </w:tc>
        <w:tc>
          <w:tcPr>
            <w:tcW w:w="613" w:type="dxa"/>
          </w:tcPr>
          <w:p>
            <w:pPr>
              <w:pStyle w:val="TableParagraph"/>
              <w:spacing w:before="5"/>
              <w:ind w:right="33"/>
              <w:rPr>
                <w:sz w:val="15"/>
              </w:rPr>
            </w:pPr>
            <w:r>
              <w:rPr>
                <w:sz w:val="15"/>
              </w:rPr>
              <w:t>2.5%</w:t>
            </w:r>
          </w:p>
        </w:tc>
      </w:tr>
      <w:tr>
        <w:trPr>
          <w:trHeight w:val="190" w:hRule="exact"/>
        </w:trPr>
        <w:tc>
          <w:tcPr>
            <w:tcW w:w="4864" w:type="dxa"/>
          </w:tcPr>
          <w:p>
            <w:pPr>
              <w:pStyle w:val="TableParagraph"/>
              <w:spacing w:before="5"/>
              <w:ind w:left="657"/>
              <w:jc w:val="left"/>
              <w:rPr>
                <w:sz w:val="15"/>
              </w:rPr>
            </w:pPr>
            <w:r>
              <w:rPr>
                <w:sz w:val="15"/>
              </w:rPr>
              <w:t>$3,000,000/$3,000,000</w:t>
            </w:r>
          </w:p>
        </w:tc>
        <w:tc>
          <w:tcPr>
            <w:tcW w:w="2243" w:type="dxa"/>
          </w:tcPr>
          <w:p>
            <w:pPr>
              <w:pStyle w:val="TableParagraph"/>
              <w:spacing w:before="5"/>
              <w:ind w:right="436"/>
              <w:rPr>
                <w:sz w:val="15"/>
              </w:rPr>
            </w:pPr>
            <w:r>
              <w:rPr>
                <w:sz w:val="15"/>
              </w:rPr>
              <w:t>1.326</w:t>
            </w:r>
          </w:p>
        </w:tc>
        <w:tc>
          <w:tcPr>
            <w:tcW w:w="1342" w:type="dxa"/>
          </w:tcPr>
          <w:p>
            <w:pPr>
              <w:pStyle w:val="TableParagraph"/>
              <w:spacing w:before="5"/>
              <w:ind w:left="680"/>
              <w:jc w:val="left"/>
              <w:rPr>
                <w:sz w:val="15"/>
              </w:rPr>
            </w:pPr>
            <w:r>
              <w:rPr>
                <w:sz w:val="15"/>
              </w:rPr>
              <w:t>$5,000</w:t>
            </w:r>
          </w:p>
        </w:tc>
        <w:tc>
          <w:tcPr>
            <w:tcW w:w="613" w:type="dxa"/>
          </w:tcPr>
          <w:p>
            <w:pPr>
              <w:pStyle w:val="TableParagraph"/>
              <w:spacing w:before="5"/>
              <w:ind w:right="31"/>
              <w:rPr>
                <w:sz w:val="15"/>
              </w:rPr>
            </w:pPr>
            <w:r>
              <w:rPr>
                <w:sz w:val="15"/>
              </w:rPr>
              <w:t>5%</w:t>
            </w:r>
          </w:p>
        </w:tc>
      </w:tr>
      <w:tr>
        <w:trPr>
          <w:trHeight w:val="190" w:hRule="exact"/>
        </w:trPr>
        <w:tc>
          <w:tcPr>
            <w:tcW w:w="4864" w:type="dxa"/>
          </w:tcPr>
          <w:p>
            <w:pPr>
              <w:pStyle w:val="TableParagraph"/>
              <w:spacing w:before="5"/>
              <w:ind w:left="657"/>
              <w:jc w:val="left"/>
              <w:rPr>
                <w:sz w:val="15"/>
              </w:rPr>
            </w:pPr>
            <w:r>
              <w:rPr>
                <w:sz w:val="15"/>
              </w:rPr>
              <w:t>$3,000,000/$5,000,000</w:t>
            </w:r>
          </w:p>
        </w:tc>
        <w:tc>
          <w:tcPr>
            <w:tcW w:w="2243" w:type="dxa"/>
          </w:tcPr>
          <w:p>
            <w:pPr>
              <w:pStyle w:val="TableParagraph"/>
              <w:spacing w:before="5"/>
              <w:ind w:right="436"/>
              <w:rPr>
                <w:sz w:val="15"/>
              </w:rPr>
            </w:pPr>
            <w:r>
              <w:rPr>
                <w:sz w:val="15"/>
              </w:rPr>
              <w:t>1.486</w:t>
            </w:r>
          </w:p>
        </w:tc>
        <w:tc>
          <w:tcPr>
            <w:tcW w:w="1342" w:type="dxa"/>
          </w:tcPr>
          <w:p>
            <w:pPr>
              <w:pStyle w:val="TableParagraph"/>
              <w:spacing w:before="5"/>
              <w:ind w:left="603"/>
              <w:jc w:val="left"/>
              <w:rPr>
                <w:sz w:val="15"/>
              </w:rPr>
            </w:pPr>
            <w:r>
              <w:rPr>
                <w:sz w:val="15"/>
              </w:rPr>
              <w:t>$10,000</w:t>
            </w:r>
          </w:p>
        </w:tc>
        <w:tc>
          <w:tcPr>
            <w:tcW w:w="613" w:type="dxa"/>
          </w:tcPr>
          <w:p>
            <w:pPr>
              <w:pStyle w:val="TableParagraph"/>
              <w:spacing w:before="5"/>
              <w:ind w:right="32"/>
              <w:rPr>
                <w:sz w:val="15"/>
              </w:rPr>
            </w:pPr>
            <w:r>
              <w:rPr>
                <w:sz w:val="15"/>
              </w:rPr>
              <w:t>10%</w:t>
            </w:r>
          </w:p>
        </w:tc>
      </w:tr>
      <w:tr>
        <w:trPr>
          <w:trHeight w:val="190" w:hRule="exact"/>
        </w:trPr>
        <w:tc>
          <w:tcPr>
            <w:tcW w:w="4864" w:type="dxa"/>
          </w:tcPr>
          <w:p>
            <w:pPr>
              <w:pStyle w:val="TableParagraph"/>
              <w:spacing w:before="5"/>
              <w:ind w:left="657"/>
              <w:jc w:val="left"/>
              <w:rPr>
                <w:sz w:val="15"/>
              </w:rPr>
            </w:pPr>
            <w:r>
              <w:rPr>
                <w:sz w:val="15"/>
              </w:rPr>
              <w:t>$4,000,000/$4,000,000</w:t>
            </w:r>
          </w:p>
        </w:tc>
        <w:tc>
          <w:tcPr>
            <w:tcW w:w="2243" w:type="dxa"/>
          </w:tcPr>
          <w:p>
            <w:pPr>
              <w:pStyle w:val="TableParagraph"/>
              <w:spacing w:before="5"/>
              <w:ind w:right="436"/>
              <w:rPr>
                <w:sz w:val="15"/>
              </w:rPr>
            </w:pPr>
            <w:r>
              <w:rPr>
                <w:sz w:val="15"/>
              </w:rPr>
              <w:t>1.444</w:t>
            </w:r>
          </w:p>
        </w:tc>
        <w:tc>
          <w:tcPr>
            <w:tcW w:w="1342" w:type="dxa"/>
          </w:tcPr>
          <w:p>
            <w:pPr>
              <w:pStyle w:val="TableParagraph"/>
              <w:spacing w:before="5"/>
              <w:ind w:left="603"/>
              <w:jc w:val="left"/>
              <w:rPr>
                <w:sz w:val="15"/>
              </w:rPr>
            </w:pPr>
            <w:r>
              <w:rPr>
                <w:sz w:val="15"/>
              </w:rPr>
              <w:t>$25,000</w:t>
            </w:r>
          </w:p>
        </w:tc>
        <w:tc>
          <w:tcPr>
            <w:tcW w:w="613" w:type="dxa"/>
          </w:tcPr>
          <w:p>
            <w:pPr>
              <w:pStyle w:val="TableParagraph"/>
              <w:spacing w:before="5"/>
              <w:ind w:right="32"/>
              <w:rPr>
                <w:sz w:val="15"/>
              </w:rPr>
            </w:pPr>
            <w:r>
              <w:rPr>
                <w:sz w:val="15"/>
              </w:rPr>
              <w:t>15%</w:t>
            </w:r>
          </w:p>
        </w:tc>
      </w:tr>
      <w:tr>
        <w:trPr>
          <w:trHeight w:val="190" w:hRule="exact"/>
        </w:trPr>
        <w:tc>
          <w:tcPr>
            <w:tcW w:w="4864" w:type="dxa"/>
          </w:tcPr>
          <w:p>
            <w:pPr>
              <w:pStyle w:val="TableParagraph"/>
              <w:spacing w:before="5"/>
              <w:ind w:left="657"/>
              <w:jc w:val="left"/>
              <w:rPr>
                <w:sz w:val="15"/>
              </w:rPr>
            </w:pPr>
            <w:r>
              <w:rPr>
                <w:sz w:val="15"/>
              </w:rPr>
              <w:t>$4,000,000/$5,000,000</w:t>
            </w:r>
          </w:p>
        </w:tc>
        <w:tc>
          <w:tcPr>
            <w:tcW w:w="2243" w:type="dxa"/>
          </w:tcPr>
          <w:p>
            <w:pPr>
              <w:pStyle w:val="TableParagraph"/>
              <w:spacing w:before="5"/>
              <w:ind w:right="436"/>
              <w:rPr>
                <w:sz w:val="15"/>
              </w:rPr>
            </w:pPr>
            <w:r>
              <w:rPr>
                <w:sz w:val="15"/>
              </w:rPr>
              <w:t>1.511</w:t>
            </w:r>
          </w:p>
        </w:tc>
        <w:tc>
          <w:tcPr>
            <w:tcW w:w="1342" w:type="dxa"/>
          </w:tcPr>
          <w:p>
            <w:pPr>
              <w:pStyle w:val="TableParagraph"/>
              <w:spacing w:before="5"/>
              <w:ind w:left="603"/>
              <w:jc w:val="left"/>
              <w:rPr>
                <w:sz w:val="15"/>
              </w:rPr>
            </w:pPr>
            <w:r>
              <w:rPr>
                <w:sz w:val="15"/>
              </w:rPr>
              <w:t>$50,000</w:t>
            </w:r>
          </w:p>
        </w:tc>
        <w:tc>
          <w:tcPr>
            <w:tcW w:w="613" w:type="dxa"/>
          </w:tcPr>
          <w:p>
            <w:pPr>
              <w:pStyle w:val="TableParagraph"/>
              <w:spacing w:before="5"/>
              <w:ind w:right="32"/>
              <w:rPr>
                <w:sz w:val="15"/>
              </w:rPr>
            </w:pPr>
            <w:r>
              <w:rPr>
                <w:sz w:val="15"/>
              </w:rPr>
              <w:t>35%</w:t>
            </w:r>
          </w:p>
        </w:tc>
      </w:tr>
      <w:tr>
        <w:trPr>
          <w:trHeight w:val="179" w:hRule="exact"/>
        </w:trPr>
        <w:tc>
          <w:tcPr>
            <w:tcW w:w="4864" w:type="dxa"/>
          </w:tcPr>
          <w:p>
            <w:pPr>
              <w:pStyle w:val="TableParagraph"/>
              <w:spacing w:before="5"/>
              <w:ind w:left="657"/>
              <w:jc w:val="left"/>
              <w:rPr>
                <w:sz w:val="15"/>
              </w:rPr>
            </w:pPr>
            <w:r>
              <w:rPr>
                <w:sz w:val="15"/>
              </w:rPr>
              <w:t>$5,000,000/$5,000,000</w:t>
            </w:r>
          </w:p>
        </w:tc>
        <w:tc>
          <w:tcPr>
            <w:tcW w:w="2243" w:type="dxa"/>
          </w:tcPr>
          <w:p>
            <w:pPr>
              <w:pStyle w:val="TableParagraph"/>
              <w:spacing w:before="5"/>
              <w:ind w:right="436"/>
              <w:rPr>
                <w:sz w:val="15"/>
              </w:rPr>
            </w:pPr>
            <w:r>
              <w:rPr>
                <w:sz w:val="15"/>
              </w:rPr>
              <w:t>1.550</w:t>
            </w:r>
          </w:p>
        </w:tc>
        <w:tc>
          <w:tcPr>
            <w:tcW w:w="1342" w:type="dxa"/>
          </w:tcPr>
          <w:p>
            <w:pPr>
              <w:pStyle w:val="TableParagraph"/>
              <w:spacing w:before="5"/>
              <w:ind w:left="527"/>
              <w:jc w:val="left"/>
              <w:rPr>
                <w:sz w:val="15"/>
              </w:rPr>
            </w:pPr>
            <w:r>
              <w:rPr>
                <w:sz w:val="15"/>
              </w:rPr>
              <w:t>$100,000</w:t>
            </w:r>
          </w:p>
        </w:tc>
        <w:tc>
          <w:tcPr>
            <w:tcW w:w="613" w:type="dxa"/>
          </w:tcPr>
          <w:p>
            <w:pPr>
              <w:pStyle w:val="TableParagraph"/>
              <w:spacing w:before="5"/>
              <w:ind w:right="32"/>
              <w:rPr>
                <w:sz w:val="15"/>
              </w:rPr>
            </w:pPr>
            <w:r>
              <w:rPr>
                <w:sz w:val="15"/>
              </w:rPr>
              <w:t>50%</w:t>
            </w:r>
          </w:p>
        </w:tc>
      </w:tr>
    </w:tbl>
    <w:p>
      <w:pPr>
        <w:pStyle w:val="BodyText"/>
        <w:spacing w:before="10"/>
        <w:rPr>
          <w:sz w:val="17"/>
        </w:rPr>
      </w:pPr>
    </w:p>
    <w:p>
      <w:pPr>
        <w:pStyle w:val="Heading1"/>
        <w:numPr>
          <w:ilvl w:val="0"/>
          <w:numId w:val="2"/>
        </w:numPr>
        <w:tabs>
          <w:tab w:pos="448" w:val="left" w:leader="none"/>
        </w:tabs>
        <w:spacing w:line="240" w:lineRule="auto" w:before="1" w:after="0"/>
        <w:ind w:left="448" w:right="0" w:hanging="312"/>
        <w:jc w:val="left"/>
      </w:pPr>
      <w:r>
        <w:rPr>
          <w:u w:val="single"/>
        </w:rPr>
        <w:t>CLAIMS MADE CONVERSION FACTORS &amp; EXTENDED REPORTING </w:t>
      </w:r>
      <w:r>
        <w:rPr>
          <w:spacing w:val="3"/>
          <w:u w:val="single"/>
        </w:rPr>
        <w:t> </w:t>
      </w:r>
      <w:r>
        <w:rPr>
          <w:u w:val="single"/>
        </w:rPr>
        <w:t>PERIOD</w:t>
      </w:r>
    </w:p>
    <w:p>
      <w:pPr>
        <w:pStyle w:val="ListParagraph"/>
        <w:numPr>
          <w:ilvl w:val="1"/>
          <w:numId w:val="2"/>
        </w:numPr>
        <w:tabs>
          <w:tab w:pos="895" w:val="left" w:leader="none"/>
          <w:tab w:pos="5209" w:val="left" w:leader="none"/>
          <w:tab w:pos="6507" w:val="left" w:leader="none"/>
        </w:tabs>
        <w:spacing w:line="264" w:lineRule="auto" w:before="17" w:after="0"/>
        <w:ind w:left="4283" w:right="4892" w:hanging="3523"/>
        <w:jc w:val="left"/>
        <w:rPr>
          <w:sz w:val="15"/>
        </w:rPr>
      </w:pPr>
      <w:r>
        <w:rPr>
          <w:b/>
          <w:sz w:val="15"/>
          <w:u w:val="single"/>
        </w:rPr>
        <w:t>Claims</w:t>
      </w:r>
      <w:r>
        <w:rPr>
          <w:b/>
          <w:spacing w:val="5"/>
          <w:sz w:val="15"/>
          <w:u w:val="single"/>
        </w:rPr>
        <w:t> </w:t>
      </w:r>
      <w:r>
        <w:rPr>
          <w:b/>
          <w:sz w:val="15"/>
          <w:u w:val="single"/>
        </w:rPr>
        <w:t>Made</w:t>
      </w:r>
      <w:r>
        <w:rPr>
          <w:b/>
          <w:spacing w:val="5"/>
          <w:sz w:val="15"/>
          <w:u w:val="single"/>
        </w:rPr>
        <w:t> </w:t>
      </w:r>
      <w:r>
        <w:rPr>
          <w:b/>
          <w:sz w:val="15"/>
          <w:u w:val="single"/>
        </w:rPr>
        <w:t>Factors</w:t>
      </w:r>
      <w:r>
        <w:rPr>
          <w:b/>
          <w:sz w:val="15"/>
        </w:rPr>
        <w:tab/>
        <w:tab/>
      </w:r>
      <w:r>
        <w:rPr>
          <w:sz w:val="15"/>
          <w:u w:val="single"/>
        </w:rPr>
        <w:t>% of</w:t>
      </w:r>
      <w:r>
        <w:rPr>
          <w:spacing w:val="7"/>
          <w:sz w:val="15"/>
          <w:u w:val="single"/>
        </w:rPr>
        <w:t> </w:t>
      </w:r>
      <w:r>
        <w:rPr>
          <w:sz w:val="15"/>
          <w:u w:val="single"/>
        </w:rPr>
        <w:t>Occurrence</w:t>
      </w:r>
      <w:r>
        <w:rPr>
          <w:spacing w:val="3"/>
          <w:sz w:val="15"/>
          <w:u w:val="single"/>
        </w:rPr>
        <w:t> </w:t>
      </w:r>
      <w:r>
        <w:rPr>
          <w:sz w:val="15"/>
          <w:u w:val="single"/>
        </w:rPr>
        <w:t>Premium</w:t>
      </w:r>
      <w:r>
        <w:rPr>
          <w:w w:val="100"/>
          <w:sz w:val="15"/>
        </w:rPr>
        <w:t> </w:t>
      </w:r>
      <w:r>
        <w:rPr>
          <w:sz w:val="15"/>
        </w:rPr>
        <w:t>1 year</w:t>
        <w:tab/>
        <w:tab/>
        <w:t>0.55</w:t>
      </w:r>
    </w:p>
    <w:p>
      <w:pPr>
        <w:pStyle w:val="BodyText"/>
        <w:tabs>
          <w:tab w:pos="2224" w:val="left" w:leader="none"/>
        </w:tabs>
        <w:ind w:right="662"/>
        <w:jc w:val="center"/>
      </w:pPr>
      <w:r>
        <w:rPr/>
        <w:t>2 year</w:t>
        <w:tab/>
        <w:t>0.79</w:t>
      </w:r>
    </w:p>
    <w:p>
      <w:pPr>
        <w:pStyle w:val="BodyText"/>
        <w:tabs>
          <w:tab w:pos="2224" w:val="left" w:leader="none"/>
        </w:tabs>
        <w:spacing w:before="16"/>
        <w:ind w:right="662"/>
        <w:jc w:val="center"/>
      </w:pPr>
      <w:r>
        <w:rPr/>
        <w:t>3 year</w:t>
        <w:tab/>
        <w:t>0.91</w:t>
      </w:r>
    </w:p>
    <w:p>
      <w:pPr>
        <w:pStyle w:val="BodyText"/>
        <w:tabs>
          <w:tab w:pos="2224" w:val="left" w:leader="none"/>
        </w:tabs>
        <w:spacing w:before="16"/>
        <w:ind w:right="662"/>
        <w:jc w:val="center"/>
      </w:pPr>
      <w:r>
        <w:rPr/>
        <w:t>4 year</w:t>
        <w:tab/>
        <w:t>0.96</w:t>
      </w:r>
    </w:p>
    <w:p>
      <w:pPr>
        <w:pStyle w:val="BodyText"/>
        <w:tabs>
          <w:tab w:pos="2224" w:val="left" w:leader="none"/>
        </w:tabs>
        <w:spacing w:before="16"/>
        <w:ind w:right="662"/>
        <w:jc w:val="center"/>
      </w:pPr>
      <w:r>
        <w:rPr/>
        <w:t>5 year</w:t>
        <w:tab/>
        <w:t>0.98</w:t>
      </w:r>
    </w:p>
    <w:p>
      <w:pPr>
        <w:pStyle w:val="ListParagraph"/>
        <w:numPr>
          <w:ilvl w:val="1"/>
          <w:numId w:val="2"/>
        </w:numPr>
        <w:tabs>
          <w:tab w:pos="954" w:val="left" w:leader="none"/>
        </w:tabs>
        <w:spacing w:line="240" w:lineRule="auto" w:before="206" w:after="0"/>
        <w:ind w:left="953" w:right="0" w:hanging="193"/>
        <w:jc w:val="left"/>
        <w:rPr>
          <w:b/>
          <w:sz w:val="15"/>
        </w:rPr>
      </w:pPr>
      <w:r>
        <w:rPr>
          <w:b/>
          <w:sz w:val="15"/>
          <w:u w:val="single"/>
        </w:rPr>
        <w:t>Extended Reporting Period</w:t>
      </w:r>
      <w:r>
        <w:rPr>
          <w:b/>
          <w:spacing w:val="20"/>
          <w:sz w:val="15"/>
          <w:u w:val="single"/>
        </w:rPr>
        <w:t> </w:t>
      </w:r>
      <w:r>
        <w:rPr>
          <w:b/>
          <w:sz w:val="15"/>
          <w:u w:val="single"/>
        </w:rPr>
        <w:t>Endorsement</w:t>
      </w:r>
    </w:p>
    <w:p>
      <w:pPr>
        <w:pStyle w:val="BodyText"/>
        <w:spacing w:line="264" w:lineRule="auto" w:before="17"/>
        <w:ind w:left="760" w:right="7543"/>
      </w:pPr>
      <w:r>
        <w:rPr/>
        <w:t>One Year Option at 55% of mature claims made rate Two Year Option at 85% of mature claims made rate Three Year Option at 100% of mature claims made rate Unlimited Option  at 110% of mature claims made rate</w:t>
      </w:r>
    </w:p>
    <w:p>
      <w:pPr>
        <w:spacing w:after="0" w:line="264" w:lineRule="auto"/>
        <w:sectPr>
          <w:type w:val="continuous"/>
          <w:pgSz w:w="12240" w:h="15840"/>
          <w:pgMar w:top="1020" w:bottom="0" w:left="260" w:right="260"/>
        </w:sect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5"/>
        <w:rPr>
          <w:sz w:val="16"/>
        </w:rPr>
      </w:pPr>
    </w:p>
    <w:p>
      <w:pPr>
        <w:pStyle w:val="BodyText"/>
        <w:ind w:left="4021"/>
      </w:pPr>
      <w:r>
        <w:rPr/>
        <w:t>rs.</w:t>
      </w:r>
    </w:p>
    <w:p>
      <w:pPr>
        <w:pStyle w:val="BodyText"/>
        <w:rPr>
          <w:sz w:val="16"/>
        </w:rPr>
      </w:pPr>
    </w:p>
    <w:p>
      <w:pPr>
        <w:pStyle w:val="BodyText"/>
        <w:spacing w:before="4"/>
        <w:rPr>
          <w:sz w:val="18"/>
        </w:rPr>
      </w:pPr>
    </w:p>
    <w:p>
      <w:pPr>
        <w:pStyle w:val="BodyText"/>
        <w:spacing w:line="264" w:lineRule="auto"/>
        <w:ind w:left="3979" w:right="5108" w:hanging="1"/>
      </w:pPr>
      <w:r>
        <w:rPr/>
        <w:t>ngaged Care.</w:t>
      </w:r>
    </w:p>
    <w:sectPr>
      <w:pgSz w:w="12240" w:h="15840"/>
      <w:pgMar w:header="0" w:footer="0" w:top="1500" w:bottom="180" w:left="172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2.640472pt;margin-top:781.036865pt;width:26pt;height:10.45pt;mso-position-horizontal-relative:page;mso-position-vertical-relative:page;z-index:-16336" type="#_x0000_t202" filled="false" stroked="false">
          <v:textbox inset="0,0,0,0">
            <w:txbxContent>
              <w:p>
                <w:pPr>
                  <w:pStyle w:val="BodyText"/>
                  <w:spacing w:before="16"/>
                  <w:ind w:left="20"/>
                  <w:rPr>
                    <w:rFonts w:ascii="Arial"/>
                  </w:rPr>
                </w:pPr>
                <w:r>
                  <w:rPr>
                    <w:rFonts w:ascii="Arial"/>
                  </w:rPr>
                  <w:t>Page 2</w:t>
                </w:r>
              </w:p>
            </w:txbxContent>
          </v:textbox>
          <w10:wrap type="none"/>
        </v:shape>
      </w:pict>
    </w:r>
    <w:r>
      <w:rPr/>
      <w:pict>
        <v:shape style="position:absolute;margin-left:506.84021pt;margin-top:781.036865pt;width:51.2pt;height:10.45pt;mso-position-horizontal-relative:page;mso-position-vertical-relative:page;z-index:-16312" type="#_x0000_t202" filled="false" stroked="false">
          <v:textbox inset="0,0,0,0">
            <w:txbxContent>
              <w:p>
                <w:pPr>
                  <w:pStyle w:val="BodyText"/>
                  <w:spacing w:before="16"/>
                  <w:ind w:left="20"/>
                  <w:rPr>
                    <w:rFonts w:ascii="Arial"/>
                  </w:rPr>
                </w:pPr>
                <w:r>
                  <w:rPr>
                    <w:rFonts w:ascii="Arial"/>
                  </w:rPr>
                  <w:t>Rev 6/15/2009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7"/>
      <w:numFmt w:val="upperRoman"/>
      <w:lvlText w:val="%1."/>
      <w:lvlJc w:val="left"/>
      <w:pPr>
        <w:ind w:left="448" w:hanging="312"/>
        <w:jc w:val="left"/>
      </w:pPr>
      <w:rPr>
        <w:rFonts w:hint="default" w:ascii="Times New Roman" w:hAnsi="Times New Roman" w:eastAsia="Times New Roman" w:cs="Times New Roman"/>
        <w:w w:val="100"/>
        <w:sz w:val="15"/>
        <w:szCs w:val="15"/>
      </w:rPr>
    </w:lvl>
    <w:lvl w:ilvl="1">
      <w:start w:val="1"/>
      <w:numFmt w:val="upperRoman"/>
      <w:lvlText w:val="%2."/>
      <w:lvlJc w:val="left"/>
      <w:pPr>
        <w:ind w:left="4283" w:hanging="135"/>
        <w:jc w:val="left"/>
      </w:pPr>
      <w:rPr>
        <w:rFonts w:hint="default"/>
        <w:w w:val="100"/>
        <w:u w:val="single" w:color="000000"/>
      </w:rPr>
    </w:lvl>
    <w:lvl w:ilvl="2">
      <w:start w:val="0"/>
      <w:numFmt w:val="bullet"/>
      <w:lvlText w:val="•"/>
      <w:lvlJc w:val="left"/>
      <w:pPr>
        <w:ind w:left="5106" w:hanging="135"/>
      </w:pPr>
      <w:rPr>
        <w:rFonts w:hint="default"/>
      </w:rPr>
    </w:lvl>
    <w:lvl w:ilvl="3">
      <w:start w:val="0"/>
      <w:numFmt w:val="bullet"/>
      <w:lvlText w:val="•"/>
      <w:lvlJc w:val="left"/>
      <w:pPr>
        <w:ind w:left="5933" w:hanging="135"/>
      </w:pPr>
      <w:rPr>
        <w:rFonts w:hint="default"/>
      </w:rPr>
    </w:lvl>
    <w:lvl w:ilvl="4">
      <w:start w:val="0"/>
      <w:numFmt w:val="bullet"/>
      <w:lvlText w:val="•"/>
      <w:lvlJc w:val="left"/>
      <w:pPr>
        <w:ind w:left="6760" w:hanging="135"/>
      </w:pPr>
      <w:rPr>
        <w:rFonts w:hint="default"/>
      </w:rPr>
    </w:lvl>
    <w:lvl w:ilvl="5">
      <w:start w:val="0"/>
      <w:numFmt w:val="bullet"/>
      <w:lvlText w:val="•"/>
      <w:lvlJc w:val="left"/>
      <w:pPr>
        <w:ind w:left="7586" w:hanging="135"/>
      </w:pPr>
      <w:rPr>
        <w:rFonts w:hint="default"/>
      </w:rPr>
    </w:lvl>
    <w:lvl w:ilvl="6">
      <w:start w:val="0"/>
      <w:numFmt w:val="bullet"/>
      <w:lvlText w:val="•"/>
      <w:lvlJc w:val="left"/>
      <w:pPr>
        <w:ind w:left="8413" w:hanging="135"/>
      </w:pPr>
      <w:rPr>
        <w:rFonts w:hint="default"/>
      </w:rPr>
    </w:lvl>
    <w:lvl w:ilvl="7">
      <w:start w:val="0"/>
      <w:numFmt w:val="bullet"/>
      <w:lvlText w:val="•"/>
      <w:lvlJc w:val="left"/>
      <w:pPr>
        <w:ind w:left="9240" w:hanging="135"/>
      </w:pPr>
      <w:rPr>
        <w:rFonts w:hint="default"/>
      </w:rPr>
    </w:lvl>
    <w:lvl w:ilvl="8">
      <w:start w:val="0"/>
      <w:numFmt w:val="bullet"/>
      <w:lvlText w:val="•"/>
      <w:lvlJc w:val="left"/>
      <w:pPr>
        <w:ind w:left="10066" w:hanging="135"/>
      </w:pPr>
      <w:rPr>
        <w:rFonts w:hint="default"/>
      </w:rPr>
    </w:lvl>
  </w:abstractNum>
  <w:abstractNum w:abstractNumId="0">
    <w:multiLevelType w:val="hybridMultilevel"/>
    <w:lvl w:ilvl="0">
      <w:start w:val="1"/>
      <w:numFmt w:val="upperRoman"/>
      <w:lvlText w:val="%1."/>
      <w:lvlJc w:val="left"/>
      <w:pPr>
        <w:ind w:left="286" w:hanging="120"/>
        <w:jc w:val="left"/>
      </w:pPr>
      <w:rPr>
        <w:rFonts w:hint="default"/>
        <w:w w:val="101"/>
      </w:rPr>
    </w:lvl>
    <w:lvl w:ilvl="1">
      <w:start w:val="1"/>
      <w:numFmt w:val="upperLetter"/>
      <w:lvlText w:val="%2."/>
      <w:lvlJc w:val="left"/>
      <w:pPr>
        <w:ind w:left="759" w:hanging="312"/>
        <w:jc w:val="left"/>
      </w:pPr>
      <w:rPr>
        <w:rFonts w:hint="default"/>
        <w:b/>
        <w:bCs/>
        <w:w w:val="100"/>
      </w:rPr>
    </w:lvl>
    <w:lvl w:ilvl="2">
      <w:start w:val="1"/>
      <w:numFmt w:val="decimal"/>
      <w:lvlText w:val="%3."/>
      <w:lvlJc w:val="left"/>
      <w:pPr>
        <w:ind w:left="4708" w:hanging="152"/>
        <w:jc w:val="left"/>
      </w:pPr>
      <w:rPr>
        <w:rFonts w:hint="default"/>
        <w:w w:val="100"/>
      </w:rPr>
    </w:lvl>
    <w:lvl w:ilvl="3">
      <w:start w:val="0"/>
      <w:numFmt w:val="bullet"/>
      <w:lvlText w:val="•"/>
      <w:lvlJc w:val="left"/>
      <w:pPr>
        <w:ind w:left="620" w:hanging="152"/>
      </w:pPr>
      <w:rPr>
        <w:rFonts w:hint="default"/>
      </w:rPr>
    </w:lvl>
    <w:lvl w:ilvl="4">
      <w:start w:val="0"/>
      <w:numFmt w:val="bullet"/>
      <w:lvlText w:val="•"/>
      <w:lvlJc w:val="left"/>
      <w:pPr>
        <w:ind w:left="760" w:hanging="152"/>
      </w:pPr>
      <w:rPr>
        <w:rFonts w:hint="default"/>
      </w:rPr>
    </w:lvl>
    <w:lvl w:ilvl="5">
      <w:start w:val="0"/>
      <w:numFmt w:val="bullet"/>
      <w:lvlText w:val="•"/>
      <w:lvlJc w:val="left"/>
      <w:pPr>
        <w:ind w:left="4700" w:hanging="152"/>
      </w:pPr>
      <w:rPr>
        <w:rFonts w:hint="default"/>
      </w:rPr>
    </w:lvl>
    <w:lvl w:ilvl="6">
      <w:start w:val="0"/>
      <w:numFmt w:val="bullet"/>
      <w:lvlText w:val="•"/>
      <w:lvlJc w:val="left"/>
      <w:pPr>
        <w:ind w:left="5704" w:hanging="152"/>
      </w:pPr>
      <w:rPr>
        <w:rFonts w:hint="default"/>
      </w:rPr>
    </w:lvl>
    <w:lvl w:ilvl="7">
      <w:start w:val="0"/>
      <w:numFmt w:val="bullet"/>
      <w:lvlText w:val="•"/>
      <w:lvlJc w:val="left"/>
      <w:pPr>
        <w:ind w:left="6708" w:hanging="152"/>
      </w:pPr>
      <w:rPr>
        <w:rFonts w:hint="default"/>
      </w:rPr>
    </w:lvl>
    <w:lvl w:ilvl="8">
      <w:start w:val="0"/>
      <w:numFmt w:val="bullet"/>
      <w:lvlText w:val="•"/>
      <w:lvlJc w:val="left"/>
      <w:pPr>
        <w:ind w:left="7712" w:hanging="152"/>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5"/>
      <w:szCs w:val="15"/>
    </w:rPr>
  </w:style>
  <w:style w:styleId="Heading1" w:type="paragraph">
    <w:name w:val="Heading 1"/>
    <w:basedOn w:val="Normal"/>
    <w:uiPriority w:val="1"/>
    <w:qFormat/>
    <w:pPr>
      <w:ind w:left="448" w:hanging="312"/>
      <w:outlineLvl w:val="1"/>
    </w:pPr>
    <w:rPr>
      <w:rFonts w:ascii="Times New Roman" w:hAnsi="Times New Roman" w:eastAsia="Times New Roman" w:cs="Times New Roman"/>
      <w:b/>
      <w:bCs/>
      <w:sz w:val="15"/>
      <w:szCs w:val="15"/>
    </w:rPr>
  </w:style>
  <w:style w:styleId="ListParagraph" w:type="paragraph">
    <w:name w:val="List Paragraph"/>
    <w:basedOn w:val="Normal"/>
    <w:uiPriority w:val="1"/>
    <w:qFormat/>
    <w:pPr>
      <w:ind w:left="448" w:hanging="312"/>
    </w:pPr>
    <w:rPr>
      <w:rFonts w:ascii="Times New Roman" w:hAnsi="Times New Roman" w:eastAsia="Times New Roman" w:cs="Times New Roman"/>
    </w:rPr>
  </w:style>
  <w:style w:styleId="TableParagraph" w:type="paragraph">
    <w:name w:val="Table Paragraph"/>
    <w:basedOn w:val="Normal"/>
    <w:uiPriority w:val="1"/>
    <w:qFormat/>
    <w:pPr>
      <w:spacing w:before="3"/>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OR-Rate Page-06-2009.xls</dc:title>
  <dcterms:created xsi:type="dcterms:W3CDTF">2017-09-29T14:22:44Z</dcterms:created>
  <dcterms:modified xsi:type="dcterms:W3CDTF">2017-09-29T14:22:44Z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2010-10-11T00:00:00Z</vt:filetime>
  </property>
  <property fmtid="{D5CDD505-2E9C-101B-9397-08002B2CF9AE}" pid="3" name="Creator">
    <vt:lpwstr>PScript5.dll Version 5.2.2</vt:lpwstr>
  </property>
  <property fmtid="{D5CDD505-2E9C-101B-9397-08002B2CF9AE}" pid="4" name="LastSaved">
    <vt:filetime>2017-09-29T00:00:00Z</vt:filetime>
  </property>
</Properties>
</file>