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4436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WYOMING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spacing w:before="11"/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spacing w:before="11"/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$1,976</w:t>
              <w:tab/>
              <w:t>$2,331</w:t>
              <w:tab/>
              <w:t>$2,529</w:t>
              <w:tab/>
              <w:t>$2,885</w:t>
              <w:tab/>
              <w:t>$3,062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$139</w:t>
              <w:tab/>
              <w:t>$164</w:t>
              <w:tab/>
              <w:t>$177</w:t>
              <w:tab/>
              <w:t>$202</w:t>
              <w:tab/>
              <w:t>$215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$102</w:t>
              <w:tab/>
              <w:t>$121</w:t>
              <w:tab/>
              <w:t>$131</w:t>
              <w:tab/>
              <w:t>$149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$165</w:t>
              <w:tab/>
              <w:t>$194</w:t>
              <w:tab/>
              <w:t>$211</w:t>
              <w:tab/>
              <w:t>$241</w:t>
              <w:tab/>
              <w:t>$255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$221</w:t>
              <w:tab/>
              <w:t>$260</w:t>
              <w:tab/>
              <w:t>$282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$272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$324</w:t>
              <w:tab/>
              <w:t>$383</w:t>
              <w:tab/>
              <w:t>$415</w:t>
              <w:tab/>
              <w:t>$474</w:t>
              <w:tab/>
              <w:t>$503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$484</w:t>
              <w:tab/>
              <w:t>$571</w:t>
              <w:tab/>
              <w:t>$619</w:t>
              <w:tab/>
              <w:t>$706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$630</w:t>
              <w:tab/>
              <w:t>$743</w:t>
              <w:tab/>
              <w:t>$806</w:t>
              <w:tab/>
              <w:t>$920</w:t>
              <w:tab/>
              <w:t>$976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$1,037</w:t>
              <w:tab/>
              <w:t>$1,223</w:t>
              <w:tab/>
              <w:t>$1,327</w:t>
              <w:tab/>
              <w:t>$1,514</w:t>
              <w:tab/>
              <w:t>$1,607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$1,358</w:t>
              <w:tab/>
              <w:t>$1,603</w:t>
              <w:tab/>
              <w:t>$1,739</w:t>
              <w:tab/>
              <w:t>$1,984</w:t>
              <w:tab/>
              <w:t>$2,105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$371</w:t>
              <w:tab/>
              <w:t>$438</w:t>
              <w:tab/>
              <w:t>$475</w:t>
              <w:tab/>
              <w:t>$542</w:t>
              <w:tab/>
              <w:t>$575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ind w:left="0"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ind w:left="0"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$28,916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$21,852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$40,198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$37,034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$36,613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$34,238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spacing w:before="11"/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$14,563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1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1"/>
              <w:ind w:left="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spacing w:before="11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76" w:lineRule="auto" w:before="82"/>
        <w:ind w:left="5288" w:right="1572" w:hanging="2705"/>
        <w:jc w:val="left"/>
        <w:rPr>
          <w:b/>
          <w:sz w:val="21"/>
        </w:rPr>
      </w:pPr>
      <w:bookmarkStart w:name="Rate Page  Page 2" w:id="2"/>
      <w:bookmarkEnd w:id="2"/>
      <w:r>
        <w:rPr/>
      </w:r>
      <w:r>
        <w:rPr>
          <w:b/>
          <w:sz w:val="21"/>
        </w:rPr>
        <w:t>HEALTHCARE AGENCY PROFESSIONAL LIABILITY PROGRAM WYOMING</w:t>
      </w:r>
    </w:p>
    <w:p>
      <w:pPr>
        <w:pStyle w:val="Heading1"/>
        <w:numPr>
          <w:ilvl w:val="0"/>
          <w:numId w:val="1"/>
        </w:numPr>
        <w:tabs>
          <w:tab w:pos="448" w:val="left" w:leader="none"/>
        </w:tabs>
        <w:spacing w:line="165" w:lineRule="exact" w:before="0" w:after="0"/>
        <w:ind w:left="447" w:right="0" w:hanging="311"/>
        <w:jc w:val="left"/>
      </w:pPr>
      <w:r>
        <w:rPr>
          <w:u w:val="single"/>
        </w:rPr>
        <w:t>SURCHARGES, CREDITS AND</w:t>
      </w:r>
      <w:r>
        <w:rPr>
          <w:spacing w:val="20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60" w:val="left" w:leader="none"/>
        </w:tabs>
        <w:spacing w:line="240" w:lineRule="auto" w:before="0" w:after="0"/>
        <w:ind w:left="759" w:right="0" w:hanging="312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912" w:val="left" w:leader="none"/>
          <w:tab w:pos="4707" w:val="left" w:leader="none"/>
        </w:tabs>
        <w:spacing w:line="264" w:lineRule="auto" w:before="17" w:after="0"/>
        <w:ind w:left="4707" w:right="1038" w:hanging="3948"/>
        <w:jc w:val="left"/>
        <w:rPr>
          <w:sz w:val="15"/>
        </w:rPr>
      </w:pPr>
      <w:r>
        <w:rPr>
          <w:sz w:val="15"/>
        </w:rPr>
        <w:t>Malplacement-</w:t>
        <w:tab/>
        <w:t>A malplacement surcharge of 25% of the developed premium, before credits and debits, </w:t>
      </w:r>
      <w:r>
        <w:rPr>
          <w:spacing w:val="2"/>
          <w:sz w:val="15"/>
        </w:rPr>
        <w:t> </w:t>
      </w:r>
      <w:r>
        <w:rPr>
          <w:sz w:val="15"/>
        </w:rPr>
        <w:t>will</w:t>
      </w:r>
      <w:r>
        <w:rPr>
          <w:spacing w:val="3"/>
          <w:sz w:val="15"/>
        </w:rPr>
        <w:t> </w:t>
      </w:r>
      <w:r>
        <w:rPr>
          <w:sz w:val="15"/>
        </w:rPr>
        <w:t>apply</w:t>
      </w:r>
      <w:r>
        <w:rPr>
          <w:w w:val="100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20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912" w:val="left" w:leader="none"/>
          <w:tab w:pos="4707" w:val="left" w:leader="none"/>
        </w:tabs>
        <w:spacing w:line="264" w:lineRule="auto" w:before="0" w:after="0"/>
        <w:ind w:left="4707" w:right="711" w:hanging="3948"/>
        <w:jc w:val="left"/>
        <w:rPr>
          <w:sz w:val="15"/>
        </w:rPr>
      </w:pPr>
      <w:r>
        <w:rPr>
          <w:sz w:val="15"/>
        </w:rPr>
        <w:t>Registry-</w:t>
        <w:tab/>
        <w:t>A registry surcharge of 25% of the developed premium, before credits and debits, will apply </w:t>
      </w:r>
      <w:r>
        <w:rPr>
          <w:spacing w:val="4"/>
          <w:sz w:val="15"/>
        </w:rPr>
        <w:t> </w:t>
      </w:r>
      <w:r>
        <w:rPr>
          <w:sz w:val="15"/>
        </w:rPr>
        <w:t>to</w:t>
      </w:r>
      <w:r>
        <w:rPr>
          <w:spacing w:val="2"/>
          <w:sz w:val="15"/>
        </w:rPr>
        <w:t> </w:t>
      </w:r>
      <w:r>
        <w:rPr>
          <w:sz w:val="15"/>
        </w:rPr>
        <w:t>agencies</w:t>
      </w:r>
      <w:r>
        <w:rPr>
          <w:w w:val="100"/>
          <w:sz w:val="15"/>
        </w:rPr>
        <w:t> </w:t>
      </w:r>
      <w:r>
        <w:rPr>
          <w:sz w:val="15"/>
        </w:rPr>
        <w:t>that do supplemental staffing.  This is in addition to the malplacement</w:t>
      </w:r>
      <w:r>
        <w:rPr>
          <w:spacing w:val="35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912" w:val="left" w:leader="none"/>
          <w:tab w:pos="4708" w:val="left" w:leader="none"/>
        </w:tabs>
        <w:spacing w:line="240" w:lineRule="auto" w:before="0" w:after="0"/>
        <w:ind w:left="911" w:right="0" w:hanging="152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9"/>
          <w:sz w:val="15"/>
        </w:rPr>
        <w:t> </w:t>
      </w:r>
      <w:r>
        <w:rPr>
          <w:sz w:val="15"/>
        </w:rPr>
        <w:t>Check-</w:t>
        <w:tab/>
        <w:t>A surcharge of 10% to agencies not performing background checks on their employees and independent </w:t>
      </w:r>
      <w:r>
        <w:rPr>
          <w:spacing w:val="11"/>
          <w:sz w:val="15"/>
        </w:rPr>
        <w:t> </w:t>
      </w:r>
      <w:r>
        <w:rPr>
          <w:sz w:val="15"/>
        </w:rPr>
        <w:t>contracto</w:t>
      </w:r>
    </w:p>
    <w:p>
      <w:pPr>
        <w:pStyle w:val="ListParagraph"/>
        <w:numPr>
          <w:ilvl w:val="2"/>
          <w:numId w:val="1"/>
        </w:numPr>
        <w:tabs>
          <w:tab w:pos="912" w:val="left" w:leader="none"/>
          <w:tab w:pos="4708" w:val="left" w:leader="none"/>
        </w:tabs>
        <w:spacing w:line="240" w:lineRule="auto" w:before="17" w:after="0"/>
        <w:ind w:left="911" w:right="0" w:hanging="151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17"/>
          <w:sz w:val="15"/>
        </w:rPr>
        <w:t> </w:t>
      </w:r>
      <w:r>
        <w:rPr>
          <w:sz w:val="15"/>
        </w:rPr>
        <w:t>Care</w:t>
      </w:r>
      <w:r>
        <w:rPr>
          <w:spacing w:val="3"/>
          <w:sz w:val="15"/>
        </w:rPr>
        <w:t> </w:t>
      </w:r>
      <w:r>
        <w:rPr>
          <w:sz w:val="15"/>
        </w:rPr>
        <w:t>Fac-</w:t>
        <w:tab/>
        <w:t>A surcharge of 25% of the developed premium, before debits and credits, will apply to agencies that </w:t>
      </w:r>
      <w:r>
        <w:rPr>
          <w:spacing w:val="5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7"/>
        <w:ind w:left="4707"/>
      </w:pPr>
      <w:r>
        <w:rPr/>
        <w:t>staffing of Nursing Home Facilities, Assisted Living Centers, or Long Term Care  Facilities.</w:t>
      </w:r>
    </w:p>
    <w:p>
      <w:pPr>
        <w:pStyle w:val="ListParagraph"/>
        <w:numPr>
          <w:ilvl w:val="2"/>
          <w:numId w:val="1"/>
        </w:numPr>
        <w:tabs>
          <w:tab w:pos="912" w:val="left" w:leader="none"/>
          <w:tab w:pos="4708" w:val="left" w:leader="none"/>
        </w:tabs>
        <w:spacing w:line="264" w:lineRule="auto" w:before="17" w:after="0"/>
        <w:ind w:left="4708" w:right="153" w:hanging="3948"/>
        <w:jc w:val="left"/>
        <w:rPr>
          <w:sz w:val="15"/>
        </w:rPr>
      </w:pPr>
      <w:r>
        <w:rPr>
          <w:sz w:val="15"/>
        </w:rPr>
        <w:t>High</w:t>
      </w:r>
      <w:r>
        <w:rPr>
          <w:spacing w:val="5"/>
          <w:sz w:val="15"/>
        </w:rPr>
        <w:t> </w:t>
      </w:r>
      <w:r>
        <w:rPr>
          <w:sz w:val="15"/>
        </w:rPr>
        <w:t>Tech/Crtcl</w:t>
      </w:r>
      <w:r>
        <w:rPr>
          <w:spacing w:val="5"/>
          <w:sz w:val="15"/>
        </w:rPr>
        <w:t> </w:t>
      </w:r>
      <w:r>
        <w:rPr>
          <w:sz w:val="15"/>
        </w:rPr>
        <w:t>Care-</w:t>
        <w:tab/>
        <w:t>A malplacement Surcharge of 25% of the developed premium, before credits and debits, will apply to </w:t>
      </w:r>
      <w:r>
        <w:rPr>
          <w:spacing w:val="6"/>
          <w:sz w:val="15"/>
        </w:rPr>
        <w:t> </w:t>
      </w:r>
      <w:r>
        <w:rPr>
          <w:sz w:val="15"/>
        </w:rPr>
        <w:t>Agencies</w:t>
      </w:r>
      <w:r>
        <w:rPr>
          <w:spacing w:val="2"/>
          <w:sz w:val="15"/>
        </w:rPr>
        <w:t> </w:t>
      </w:r>
      <w:r>
        <w:rPr>
          <w:sz w:val="15"/>
        </w:rPr>
        <w:t>e</w:t>
      </w:r>
      <w:r>
        <w:rPr>
          <w:w w:val="100"/>
          <w:sz w:val="15"/>
        </w:rPr>
        <w:t> </w:t>
      </w:r>
      <w:r>
        <w:rPr>
          <w:sz w:val="15"/>
        </w:rPr>
        <w:t>in High Tech/Critical Care services including Surgical, Pediatric, Infusion Therapy, and </w:t>
      </w:r>
      <w:r>
        <w:rPr>
          <w:spacing w:val="13"/>
          <w:sz w:val="15"/>
        </w:rPr>
        <w:t> </w:t>
      </w:r>
      <w:r>
        <w:rPr>
          <w:sz w:val="15"/>
        </w:rPr>
        <w:t>Tracheotomy/Ventilator</w:t>
      </w:r>
    </w:p>
    <w:p>
      <w:pPr>
        <w:pStyle w:val="BodyText"/>
        <w:spacing w:before="8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260" w:right="260"/>
        </w:sectPr>
      </w:pPr>
    </w:p>
    <w:p>
      <w:pPr>
        <w:pStyle w:val="Heading1"/>
        <w:numPr>
          <w:ilvl w:val="1"/>
          <w:numId w:val="1"/>
        </w:numPr>
        <w:tabs>
          <w:tab w:pos="760" w:val="left" w:leader="none"/>
        </w:tabs>
        <w:spacing w:line="240" w:lineRule="auto" w:before="95" w:after="0"/>
        <w:ind w:left="759" w:right="0" w:hanging="311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220" w:val="left" w:leader="none"/>
        </w:tabs>
        <w:spacing w:before="101"/>
        <w:ind w:left="450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Credit</w:t>
      </w:r>
    </w:p>
    <w:p>
      <w:pPr>
        <w:pStyle w:val="BodyText"/>
        <w:tabs>
          <w:tab w:pos="2643" w:val="left" w:leader="none"/>
          <w:tab w:pos="4211" w:val="left" w:leader="none"/>
        </w:tabs>
        <w:spacing w:before="17"/>
        <w:ind w:left="448"/>
      </w:pPr>
      <w:r>
        <w:rPr/>
        <w:t>0-25%</w:t>
        <w:tab/>
        <w:t>Claims</w:t>
      </w:r>
      <w:r>
        <w:rPr>
          <w:spacing w:val="2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644" w:val="left" w:leader="none"/>
          <w:tab w:pos="4211" w:val="left" w:leader="none"/>
        </w:tabs>
        <w:spacing w:before="17"/>
        <w:ind w:left="448"/>
      </w:pPr>
      <w:r>
        <w:rPr/>
        <w:t>0-20%</w:t>
        <w:tab/>
        <w:t>Risk</w:t>
      </w:r>
      <w:r>
        <w:rPr>
          <w:spacing w:val="2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644" w:val="left" w:leader="none"/>
          <w:tab w:pos="4211" w:val="left" w:leader="none"/>
        </w:tabs>
        <w:spacing w:before="17"/>
        <w:ind w:left="448"/>
      </w:pPr>
      <w:r>
        <w:rPr/>
        <w:t>0-15%</w:t>
        <w:tab/>
        <w:t>Nature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260" w:right="260"/>
          <w:cols w:num="2" w:equalWidth="0">
            <w:col w:w="1693" w:space="371"/>
            <w:col w:w="9656"/>
          </w:cols>
        </w:sectPr>
      </w:pPr>
    </w:p>
    <w:p>
      <w:pPr>
        <w:pStyle w:val="BodyText"/>
        <w:spacing w:before="8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9" w:val="left" w:leader="none"/>
        </w:tabs>
        <w:spacing w:line="240" w:lineRule="auto" w:before="95" w:after="0"/>
        <w:ind w:left="448" w:right="0" w:hanging="312"/>
        <w:jc w:val="left"/>
      </w:pPr>
      <w:r>
        <w:rPr>
          <w:u w:val="single"/>
        </w:rPr>
        <w:t>ADDITIONAL</w:t>
      </w:r>
      <w:r>
        <w:rPr>
          <w:spacing w:val="13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7"/>
        <w:ind w:left="448"/>
      </w:pPr>
      <w:r>
        <w:rPr/>
        <w:t>For each additional insured charge 25% of the developed premium, before debits/credits are applied; maximum  $1,000.</w:t>
      </w:r>
    </w:p>
    <w:p>
      <w:pPr>
        <w:pStyle w:val="BodyText"/>
        <w:spacing w:before="1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9" w:val="left" w:leader="none"/>
        </w:tabs>
        <w:spacing w:line="240" w:lineRule="auto" w:before="0" w:after="0"/>
        <w:ind w:left="448" w:right="0" w:hanging="312"/>
        <w:jc w:val="left"/>
      </w:pPr>
      <w:r>
        <w:rPr>
          <w:u w:val="single"/>
        </w:rPr>
        <w:t>MINIMUM</w:t>
      </w:r>
      <w:r>
        <w:rPr>
          <w:spacing w:val="12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354" w:val="left" w:leader="none"/>
        </w:tabs>
        <w:spacing w:before="16"/>
        <w:ind w:left="760"/>
      </w:pPr>
      <w:r>
        <w:rPr/>
        <w:t>Home Health Agency in business less than</w:t>
      </w:r>
      <w:r>
        <w:rPr>
          <w:spacing w:val="13"/>
        </w:rPr>
        <w:t> </w:t>
      </w:r>
      <w:r>
        <w:rPr/>
        <w:t>3</w:t>
      </w:r>
      <w:r>
        <w:rPr>
          <w:spacing w:val="2"/>
        </w:rPr>
        <w:t> </w:t>
      </w:r>
      <w:r>
        <w:rPr/>
        <w:t>yrs</w:t>
        <w:tab/>
        <w:t>$3,000</w:t>
      </w:r>
    </w:p>
    <w:p>
      <w:pPr>
        <w:pStyle w:val="BodyText"/>
        <w:tabs>
          <w:tab w:pos="6354" w:val="left" w:leader="none"/>
        </w:tabs>
        <w:spacing w:before="16"/>
        <w:ind w:left="760"/>
      </w:pPr>
      <w:r>
        <w:rPr/>
        <w:t>Home</w:t>
      </w:r>
      <w:r>
        <w:rPr>
          <w:spacing w:val="2"/>
        </w:rPr>
        <w:t> </w:t>
      </w:r>
      <w:r>
        <w:rPr/>
        <w:t>Health</w:t>
      </w:r>
      <w:r>
        <w:rPr>
          <w:spacing w:val="2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469" w:val="left" w:leader="none"/>
        </w:tabs>
        <w:spacing w:before="16"/>
        <w:ind w:left="760"/>
      </w:pPr>
      <w:r>
        <w:rPr/>
        <w:t>Hospice</w:t>
        <w:tab/>
        <w:t>$500</w:t>
      </w:r>
    </w:p>
    <w:p>
      <w:pPr>
        <w:pStyle w:val="BodyText"/>
        <w:tabs>
          <w:tab w:pos="6354" w:val="left" w:leader="none"/>
        </w:tabs>
        <w:spacing w:before="16"/>
        <w:ind w:left="760"/>
      </w:pPr>
      <w:r>
        <w:rPr/>
        <w:t>Pure</w:t>
      </w:r>
      <w:r>
        <w:rPr>
          <w:spacing w:val="1"/>
        </w:rPr>
        <w:t> </w:t>
      </w:r>
      <w:r>
        <w:rPr/>
        <w:t>Registry</w:t>
        <w:tab/>
        <w:t>$2,500</w:t>
      </w:r>
    </w:p>
    <w:p>
      <w:pPr>
        <w:pStyle w:val="BodyText"/>
        <w:spacing w:before="4"/>
        <w:rPr>
          <w:sz w:val="18"/>
        </w:rPr>
      </w:pPr>
    </w:p>
    <w:tbl>
      <w:tblPr>
        <w:tblW w:w="0" w:type="auto"/>
        <w:jc w:val="left"/>
        <w:tblInd w:w="10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62"/>
        <w:gridCol w:w="2243"/>
        <w:gridCol w:w="1342"/>
        <w:gridCol w:w="612"/>
      </w:tblGrid>
      <w:tr>
        <w:trPr>
          <w:trHeight w:val="179" w:hRule="exact"/>
        </w:trPr>
        <w:tc>
          <w:tcPr>
            <w:tcW w:w="4862" w:type="dxa"/>
          </w:tcPr>
          <w:p>
            <w:pPr>
              <w:pStyle w:val="TableParagraph"/>
              <w:spacing w:line="167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97" w:type="dxa"/>
            <w:gridSpan w:val="3"/>
          </w:tcPr>
          <w:p>
            <w:pPr/>
          </w:p>
        </w:tc>
      </w:tr>
      <w:tr>
        <w:trPr>
          <w:trHeight w:val="190" w:hRule="exact"/>
        </w:trPr>
        <w:tc>
          <w:tcPr>
            <w:tcW w:w="4862" w:type="dxa"/>
          </w:tcPr>
          <w:p>
            <w:pPr>
              <w:pStyle w:val="TableParagraph"/>
              <w:ind w:left="344"/>
              <w:rPr>
                <w:b/>
                <w:sz w:val="15"/>
              </w:rPr>
            </w:pPr>
            <w:r>
              <w:rPr>
                <w:sz w:val="15"/>
              </w:rPr>
              <w:t>A. 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243" w:type="dxa"/>
          </w:tcPr>
          <w:p>
            <w:pPr/>
          </w:p>
        </w:tc>
        <w:tc>
          <w:tcPr>
            <w:tcW w:w="1342" w:type="dxa"/>
          </w:tcPr>
          <w:p>
            <w:pPr>
              <w:pStyle w:val="TableParagraph"/>
              <w:ind w:left="438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12" w:type="dxa"/>
          </w:tcPr>
          <w:p>
            <w:pPr/>
          </w:p>
        </w:tc>
      </w:tr>
      <w:tr>
        <w:trPr>
          <w:trHeight w:val="190" w:hRule="exact"/>
        </w:trPr>
        <w:tc>
          <w:tcPr>
            <w:tcW w:w="4862" w:type="dxa"/>
          </w:tcPr>
          <w:p>
            <w:pPr>
              <w:pStyle w:val="TableParagraph"/>
              <w:ind w:left="65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243" w:type="dxa"/>
          </w:tcPr>
          <w:p>
            <w:pPr>
              <w:pStyle w:val="TableParagraph"/>
              <w:ind w:left="0" w:right="436"/>
              <w:jc w:val="right"/>
              <w:rPr>
                <w:sz w:val="15"/>
              </w:rPr>
            </w:pPr>
            <w:r>
              <w:rPr>
                <w:sz w:val="15"/>
              </w:rPr>
              <w:t>1.000</w:t>
            </w:r>
          </w:p>
        </w:tc>
        <w:tc>
          <w:tcPr>
            <w:tcW w:w="1342" w:type="dxa"/>
          </w:tcPr>
          <w:p>
            <w:pPr>
              <w:pStyle w:val="TableParagraph"/>
              <w:ind w:left="486"/>
              <w:rPr>
                <w:sz w:val="15"/>
              </w:rPr>
            </w:pPr>
            <w:r>
              <w:rPr>
                <w:sz w:val="15"/>
              </w:rPr>
              <w:t>Deductible</w:t>
            </w:r>
          </w:p>
        </w:tc>
        <w:tc>
          <w:tcPr>
            <w:tcW w:w="612" w:type="dxa"/>
          </w:tcPr>
          <w:p>
            <w:pPr>
              <w:pStyle w:val="TableParagraph"/>
              <w:ind w:left="0" w:right="33"/>
              <w:jc w:val="right"/>
              <w:rPr>
                <w:sz w:val="15"/>
              </w:rPr>
            </w:pPr>
            <w:r>
              <w:rPr>
                <w:sz w:val="15"/>
              </w:rPr>
              <w:t>Discount</w:t>
            </w:r>
          </w:p>
        </w:tc>
      </w:tr>
      <w:tr>
        <w:trPr>
          <w:trHeight w:val="190" w:hRule="exact"/>
        </w:trPr>
        <w:tc>
          <w:tcPr>
            <w:tcW w:w="4862" w:type="dxa"/>
          </w:tcPr>
          <w:p>
            <w:pPr>
              <w:pStyle w:val="TableParagraph"/>
              <w:ind w:left="65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243" w:type="dxa"/>
          </w:tcPr>
          <w:p>
            <w:pPr>
              <w:pStyle w:val="TableParagraph"/>
              <w:ind w:left="0" w:right="436"/>
              <w:jc w:val="right"/>
              <w:rPr>
                <w:sz w:val="15"/>
              </w:rPr>
            </w:pPr>
            <w:r>
              <w:rPr>
                <w:sz w:val="15"/>
              </w:rPr>
              <w:t>1.183</w:t>
            </w:r>
          </w:p>
        </w:tc>
        <w:tc>
          <w:tcPr>
            <w:tcW w:w="1342" w:type="dxa"/>
          </w:tcPr>
          <w:p>
            <w:pPr>
              <w:pStyle w:val="TableParagraph"/>
              <w:ind w:left="680"/>
              <w:rPr>
                <w:sz w:val="15"/>
              </w:rPr>
            </w:pPr>
            <w:r>
              <w:rPr>
                <w:sz w:val="15"/>
              </w:rPr>
              <w:t>$1,000</w:t>
            </w:r>
          </w:p>
        </w:tc>
        <w:tc>
          <w:tcPr>
            <w:tcW w:w="612" w:type="dxa"/>
          </w:tcPr>
          <w:p>
            <w:pPr>
              <w:pStyle w:val="TableParagraph"/>
              <w:ind w:left="0" w:right="30"/>
              <w:jc w:val="right"/>
              <w:rPr>
                <w:sz w:val="15"/>
              </w:rPr>
            </w:pPr>
            <w:r>
              <w:rPr>
                <w:sz w:val="15"/>
              </w:rPr>
              <w:t>1%</w:t>
            </w:r>
          </w:p>
        </w:tc>
      </w:tr>
      <w:tr>
        <w:trPr>
          <w:trHeight w:val="190" w:hRule="exact"/>
        </w:trPr>
        <w:tc>
          <w:tcPr>
            <w:tcW w:w="4862" w:type="dxa"/>
          </w:tcPr>
          <w:p>
            <w:pPr>
              <w:pStyle w:val="TableParagraph"/>
              <w:ind w:left="65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243" w:type="dxa"/>
          </w:tcPr>
          <w:p>
            <w:pPr>
              <w:pStyle w:val="TableParagraph"/>
              <w:ind w:left="0" w:right="436"/>
              <w:jc w:val="right"/>
              <w:rPr>
                <w:sz w:val="15"/>
              </w:rPr>
            </w:pPr>
            <w:r>
              <w:rPr>
                <w:sz w:val="15"/>
              </w:rPr>
              <w:t>1.372</w:t>
            </w:r>
          </w:p>
        </w:tc>
        <w:tc>
          <w:tcPr>
            <w:tcW w:w="1342" w:type="dxa"/>
          </w:tcPr>
          <w:p>
            <w:pPr>
              <w:pStyle w:val="TableParagraph"/>
              <w:ind w:left="680"/>
              <w:rPr>
                <w:sz w:val="15"/>
              </w:rPr>
            </w:pPr>
            <w:r>
              <w:rPr>
                <w:sz w:val="15"/>
              </w:rPr>
              <w:t>$2,500</w:t>
            </w:r>
          </w:p>
        </w:tc>
        <w:tc>
          <w:tcPr>
            <w:tcW w:w="612" w:type="dxa"/>
          </w:tcPr>
          <w:p>
            <w:pPr>
              <w:pStyle w:val="TableParagraph"/>
              <w:ind w:left="0" w:right="33"/>
              <w:jc w:val="right"/>
              <w:rPr>
                <w:sz w:val="15"/>
              </w:rPr>
            </w:pPr>
            <w:r>
              <w:rPr>
                <w:sz w:val="15"/>
              </w:rPr>
              <w:t>2.5%</w:t>
            </w:r>
          </w:p>
        </w:tc>
      </w:tr>
      <w:tr>
        <w:trPr>
          <w:trHeight w:val="190" w:hRule="exact"/>
        </w:trPr>
        <w:tc>
          <w:tcPr>
            <w:tcW w:w="4862" w:type="dxa"/>
          </w:tcPr>
          <w:p>
            <w:pPr>
              <w:pStyle w:val="TableParagraph"/>
              <w:ind w:left="65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243" w:type="dxa"/>
          </w:tcPr>
          <w:p>
            <w:pPr>
              <w:pStyle w:val="TableParagraph"/>
              <w:ind w:left="0" w:right="436"/>
              <w:jc w:val="right"/>
              <w:rPr>
                <w:sz w:val="15"/>
              </w:rPr>
            </w:pPr>
            <w:r>
              <w:rPr>
                <w:sz w:val="15"/>
              </w:rPr>
              <w:t>1.326</w:t>
            </w:r>
          </w:p>
        </w:tc>
        <w:tc>
          <w:tcPr>
            <w:tcW w:w="1342" w:type="dxa"/>
          </w:tcPr>
          <w:p>
            <w:pPr>
              <w:pStyle w:val="TableParagraph"/>
              <w:ind w:left="680"/>
              <w:rPr>
                <w:sz w:val="15"/>
              </w:rPr>
            </w:pPr>
            <w:r>
              <w:rPr>
                <w:sz w:val="15"/>
              </w:rPr>
              <w:t>$5,000</w:t>
            </w:r>
          </w:p>
        </w:tc>
        <w:tc>
          <w:tcPr>
            <w:tcW w:w="612" w:type="dxa"/>
          </w:tcPr>
          <w:p>
            <w:pPr>
              <w:pStyle w:val="TableParagraph"/>
              <w:ind w:left="0" w:right="30"/>
              <w:jc w:val="right"/>
              <w:rPr>
                <w:sz w:val="15"/>
              </w:rPr>
            </w:pPr>
            <w:r>
              <w:rPr>
                <w:sz w:val="15"/>
              </w:rPr>
              <w:t>5%</w:t>
            </w:r>
          </w:p>
        </w:tc>
      </w:tr>
      <w:tr>
        <w:trPr>
          <w:trHeight w:val="190" w:hRule="exact"/>
        </w:trPr>
        <w:tc>
          <w:tcPr>
            <w:tcW w:w="4862" w:type="dxa"/>
          </w:tcPr>
          <w:p>
            <w:pPr>
              <w:pStyle w:val="TableParagraph"/>
              <w:ind w:left="65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243" w:type="dxa"/>
          </w:tcPr>
          <w:p>
            <w:pPr>
              <w:pStyle w:val="TableParagraph"/>
              <w:ind w:left="0" w:right="436"/>
              <w:jc w:val="right"/>
              <w:rPr>
                <w:sz w:val="15"/>
              </w:rPr>
            </w:pPr>
            <w:r>
              <w:rPr>
                <w:sz w:val="15"/>
              </w:rPr>
              <w:t>1.486</w:t>
            </w:r>
          </w:p>
        </w:tc>
        <w:tc>
          <w:tcPr>
            <w:tcW w:w="1342" w:type="dxa"/>
          </w:tcPr>
          <w:p>
            <w:pPr>
              <w:pStyle w:val="TableParagraph"/>
              <w:ind w:left="603"/>
              <w:rPr>
                <w:sz w:val="15"/>
              </w:rPr>
            </w:pPr>
            <w:r>
              <w:rPr>
                <w:sz w:val="15"/>
              </w:rPr>
              <w:t>$10,000</w:t>
            </w:r>
          </w:p>
        </w:tc>
        <w:tc>
          <w:tcPr>
            <w:tcW w:w="612" w:type="dxa"/>
          </w:tcPr>
          <w:p>
            <w:pPr>
              <w:pStyle w:val="TableParagraph"/>
              <w:ind w:left="0" w:right="31"/>
              <w:jc w:val="right"/>
              <w:rPr>
                <w:sz w:val="15"/>
              </w:rPr>
            </w:pPr>
            <w:r>
              <w:rPr>
                <w:sz w:val="15"/>
              </w:rPr>
              <w:t>10%</w:t>
            </w:r>
          </w:p>
        </w:tc>
      </w:tr>
      <w:tr>
        <w:trPr>
          <w:trHeight w:val="190" w:hRule="exact"/>
        </w:trPr>
        <w:tc>
          <w:tcPr>
            <w:tcW w:w="4862" w:type="dxa"/>
          </w:tcPr>
          <w:p>
            <w:pPr>
              <w:pStyle w:val="TableParagraph"/>
              <w:ind w:left="65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243" w:type="dxa"/>
          </w:tcPr>
          <w:p>
            <w:pPr>
              <w:pStyle w:val="TableParagraph"/>
              <w:ind w:left="0" w:right="436"/>
              <w:jc w:val="right"/>
              <w:rPr>
                <w:sz w:val="15"/>
              </w:rPr>
            </w:pPr>
            <w:r>
              <w:rPr>
                <w:sz w:val="15"/>
              </w:rPr>
              <w:t>1.444</w:t>
            </w:r>
          </w:p>
        </w:tc>
        <w:tc>
          <w:tcPr>
            <w:tcW w:w="1342" w:type="dxa"/>
          </w:tcPr>
          <w:p>
            <w:pPr>
              <w:pStyle w:val="TableParagraph"/>
              <w:ind w:left="603"/>
              <w:rPr>
                <w:sz w:val="15"/>
              </w:rPr>
            </w:pPr>
            <w:r>
              <w:rPr>
                <w:sz w:val="15"/>
              </w:rPr>
              <w:t>$25,000</w:t>
            </w:r>
          </w:p>
        </w:tc>
        <w:tc>
          <w:tcPr>
            <w:tcW w:w="612" w:type="dxa"/>
          </w:tcPr>
          <w:p>
            <w:pPr>
              <w:pStyle w:val="TableParagraph"/>
              <w:ind w:left="0" w:right="31"/>
              <w:jc w:val="right"/>
              <w:rPr>
                <w:sz w:val="15"/>
              </w:rPr>
            </w:pPr>
            <w:r>
              <w:rPr>
                <w:sz w:val="15"/>
              </w:rPr>
              <w:t>15%</w:t>
            </w:r>
          </w:p>
        </w:tc>
      </w:tr>
      <w:tr>
        <w:trPr>
          <w:trHeight w:val="190" w:hRule="exact"/>
        </w:trPr>
        <w:tc>
          <w:tcPr>
            <w:tcW w:w="4862" w:type="dxa"/>
          </w:tcPr>
          <w:p>
            <w:pPr>
              <w:pStyle w:val="TableParagraph"/>
              <w:ind w:left="65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243" w:type="dxa"/>
          </w:tcPr>
          <w:p>
            <w:pPr>
              <w:pStyle w:val="TableParagraph"/>
              <w:ind w:left="0" w:right="436"/>
              <w:jc w:val="right"/>
              <w:rPr>
                <w:sz w:val="15"/>
              </w:rPr>
            </w:pPr>
            <w:r>
              <w:rPr>
                <w:sz w:val="15"/>
              </w:rPr>
              <w:t>1.511</w:t>
            </w:r>
          </w:p>
        </w:tc>
        <w:tc>
          <w:tcPr>
            <w:tcW w:w="1342" w:type="dxa"/>
          </w:tcPr>
          <w:p>
            <w:pPr>
              <w:pStyle w:val="TableParagraph"/>
              <w:ind w:left="603"/>
              <w:rPr>
                <w:sz w:val="15"/>
              </w:rPr>
            </w:pPr>
            <w:r>
              <w:rPr>
                <w:sz w:val="15"/>
              </w:rPr>
              <w:t>$50,000</w:t>
            </w:r>
          </w:p>
        </w:tc>
        <w:tc>
          <w:tcPr>
            <w:tcW w:w="612" w:type="dxa"/>
          </w:tcPr>
          <w:p>
            <w:pPr>
              <w:pStyle w:val="TableParagraph"/>
              <w:ind w:left="0" w:right="31"/>
              <w:jc w:val="right"/>
              <w:rPr>
                <w:sz w:val="15"/>
              </w:rPr>
            </w:pPr>
            <w:r>
              <w:rPr>
                <w:sz w:val="15"/>
              </w:rPr>
              <w:t>35%</w:t>
            </w:r>
          </w:p>
        </w:tc>
      </w:tr>
      <w:tr>
        <w:trPr>
          <w:trHeight w:val="179" w:hRule="exact"/>
        </w:trPr>
        <w:tc>
          <w:tcPr>
            <w:tcW w:w="4862" w:type="dxa"/>
          </w:tcPr>
          <w:p>
            <w:pPr>
              <w:pStyle w:val="TableParagraph"/>
              <w:ind w:left="65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243" w:type="dxa"/>
          </w:tcPr>
          <w:p>
            <w:pPr>
              <w:pStyle w:val="TableParagraph"/>
              <w:ind w:left="0" w:right="436"/>
              <w:jc w:val="right"/>
              <w:rPr>
                <w:sz w:val="15"/>
              </w:rPr>
            </w:pPr>
            <w:r>
              <w:rPr>
                <w:sz w:val="15"/>
              </w:rPr>
              <w:t>1.550</w:t>
            </w:r>
          </w:p>
        </w:tc>
        <w:tc>
          <w:tcPr>
            <w:tcW w:w="1342" w:type="dxa"/>
          </w:tcPr>
          <w:p>
            <w:pPr>
              <w:pStyle w:val="TableParagraph"/>
              <w:ind w:left="527"/>
              <w:rPr>
                <w:sz w:val="15"/>
              </w:rPr>
            </w:pPr>
            <w:r>
              <w:rPr>
                <w:sz w:val="15"/>
              </w:rPr>
              <w:t>$100,000</w:t>
            </w:r>
          </w:p>
        </w:tc>
        <w:tc>
          <w:tcPr>
            <w:tcW w:w="612" w:type="dxa"/>
          </w:tcPr>
          <w:p>
            <w:pPr>
              <w:pStyle w:val="TableParagraph"/>
              <w:ind w:left="0" w:right="31"/>
              <w:jc w:val="right"/>
              <w:rPr>
                <w:sz w:val="15"/>
              </w:rPr>
            </w:pPr>
            <w:r>
              <w:rPr>
                <w:sz w:val="15"/>
              </w:rPr>
              <w:t>50%</w:t>
            </w:r>
          </w:p>
        </w:tc>
      </w:tr>
    </w:tbl>
    <w:p>
      <w:pPr>
        <w:pStyle w:val="BodyText"/>
        <w:spacing w:before="1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8" w:val="left" w:leader="none"/>
        </w:tabs>
        <w:spacing w:line="240" w:lineRule="auto" w:before="0" w:after="0"/>
        <w:ind w:left="447" w:right="0" w:hanging="312"/>
        <w:jc w:val="left"/>
      </w:pPr>
      <w:r>
        <w:rPr>
          <w:u w:val="single"/>
        </w:rPr>
        <w:t>CLAIMS MADE CONVERSION FACTORS &amp; EXTENDED REPORTING </w:t>
      </w:r>
      <w:r>
        <w:rPr>
          <w:spacing w:val="3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95" w:val="left" w:leader="none"/>
          <w:tab w:pos="5209" w:val="left" w:leader="none"/>
          <w:tab w:pos="6507" w:val="left" w:leader="none"/>
        </w:tabs>
        <w:spacing w:line="264" w:lineRule="auto" w:before="17" w:after="0"/>
        <w:ind w:left="4283" w:right="4892" w:hanging="3524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5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5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7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3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100"/>
          <w:sz w:val="15"/>
        </w:rPr>
        <w:t> </w:t>
      </w:r>
      <w:r>
        <w:rPr>
          <w:sz w:val="15"/>
        </w:rPr>
        <w:t>1 year</w:t>
        <w:tab/>
        <w:tab/>
        <w:t>0.55</w:t>
      </w:r>
    </w:p>
    <w:p>
      <w:pPr>
        <w:pStyle w:val="BodyText"/>
        <w:tabs>
          <w:tab w:pos="2224" w:val="left" w:leader="none"/>
        </w:tabs>
        <w:ind w:right="662"/>
        <w:jc w:val="center"/>
      </w:pPr>
      <w:r>
        <w:rPr/>
        <w:t>2 year</w:t>
        <w:tab/>
        <w:t>0.79</w:t>
      </w:r>
    </w:p>
    <w:p>
      <w:pPr>
        <w:pStyle w:val="BodyText"/>
        <w:tabs>
          <w:tab w:pos="2224" w:val="left" w:leader="none"/>
        </w:tabs>
        <w:spacing w:before="16"/>
        <w:ind w:right="662"/>
        <w:jc w:val="center"/>
      </w:pPr>
      <w:r>
        <w:rPr/>
        <w:t>3 year</w:t>
        <w:tab/>
        <w:t>0.91</w:t>
      </w:r>
    </w:p>
    <w:p>
      <w:pPr>
        <w:pStyle w:val="BodyText"/>
        <w:tabs>
          <w:tab w:pos="2224" w:val="left" w:leader="none"/>
        </w:tabs>
        <w:spacing w:before="16"/>
        <w:ind w:right="662"/>
        <w:jc w:val="center"/>
      </w:pPr>
      <w:r>
        <w:rPr/>
        <w:t>4 year</w:t>
        <w:tab/>
        <w:t>0.96</w:t>
      </w:r>
    </w:p>
    <w:p>
      <w:pPr>
        <w:pStyle w:val="BodyText"/>
        <w:tabs>
          <w:tab w:pos="2224" w:val="left" w:leader="none"/>
        </w:tabs>
        <w:spacing w:before="16"/>
        <w:ind w:right="662"/>
        <w:jc w:val="center"/>
      </w:pPr>
      <w:r>
        <w:rPr/>
        <w:t>5 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54" w:val="left" w:leader="none"/>
        </w:tabs>
        <w:spacing w:line="240" w:lineRule="auto" w:before="206" w:after="0"/>
        <w:ind w:left="953" w:right="0" w:hanging="194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20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64" w:lineRule="auto" w:before="17"/>
        <w:ind w:left="759" w:right="7544"/>
      </w:pPr>
      <w:r>
        <w:rPr/>
        <w:t>One Year Option at 55% of mature claims made rate Two Year Option at 85% of mature claims made rate Three Year Option at 100% of mature claims made rate Unlimited Option 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22"/>
        </w:rPr>
      </w:pPr>
    </w:p>
    <w:p>
      <w:pPr>
        <w:pStyle w:val="BodyText"/>
        <w:tabs>
          <w:tab w:pos="9896" w:val="left" w:leader="none"/>
        </w:tabs>
        <w:ind w:left="5612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1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7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7" w:hanging="312"/>
        <w:jc w:val="left"/>
      </w:pPr>
      <w:rPr>
        <w:rFonts w:hint="default" w:ascii="Times New Roman" w:hAnsi="Times New Roman" w:eastAsia="Times New Roman" w:cs="Times New Roman"/>
        <w:w w:val="100"/>
        <w:sz w:val="15"/>
        <w:szCs w:val="15"/>
      </w:rPr>
    </w:lvl>
    <w:lvl w:ilvl="1">
      <w:start w:val="1"/>
      <w:numFmt w:val="upperRoman"/>
      <w:lvlText w:val="%2."/>
      <w:lvlJc w:val="left"/>
      <w:pPr>
        <w:ind w:left="4283" w:hanging="135"/>
        <w:jc w:val="left"/>
      </w:pPr>
      <w:rPr>
        <w:rFonts w:hint="default"/>
        <w:w w:val="100"/>
        <w:u w:val="single" w:color="000000"/>
      </w:rPr>
    </w:lvl>
    <w:lvl w:ilvl="2">
      <w:start w:val="0"/>
      <w:numFmt w:val="bullet"/>
      <w:lvlText w:val="•"/>
      <w:lvlJc w:val="left"/>
      <w:pPr>
        <w:ind w:left="5106" w:hanging="13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933" w:hanging="13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760" w:hanging="13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586" w:hanging="13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413" w:hanging="13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240" w:hanging="13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066" w:hanging="135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7" w:hanging="312"/>
        <w:jc w:val="left"/>
      </w:pPr>
      <w:rPr>
        <w:rFonts w:hint="default" w:ascii="Times New Roman" w:hAnsi="Times New Roman" w:eastAsia="Times New Roman" w:cs="Times New Roman"/>
        <w:w w:val="100"/>
        <w:sz w:val="15"/>
        <w:szCs w:val="15"/>
      </w:rPr>
    </w:lvl>
    <w:lvl w:ilvl="1">
      <w:start w:val="1"/>
      <w:numFmt w:val="upperLetter"/>
      <w:lvlText w:val="%2."/>
      <w:lvlJc w:val="left"/>
      <w:pPr>
        <w:ind w:left="759" w:hanging="3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15"/>
        <w:szCs w:val="15"/>
      </w:rPr>
    </w:lvl>
    <w:lvl w:ilvl="2">
      <w:start w:val="1"/>
      <w:numFmt w:val="decimal"/>
      <w:lvlText w:val="%3."/>
      <w:lvlJc w:val="left"/>
      <w:pPr>
        <w:ind w:left="4707" w:hanging="152"/>
        <w:jc w:val="left"/>
      </w:pPr>
      <w:rPr>
        <w:rFonts w:hint="default" w:ascii="Times New Roman" w:hAnsi="Times New Roman" w:eastAsia="Times New Roman" w:cs="Times New Roman"/>
        <w:w w:val="100"/>
        <w:sz w:val="15"/>
        <w:szCs w:val="15"/>
      </w:rPr>
    </w:lvl>
    <w:lvl w:ilvl="3">
      <w:start w:val="0"/>
      <w:numFmt w:val="bullet"/>
      <w:lvlText w:val="•"/>
      <w:lvlJc w:val="left"/>
      <w:pPr>
        <w:ind w:left="5577" w:hanging="1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455" w:hanging="1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332" w:hanging="1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10" w:hanging="1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7" w:hanging="1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65" w:hanging="152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7" w:hanging="312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7" w:hanging="31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5"/>
      <w:ind w:left="2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2017-09-29T15:02:58Z</dcterms:created>
  <dcterms:modified xsi:type="dcterms:W3CDTF">2017-09-29T15:02:58Z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2009-07-07T00:00:00Z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