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8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ALABAMA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$1,761</w:t>
              <w:tab/>
              <w:t>$2,078</w:t>
              <w:tab/>
              <w:t>$2,254</w:t>
              <w:tab/>
              <w:t>$2,571</w:t>
              <w:tab/>
              <w:t>$2,729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$205</w:t>
              <w:tab/>
              <w:t>$242</w:t>
              <w:tab/>
              <w:t>$263</w:t>
              <w:tab/>
              <w:t>$300</w:t>
              <w:tab/>
              <w:t>$318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$153</w:t>
              <w:tab/>
              <w:t>$181</w:t>
              <w:tab/>
              <w:t>$196</w:t>
              <w:tab/>
              <w:t>$224</w:t>
              <w:tab/>
              <w:t>$237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$247</w:t>
              <w:tab/>
              <w:t>$291</w:t>
              <w:tab/>
              <w:t>$316</w:t>
              <w:tab/>
              <w:t>$360</w:t>
              <w:tab/>
              <w:t>$382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$330</w:t>
              <w:tab/>
              <w:t>$390</w:t>
              <w:tab/>
              <w:t>$423</w:t>
              <w:tab/>
              <w:t>$482</w:t>
              <w:tab/>
              <w:t>$512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$408</w:t>
              <w:tab/>
              <w:t>$481</w:t>
              <w:tab/>
              <w:t>$522</w:t>
              <w:tab/>
              <w:t>$596</w:t>
              <w:tab/>
              <w:t>$632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$486</w:t>
              <w:tab/>
              <w:t>$573</w:t>
              <w:tab/>
              <w:t>$621</w:t>
              <w:tab/>
              <w:t>$709</w:t>
              <w:tab/>
              <w:t>$752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$724</w:t>
              <w:tab/>
              <w:t>$855</w:t>
              <w:tab/>
              <w:t>$927</w:t>
              <w:tab/>
              <w:t>$1,058</w:t>
              <w:tab/>
              <w:t>$1,123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$943</w:t>
              <w:tab/>
              <w:t>$1,113</w:t>
              <w:tab/>
              <w:t>$1,207</w:t>
              <w:tab/>
              <w:t>$1,377</w:t>
              <w:tab/>
              <w:t>$1,462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$1,552</w:t>
              <w:tab/>
              <w:t>$1,831</w:t>
              <w:tab/>
              <w:t>$1,987</w:t>
              <w:tab/>
              <w:t>$2,267</w:t>
              <w:tab/>
              <w:t>$2,405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$2,034</w:t>
              <w:tab/>
              <w:t>$2,400</w:t>
              <w:tab/>
              <w:t>$2,603</w:t>
              <w:tab/>
              <w:t>$2,970</w:t>
              <w:tab/>
              <w:t>$3,152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$555</w:t>
              <w:tab/>
              <w:t>$655</w:t>
              <w:tab/>
              <w:t>$711</w:t>
              <w:tab/>
              <w:t>$811</w:t>
              <w:tab/>
              <w:t>$860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76" w:lineRule="auto" w:before="79"/>
        <w:ind w:left="5236" w:right="1699" w:hanging="2585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sz w:val="20"/>
        </w:rPr>
        <w:t>HEALTHCARE AGENCY PROFESSIONAL LIABILITY PROGRAM ALABAMA</w:t>
      </w: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157" w:lineRule="exact" w:before="0" w:after="0"/>
        <w:ind w:left="436" w:right="0" w:hanging="295"/>
        <w:jc w:val="left"/>
      </w:pPr>
      <w:r>
        <w:rPr>
          <w:w w:val="105"/>
          <w:u w:val="single"/>
        </w:rPr>
        <w:t>SURCHARGES,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CREDITS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AND</w:t>
      </w:r>
      <w:r>
        <w:rPr>
          <w:spacing w:val="-19"/>
          <w:w w:val="105"/>
          <w:u w:val="single"/>
        </w:rPr>
        <w:t> </w:t>
      </w:r>
      <w:r>
        <w:rPr>
          <w:w w:val="105"/>
          <w:u w:val="single"/>
        </w:rPr>
        <w:t>DEBITS</w:t>
      </w:r>
    </w:p>
    <w:p>
      <w:pPr>
        <w:pStyle w:val="BodyText"/>
        <w:spacing w:before="3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32" w:val="left" w:leader="none"/>
        </w:tabs>
        <w:spacing w:line="240" w:lineRule="auto" w:before="0" w:after="0"/>
        <w:ind w:left="732" w:right="0" w:hanging="296"/>
        <w:jc w:val="left"/>
        <w:rPr>
          <w:b/>
          <w:sz w:val="14"/>
        </w:rPr>
      </w:pPr>
      <w:r>
        <w:rPr>
          <w:b/>
          <w:w w:val="105"/>
          <w:sz w:val="14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  <w:tab w:pos="4600" w:val="left" w:leader="none"/>
        </w:tabs>
        <w:spacing w:line="268" w:lineRule="auto" w:before="18" w:after="0"/>
        <w:ind w:left="4600" w:right="1230" w:hanging="3868"/>
        <w:jc w:val="left"/>
        <w:rPr>
          <w:sz w:val="14"/>
        </w:rPr>
      </w:pPr>
      <w:r>
        <w:rPr>
          <w:w w:val="105"/>
          <w:sz w:val="14"/>
        </w:rPr>
        <w:t>Malplacement-</w:t>
        <w:tab/>
        <w:t>A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w w:val="102"/>
          <w:sz w:val="14"/>
        </w:rPr>
        <w:t> </w:t>
      </w:r>
      <w:r>
        <w:rPr>
          <w:w w:val="105"/>
          <w:sz w:val="14"/>
        </w:rPr>
        <w:t>to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engaged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in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supplemental</w:t>
      </w:r>
      <w:r>
        <w:rPr>
          <w:spacing w:val="-12"/>
          <w:w w:val="105"/>
          <w:sz w:val="14"/>
        </w:rPr>
        <w:t> </w:t>
      </w:r>
      <w:r>
        <w:rPr>
          <w:w w:val="105"/>
          <w:sz w:val="14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  <w:tab w:pos="4600" w:val="left" w:leader="none"/>
        </w:tabs>
        <w:spacing w:line="268" w:lineRule="auto" w:before="0" w:after="0"/>
        <w:ind w:left="4600" w:right="918" w:hanging="3868"/>
        <w:jc w:val="left"/>
        <w:rPr>
          <w:sz w:val="14"/>
        </w:rPr>
      </w:pPr>
      <w:r>
        <w:rPr>
          <w:w w:val="105"/>
          <w:sz w:val="14"/>
        </w:rPr>
        <w:t>Registry-</w:t>
        <w:tab/>
        <w:t>A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registry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w w:val="102"/>
          <w:sz w:val="14"/>
        </w:rPr>
        <w:t> </w:t>
      </w:r>
      <w:r>
        <w:rPr>
          <w:w w:val="105"/>
          <w:sz w:val="14"/>
        </w:rPr>
        <w:t>that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supplemental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staffing.</w:t>
      </w:r>
      <w:r>
        <w:rPr>
          <w:spacing w:val="20"/>
          <w:w w:val="105"/>
          <w:sz w:val="14"/>
        </w:rPr>
        <w:t> </w:t>
      </w:r>
      <w:r>
        <w:rPr>
          <w:w w:val="105"/>
          <w:sz w:val="14"/>
        </w:rPr>
        <w:t>This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is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in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addition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  <w:tab w:pos="4600" w:val="left" w:leader="none"/>
        </w:tabs>
        <w:spacing w:line="240" w:lineRule="auto" w:before="0" w:after="0"/>
        <w:ind w:left="876" w:right="0" w:hanging="144"/>
        <w:jc w:val="left"/>
        <w:rPr>
          <w:sz w:val="14"/>
        </w:rPr>
      </w:pPr>
      <w:r>
        <w:rPr>
          <w:w w:val="105"/>
          <w:sz w:val="14"/>
        </w:rPr>
        <w:t>Background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Check-</w:t>
        <w:tab/>
        <w:t>A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10%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not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performing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background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checks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on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their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employees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independent</w:t>
      </w:r>
      <w:r>
        <w:rPr>
          <w:spacing w:val="-11"/>
          <w:w w:val="105"/>
          <w:sz w:val="14"/>
        </w:rPr>
        <w:t> </w:t>
      </w:r>
      <w:r>
        <w:rPr>
          <w:w w:val="105"/>
          <w:sz w:val="14"/>
        </w:rPr>
        <w:t>contractors.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  <w:tab w:pos="4600" w:val="left" w:leader="none"/>
        </w:tabs>
        <w:spacing w:line="240" w:lineRule="auto" w:before="18" w:after="0"/>
        <w:ind w:left="876" w:right="0" w:hanging="144"/>
        <w:jc w:val="left"/>
        <w:rPr>
          <w:sz w:val="14"/>
        </w:rPr>
      </w:pPr>
      <w:r>
        <w:rPr>
          <w:w w:val="105"/>
          <w:sz w:val="14"/>
        </w:rPr>
        <w:t>Nrsng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Hms/Asstd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Lvng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Ctrs/Lng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Trm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Care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Fac-</w:t>
        <w:tab/>
        <w:t>A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debits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that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do</w:t>
      </w:r>
    </w:p>
    <w:p>
      <w:pPr>
        <w:pStyle w:val="BodyText"/>
        <w:spacing w:before="18"/>
        <w:ind w:left="4600"/>
      </w:pPr>
      <w:r>
        <w:rPr>
          <w:w w:val="105"/>
        </w:rPr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76" w:val="left" w:leader="none"/>
          <w:tab w:pos="4600" w:val="left" w:leader="none"/>
        </w:tabs>
        <w:spacing w:line="268" w:lineRule="auto" w:before="18" w:after="0"/>
        <w:ind w:left="4600" w:right="107" w:hanging="3869"/>
        <w:jc w:val="left"/>
        <w:rPr>
          <w:sz w:val="14"/>
        </w:rPr>
      </w:pPr>
      <w:r>
        <w:rPr>
          <w:w w:val="105"/>
          <w:sz w:val="14"/>
        </w:rPr>
        <w:t>High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Tech/Crtcl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Care-</w:t>
        <w:tab/>
        <w:t>A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malplacement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Surcharge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25%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of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the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developed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premium,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before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credits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debits,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will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apply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to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Agencies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engag</w:t>
      </w:r>
      <w:r>
        <w:rPr>
          <w:w w:val="102"/>
          <w:sz w:val="14"/>
        </w:rPr>
        <w:t> </w:t>
      </w:r>
      <w:r>
        <w:rPr>
          <w:w w:val="105"/>
          <w:sz w:val="14"/>
        </w:rPr>
        <w:t>in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High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Tech/Critical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Care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services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including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Surgical,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Pediatric,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Infusion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Therapy,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and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Tracheotomy/Ventilator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Care</w:t>
      </w:r>
    </w:p>
    <w:p>
      <w:pPr>
        <w:pStyle w:val="BodyText"/>
        <w:spacing w:before="9"/>
        <w:rPr>
          <w:sz w:val="22"/>
        </w:rPr>
      </w:pPr>
    </w:p>
    <w:p>
      <w:pPr>
        <w:spacing w:after="0"/>
        <w:rPr>
          <w:sz w:val="22"/>
        </w:rPr>
        <w:sectPr>
          <w:pgSz w:w="12240" w:h="15840"/>
          <w:pgMar w:top="1020" w:bottom="0" w:left="360" w:right="360"/>
        </w:sectPr>
      </w:pPr>
    </w:p>
    <w:p>
      <w:pPr>
        <w:pStyle w:val="Heading1"/>
        <w:numPr>
          <w:ilvl w:val="1"/>
          <w:numId w:val="1"/>
        </w:numPr>
        <w:tabs>
          <w:tab w:pos="732" w:val="left" w:leader="none"/>
        </w:tabs>
        <w:spacing w:line="240" w:lineRule="auto" w:before="98" w:after="0"/>
        <w:ind w:left="732" w:right="0" w:hanging="296"/>
        <w:jc w:val="left"/>
      </w:pPr>
      <w:r>
        <w:rPr>
          <w:w w:val="105"/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6" w:right="0" w:hanging="295"/>
        <w:jc w:val="left"/>
        <w:rPr>
          <w:b/>
          <w:sz w:val="14"/>
        </w:rPr>
      </w:pPr>
      <w:r>
        <w:rPr>
          <w:b/>
          <w:sz w:val="14"/>
          <w:u w:val="single"/>
        </w:rPr>
        <w:t>ADDITIONAL </w:t>
      </w:r>
      <w:r>
        <w:rPr>
          <w:b/>
          <w:spacing w:val="11"/>
          <w:sz w:val="14"/>
          <w:u w:val="single"/>
        </w:rPr>
        <w:t> </w:t>
      </w:r>
      <w:r>
        <w:rPr>
          <w:b/>
          <w:sz w:val="14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51" w:val="left" w:leader="none"/>
        </w:tabs>
        <w:spacing w:before="94"/>
        <w:ind w:left="143"/>
      </w:pPr>
      <w:r>
        <w:rPr>
          <w:w w:val="105"/>
          <w:u w:val="single"/>
        </w:rPr>
        <w:t>Debits</w:t>
      </w:r>
      <w:r>
        <w:rPr>
          <w:w w:val="105"/>
        </w:rPr>
        <w:tab/>
      </w:r>
      <w:r>
        <w:rPr>
          <w:w w:val="105"/>
          <w:u w:val="single"/>
        </w:rPr>
        <w:t>Credit</w:t>
      </w:r>
    </w:p>
    <w:p>
      <w:pPr>
        <w:pStyle w:val="BodyText"/>
        <w:tabs>
          <w:tab w:pos="2286" w:val="left" w:leader="none"/>
          <w:tab w:pos="3842" w:val="left" w:leader="none"/>
        </w:tabs>
        <w:spacing w:before="19"/>
        <w:ind w:left="141"/>
      </w:pPr>
      <w:r>
        <w:rPr>
          <w:w w:val="105"/>
        </w:rPr>
        <w:t>0-25%</w:t>
        <w:tab/>
        <w:t>Claims</w:t>
      </w:r>
      <w:r>
        <w:rPr>
          <w:spacing w:val="-7"/>
          <w:w w:val="105"/>
        </w:rPr>
        <w:t> </w:t>
      </w:r>
      <w:r>
        <w:rPr>
          <w:w w:val="105"/>
        </w:rPr>
        <w:t>History</w:t>
        <w:tab/>
        <w:t>0-25%</w:t>
      </w:r>
    </w:p>
    <w:p>
      <w:pPr>
        <w:pStyle w:val="BodyText"/>
        <w:tabs>
          <w:tab w:pos="2286" w:val="left" w:leader="none"/>
          <w:tab w:pos="3842" w:val="left" w:leader="none"/>
        </w:tabs>
        <w:spacing w:before="19"/>
        <w:ind w:left="141"/>
      </w:pPr>
      <w:r>
        <w:rPr>
          <w:w w:val="105"/>
        </w:rPr>
        <w:t>0-20%</w:t>
        <w:tab/>
        <w:t>Risk</w:t>
      </w:r>
      <w:r>
        <w:rPr>
          <w:spacing w:val="-8"/>
          <w:w w:val="105"/>
        </w:rPr>
        <w:t> </w:t>
      </w:r>
      <w:r>
        <w:rPr>
          <w:w w:val="105"/>
        </w:rPr>
        <w:t>Management</w:t>
        <w:tab/>
        <w:t>0-20%</w:t>
      </w:r>
    </w:p>
    <w:p>
      <w:pPr>
        <w:pStyle w:val="BodyText"/>
        <w:tabs>
          <w:tab w:pos="2286" w:val="left" w:leader="none"/>
          <w:tab w:pos="3842" w:val="left" w:leader="none"/>
        </w:tabs>
        <w:spacing w:before="19"/>
        <w:ind w:left="141"/>
      </w:pPr>
      <w:r>
        <w:rPr>
          <w:w w:val="105"/>
        </w:rPr>
        <w:t>0-15%</w:t>
        <w:tab/>
        <w:t>Nature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Operations</w:t>
        <w:tab/>
        <w:t>0-15%</w:t>
      </w:r>
    </w:p>
    <w:p>
      <w:pPr>
        <w:pStyle w:val="Heading1"/>
        <w:spacing w:before="19"/>
        <w:ind w:left="2286" w:firstLine="0"/>
      </w:pPr>
      <w:r>
        <w:rPr/>
        <w:t>MAXIMUM  DEBIT/CREDIT +/-25%</w:t>
      </w:r>
    </w:p>
    <w:p>
      <w:pPr>
        <w:spacing w:after="0"/>
        <w:sectPr>
          <w:type w:val="continuous"/>
          <w:pgSz w:w="12240" w:h="15840"/>
          <w:pgMar w:top="1100" w:bottom="0" w:left="360" w:right="360"/>
          <w:cols w:num="2" w:equalWidth="0">
            <w:col w:w="2137" w:space="177"/>
            <w:col w:w="9206"/>
          </w:cols>
        </w:sectPr>
      </w:pPr>
    </w:p>
    <w:p>
      <w:pPr>
        <w:pStyle w:val="BodyText"/>
        <w:spacing w:before="18"/>
        <w:ind w:left="436"/>
      </w:pPr>
      <w:r>
        <w:rPr>
          <w:w w:val="105"/>
        </w:rPr>
        <w:t>For each additional insured charge 25% of the developed premium, before debits/credits are applied; maximum $1,000.</w:t>
      </w:r>
    </w:p>
    <w:p>
      <w:pPr>
        <w:pStyle w:val="BodyText"/>
        <w:spacing w:before="3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6" w:right="0" w:hanging="295"/>
        <w:jc w:val="left"/>
      </w:pPr>
      <w:r>
        <w:rPr>
          <w:u w:val="single"/>
        </w:rPr>
        <w:t>MINIMUM </w:t>
      </w:r>
      <w:r>
        <w:rPr>
          <w:spacing w:val="7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232" w:val="left" w:leader="none"/>
        </w:tabs>
        <w:spacing w:before="19"/>
        <w:ind w:left="731"/>
      </w:pPr>
      <w:r>
        <w:rPr>
          <w:w w:val="105"/>
        </w:rPr>
        <w:t>Home</w:t>
      </w:r>
      <w:r>
        <w:rPr>
          <w:spacing w:val="-6"/>
          <w:w w:val="105"/>
        </w:rPr>
        <w:t> </w:t>
      </w:r>
      <w:r>
        <w:rPr>
          <w:w w:val="105"/>
        </w:rPr>
        <w:t>Health</w:t>
      </w:r>
      <w:r>
        <w:rPr>
          <w:spacing w:val="-6"/>
          <w:w w:val="105"/>
        </w:rPr>
        <w:t> </w:t>
      </w:r>
      <w:r>
        <w:rPr>
          <w:w w:val="105"/>
        </w:rPr>
        <w:t>Agency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business</w:t>
      </w:r>
      <w:r>
        <w:rPr>
          <w:spacing w:val="-6"/>
          <w:w w:val="105"/>
        </w:rPr>
        <w:t> </w:t>
      </w:r>
      <w:r>
        <w:rPr>
          <w:w w:val="105"/>
        </w:rPr>
        <w:t>less</w:t>
      </w:r>
      <w:r>
        <w:rPr>
          <w:spacing w:val="-7"/>
          <w:w w:val="105"/>
        </w:rPr>
        <w:t> </w:t>
      </w:r>
      <w:r>
        <w:rPr>
          <w:w w:val="105"/>
        </w:rPr>
        <w:t>than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yrs</w:t>
        <w:tab/>
        <w:t>$3,000</w:t>
      </w:r>
    </w:p>
    <w:p>
      <w:pPr>
        <w:pStyle w:val="BodyText"/>
        <w:tabs>
          <w:tab w:pos="6232" w:val="left" w:leader="none"/>
        </w:tabs>
        <w:spacing w:before="19"/>
        <w:ind w:left="731"/>
      </w:pPr>
      <w:r>
        <w:rPr>
          <w:w w:val="105"/>
        </w:rPr>
        <w:t>Home</w:t>
      </w:r>
      <w:r>
        <w:rPr>
          <w:spacing w:val="-7"/>
          <w:w w:val="105"/>
        </w:rPr>
        <w:t> </w:t>
      </w:r>
      <w:r>
        <w:rPr>
          <w:w w:val="105"/>
        </w:rPr>
        <w:t>Health</w:t>
      </w:r>
      <w:r>
        <w:rPr>
          <w:spacing w:val="-7"/>
          <w:w w:val="105"/>
        </w:rPr>
        <w:t> </w:t>
      </w:r>
      <w:r>
        <w:rPr>
          <w:w w:val="105"/>
        </w:rPr>
        <w:t>Agency</w:t>
        <w:tab/>
        <w:t>$1,000</w:t>
      </w:r>
    </w:p>
    <w:p>
      <w:pPr>
        <w:pStyle w:val="BodyText"/>
        <w:tabs>
          <w:tab w:pos="6340" w:val="left" w:leader="none"/>
        </w:tabs>
        <w:spacing w:before="19"/>
        <w:ind w:left="731"/>
      </w:pPr>
      <w:r>
        <w:rPr>
          <w:w w:val="105"/>
        </w:rPr>
        <w:t>Hospice</w:t>
        <w:tab/>
        <w:t>$500</w:t>
      </w:r>
    </w:p>
    <w:p>
      <w:pPr>
        <w:pStyle w:val="BodyText"/>
        <w:tabs>
          <w:tab w:pos="6232" w:val="left" w:leader="none"/>
        </w:tabs>
        <w:spacing w:before="19"/>
        <w:ind w:left="731"/>
      </w:pPr>
      <w:r>
        <w:rPr>
          <w:w w:val="105"/>
        </w:rPr>
        <w:t>Pure</w:t>
      </w:r>
      <w:r>
        <w:rPr>
          <w:spacing w:val="-6"/>
          <w:w w:val="105"/>
        </w:rPr>
        <w:t> </w:t>
      </w:r>
      <w:r>
        <w:rPr>
          <w:w w:val="105"/>
        </w:rPr>
        <w:t>Registry</w:t>
        <w:tab/>
        <w:t>$2,500</w:t>
      </w:r>
    </w:p>
    <w:p>
      <w:pPr>
        <w:pStyle w:val="BodyText"/>
        <w:spacing w:before="5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5"/>
        <w:gridCol w:w="2217"/>
        <w:gridCol w:w="1334"/>
        <w:gridCol w:w="642"/>
      </w:tblGrid>
      <w:tr>
        <w:trPr>
          <w:trHeight w:val="170" w:hRule="exact"/>
        </w:trPr>
        <w:tc>
          <w:tcPr>
            <w:tcW w:w="4715" w:type="dxa"/>
          </w:tcPr>
          <w:p>
            <w:pPr>
              <w:pStyle w:val="TableParagraph"/>
              <w:spacing w:line="159" w:lineRule="exact" w:before="0"/>
              <w:ind w:left="32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VI. </w:t>
            </w:r>
            <w:r>
              <w:rPr>
                <w:b/>
                <w:w w:val="105"/>
                <w:sz w:val="14"/>
                <w:u w:val="single"/>
              </w:rPr>
              <w:t>ADDITIONAL LIMITS AND DEDUCTIBLES</w:t>
            </w:r>
          </w:p>
        </w:tc>
        <w:tc>
          <w:tcPr>
            <w:tcW w:w="4193" w:type="dxa"/>
            <w:gridSpan w:val="3"/>
          </w:tcPr>
          <w:p>
            <w:pPr/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327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A.   </w:t>
            </w:r>
            <w:r>
              <w:rPr>
                <w:b/>
                <w:w w:val="105"/>
                <w:sz w:val="14"/>
                <w:u w:val="single"/>
              </w:rPr>
              <w:t>Increased Limits Factors</w:t>
            </w:r>
          </w:p>
        </w:tc>
        <w:tc>
          <w:tcPr>
            <w:tcW w:w="2217" w:type="dxa"/>
          </w:tcPr>
          <w:p>
            <w:pPr/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8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  <w:u w:val="single"/>
              </w:rPr>
              <w:t>B. Deductible</w:t>
            </w:r>
          </w:p>
        </w:tc>
        <w:tc>
          <w:tcPr>
            <w:tcW w:w="642" w:type="dxa"/>
          </w:tcPr>
          <w:p>
            <w:pPr/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$1,000,000/$1,000,000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1.000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17"/>
              <w:jc w:val="right"/>
              <w:rPr>
                <w:sz w:val="14"/>
              </w:rPr>
            </w:pPr>
            <w:r>
              <w:rPr>
                <w:sz w:val="14"/>
              </w:rPr>
              <w:t>Deductible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Discount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$2,000,000/$2,000,000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1.183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0"/>
              <w:jc w:val="right"/>
              <w:rPr>
                <w:sz w:val="14"/>
              </w:rPr>
            </w:pPr>
            <w:r>
              <w:rPr>
                <w:sz w:val="14"/>
              </w:rPr>
              <w:t>$1,000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1%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$2,000,000/$4,000,000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0"/>
              <w:jc w:val="right"/>
              <w:rPr>
                <w:sz w:val="14"/>
              </w:rPr>
            </w:pPr>
            <w:r>
              <w:rPr>
                <w:sz w:val="14"/>
              </w:rPr>
              <w:t>1.372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0"/>
              <w:jc w:val="right"/>
              <w:rPr>
                <w:sz w:val="14"/>
              </w:rPr>
            </w:pPr>
            <w:r>
              <w:rPr>
                <w:sz w:val="14"/>
              </w:rPr>
              <w:t>$2,500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2.5%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$3,000,000/$3,000,000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1"/>
              <w:jc w:val="right"/>
              <w:rPr>
                <w:sz w:val="14"/>
              </w:rPr>
            </w:pPr>
            <w:r>
              <w:rPr>
                <w:sz w:val="14"/>
              </w:rPr>
              <w:t>1.326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1"/>
              <w:jc w:val="right"/>
              <w:rPr>
                <w:sz w:val="14"/>
              </w:rPr>
            </w:pPr>
            <w:r>
              <w:rPr>
                <w:sz w:val="14"/>
              </w:rPr>
              <w:t>$5,000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5%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$3,000,000/$5,000,000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1"/>
              <w:jc w:val="right"/>
              <w:rPr>
                <w:sz w:val="14"/>
              </w:rPr>
            </w:pPr>
            <w:r>
              <w:rPr>
                <w:sz w:val="14"/>
              </w:rPr>
              <w:t>1.486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1"/>
              <w:jc w:val="right"/>
              <w:rPr>
                <w:sz w:val="14"/>
              </w:rPr>
            </w:pPr>
            <w:r>
              <w:rPr>
                <w:sz w:val="14"/>
              </w:rPr>
              <w:t>$10,000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10%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2"/>
              <w:rPr>
                <w:sz w:val="14"/>
              </w:rPr>
            </w:pPr>
            <w:r>
              <w:rPr>
                <w:w w:val="105"/>
                <w:sz w:val="14"/>
              </w:rPr>
              <w:t>$4,000,000/$4,000,000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1"/>
              <w:jc w:val="right"/>
              <w:rPr>
                <w:sz w:val="14"/>
              </w:rPr>
            </w:pPr>
            <w:r>
              <w:rPr>
                <w:sz w:val="14"/>
              </w:rPr>
              <w:t>1.444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1"/>
              <w:jc w:val="right"/>
              <w:rPr>
                <w:sz w:val="14"/>
              </w:rPr>
            </w:pPr>
            <w:r>
              <w:rPr>
                <w:sz w:val="14"/>
              </w:rPr>
              <w:t>$25,000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15%</w:t>
            </w:r>
          </w:p>
        </w:tc>
      </w:tr>
      <w:tr>
        <w:trPr>
          <w:trHeight w:val="18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1"/>
              <w:rPr>
                <w:sz w:val="14"/>
              </w:rPr>
            </w:pPr>
            <w:r>
              <w:rPr>
                <w:w w:val="105"/>
                <w:sz w:val="14"/>
              </w:rPr>
              <w:t>$4,000,000/$5,000,000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1"/>
              <w:jc w:val="right"/>
              <w:rPr>
                <w:sz w:val="14"/>
              </w:rPr>
            </w:pPr>
            <w:r>
              <w:rPr>
                <w:sz w:val="14"/>
              </w:rPr>
              <w:t>1.511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1"/>
              <w:jc w:val="right"/>
              <w:rPr>
                <w:sz w:val="14"/>
              </w:rPr>
            </w:pPr>
            <w:r>
              <w:rPr>
                <w:sz w:val="14"/>
              </w:rPr>
              <w:t>$50,000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0"/>
              <w:jc w:val="right"/>
              <w:rPr>
                <w:sz w:val="14"/>
              </w:rPr>
            </w:pPr>
            <w:r>
              <w:rPr>
                <w:sz w:val="14"/>
              </w:rPr>
              <w:t>35%</w:t>
            </w:r>
          </w:p>
        </w:tc>
      </w:tr>
      <w:tr>
        <w:trPr>
          <w:trHeight w:val="170" w:hRule="exact"/>
        </w:trPr>
        <w:tc>
          <w:tcPr>
            <w:tcW w:w="4715" w:type="dxa"/>
          </w:tcPr>
          <w:p>
            <w:pPr>
              <w:pStyle w:val="TableParagraph"/>
              <w:spacing w:before="8"/>
              <w:ind w:left="621"/>
              <w:rPr>
                <w:sz w:val="14"/>
              </w:rPr>
            </w:pPr>
            <w:r>
              <w:rPr>
                <w:w w:val="105"/>
                <w:sz w:val="14"/>
              </w:rPr>
              <w:t>$5,000,000/$5,000,000</w:t>
            </w:r>
          </w:p>
        </w:tc>
        <w:tc>
          <w:tcPr>
            <w:tcW w:w="2217" w:type="dxa"/>
          </w:tcPr>
          <w:p>
            <w:pPr>
              <w:pStyle w:val="TableParagraph"/>
              <w:spacing w:before="8"/>
              <w:ind w:right="411"/>
              <w:jc w:val="right"/>
              <w:rPr>
                <w:sz w:val="14"/>
              </w:rPr>
            </w:pPr>
            <w:r>
              <w:rPr>
                <w:sz w:val="14"/>
              </w:rPr>
              <w:t>1.550</w:t>
            </w:r>
          </w:p>
        </w:tc>
        <w:tc>
          <w:tcPr>
            <w:tcW w:w="1334" w:type="dxa"/>
          </w:tcPr>
          <w:p>
            <w:pPr>
              <w:pStyle w:val="TableParagraph"/>
              <w:spacing w:before="8"/>
              <w:ind w:right="161"/>
              <w:jc w:val="right"/>
              <w:rPr>
                <w:sz w:val="14"/>
              </w:rPr>
            </w:pPr>
            <w:r>
              <w:rPr>
                <w:sz w:val="14"/>
              </w:rPr>
              <w:t>$100,000</w:t>
            </w:r>
          </w:p>
        </w:tc>
        <w:tc>
          <w:tcPr>
            <w:tcW w:w="642" w:type="dxa"/>
          </w:tcPr>
          <w:p>
            <w:pPr>
              <w:pStyle w:val="TableParagraph"/>
              <w:spacing w:before="8"/>
              <w:ind w:right="31"/>
              <w:jc w:val="right"/>
              <w:rPr>
                <w:sz w:val="14"/>
              </w:rPr>
            </w:pPr>
            <w:r>
              <w:rPr>
                <w:sz w:val="14"/>
              </w:rPr>
              <w:t>50%</w:t>
            </w:r>
          </w:p>
        </w:tc>
      </w:tr>
    </w:tbl>
    <w:p>
      <w:pPr>
        <w:pStyle w:val="BodyText"/>
        <w:spacing w:before="2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36" w:val="left" w:leader="none"/>
        </w:tabs>
        <w:spacing w:line="240" w:lineRule="auto" w:before="0" w:after="0"/>
        <w:ind w:left="435" w:right="0" w:hanging="295"/>
        <w:jc w:val="left"/>
      </w:pPr>
      <w:r>
        <w:rPr>
          <w:w w:val="105"/>
          <w:u w:val="single"/>
        </w:rPr>
        <w:t>CLAIMS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MADE</w:t>
      </w:r>
      <w:r>
        <w:rPr>
          <w:spacing w:val="-17"/>
          <w:w w:val="105"/>
          <w:u w:val="single"/>
        </w:rPr>
        <w:t> </w:t>
      </w:r>
      <w:r>
        <w:rPr>
          <w:w w:val="105"/>
          <w:u w:val="single"/>
        </w:rPr>
        <w:t>CONVERSION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FACTORS</w:t>
      </w:r>
      <w:r>
        <w:rPr>
          <w:spacing w:val="-17"/>
          <w:w w:val="105"/>
          <w:u w:val="single"/>
        </w:rPr>
        <w:t> </w:t>
      </w:r>
      <w:r>
        <w:rPr>
          <w:w w:val="105"/>
          <w:u w:val="single"/>
        </w:rPr>
        <w:t>&amp;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EXTENDED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REPORTING</w:t>
      </w:r>
      <w:r>
        <w:rPr>
          <w:spacing w:val="-16"/>
          <w:w w:val="105"/>
          <w:u w:val="single"/>
        </w:rPr>
        <w:t> </w:t>
      </w:r>
      <w:r>
        <w:rPr>
          <w:w w:val="105"/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59" w:val="left" w:leader="none"/>
          <w:tab w:pos="5129" w:val="left" w:leader="none"/>
          <w:tab w:pos="6375" w:val="left" w:leader="none"/>
        </w:tabs>
        <w:spacing w:line="268" w:lineRule="auto" w:before="18" w:after="0"/>
        <w:ind w:left="4193" w:right="4848" w:hanging="3463"/>
        <w:jc w:val="left"/>
        <w:rPr>
          <w:sz w:val="14"/>
        </w:rPr>
      </w:pPr>
      <w:r>
        <w:rPr>
          <w:b/>
          <w:w w:val="105"/>
          <w:sz w:val="14"/>
          <w:u w:val="single"/>
        </w:rPr>
        <w:t>Claims</w:t>
      </w:r>
      <w:r>
        <w:rPr>
          <w:b/>
          <w:spacing w:val="-7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Made</w:t>
      </w:r>
      <w:r>
        <w:rPr>
          <w:b/>
          <w:spacing w:val="-8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Factors</w:t>
      </w:r>
      <w:r>
        <w:rPr>
          <w:b/>
          <w:w w:val="105"/>
          <w:sz w:val="14"/>
        </w:rPr>
        <w:tab/>
        <w:tab/>
      </w:r>
      <w:r>
        <w:rPr>
          <w:w w:val="105"/>
          <w:sz w:val="14"/>
          <w:u w:val="single"/>
        </w:rPr>
        <w:t>% of</w:t>
      </w:r>
      <w:r>
        <w:rPr>
          <w:spacing w:val="-22"/>
          <w:w w:val="105"/>
          <w:sz w:val="14"/>
          <w:u w:val="single"/>
        </w:rPr>
        <w:t> </w:t>
      </w:r>
      <w:r>
        <w:rPr>
          <w:w w:val="105"/>
          <w:sz w:val="14"/>
          <w:u w:val="single"/>
        </w:rPr>
        <w:t>Occurrence</w:t>
      </w:r>
      <w:r>
        <w:rPr>
          <w:spacing w:val="-11"/>
          <w:w w:val="105"/>
          <w:sz w:val="14"/>
          <w:u w:val="single"/>
        </w:rPr>
        <w:t> </w:t>
      </w:r>
      <w:r>
        <w:rPr>
          <w:w w:val="105"/>
          <w:sz w:val="14"/>
          <w:u w:val="single"/>
        </w:rPr>
        <w:t>Premium</w:t>
      </w:r>
      <w:r>
        <w:rPr>
          <w:w w:val="102"/>
          <w:sz w:val="14"/>
        </w:rPr>
        <w:t> </w:t>
      </w:r>
      <w:r>
        <w:rPr>
          <w:w w:val="105"/>
          <w:sz w:val="14"/>
        </w:rPr>
        <w:t>1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year</w:t>
        <w:tab/>
        <w:tab/>
        <w:t>0.55</w:t>
      </w:r>
    </w:p>
    <w:p>
      <w:pPr>
        <w:pStyle w:val="BodyText"/>
        <w:tabs>
          <w:tab w:pos="2181" w:val="left" w:leader="none"/>
        </w:tabs>
        <w:ind w:right="696"/>
        <w:jc w:val="center"/>
      </w:pPr>
      <w:r>
        <w:rPr>
          <w:w w:val="105"/>
        </w:rPr>
        <w:t>2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0.79</w:t>
      </w:r>
    </w:p>
    <w:p>
      <w:pPr>
        <w:pStyle w:val="BodyText"/>
        <w:tabs>
          <w:tab w:pos="2181" w:val="left" w:leader="none"/>
        </w:tabs>
        <w:spacing w:before="19"/>
        <w:ind w:right="696"/>
        <w:jc w:val="center"/>
      </w:pPr>
      <w:r>
        <w:rPr>
          <w:w w:val="105"/>
        </w:rPr>
        <w:t>3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0.91</w:t>
      </w:r>
    </w:p>
    <w:p>
      <w:pPr>
        <w:pStyle w:val="BodyText"/>
        <w:tabs>
          <w:tab w:pos="2181" w:val="left" w:leader="none"/>
        </w:tabs>
        <w:spacing w:before="19"/>
        <w:ind w:right="696"/>
        <w:jc w:val="center"/>
      </w:pPr>
      <w:r>
        <w:rPr>
          <w:w w:val="105"/>
        </w:rPr>
        <w:t>4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0.96</w:t>
      </w:r>
    </w:p>
    <w:p>
      <w:pPr>
        <w:pStyle w:val="BodyText"/>
        <w:tabs>
          <w:tab w:pos="2181" w:val="left" w:leader="none"/>
        </w:tabs>
        <w:spacing w:before="19"/>
        <w:ind w:right="696"/>
        <w:jc w:val="center"/>
      </w:pPr>
      <w:r>
        <w:rPr>
          <w:w w:val="105"/>
        </w:rPr>
        <w:t>5</w:t>
      </w:r>
      <w:r>
        <w:rPr>
          <w:spacing w:val="-3"/>
          <w:w w:val="105"/>
        </w:rPr>
        <w:t> </w:t>
      </w:r>
      <w:r>
        <w:rPr>
          <w:w w:val="105"/>
        </w:rPr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15" w:val="left" w:leader="none"/>
        </w:tabs>
        <w:spacing w:line="240" w:lineRule="auto" w:before="199" w:after="0"/>
        <w:ind w:left="914" w:right="0" w:hanging="184"/>
        <w:jc w:val="left"/>
        <w:rPr>
          <w:b/>
          <w:sz w:val="14"/>
        </w:rPr>
      </w:pPr>
      <w:r>
        <w:rPr>
          <w:b/>
          <w:w w:val="105"/>
          <w:sz w:val="14"/>
          <w:u w:val="single"/>
        </w:rPr>
        <w:t>Extended</w:t>
      </w:r>
      <w:r>
        <w:rPr>
          <w:b/>
          <w:spacing w:val="-18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Reporting</w:t>
      </w:r>
      <w:r>
        <w:rPr>
          <w:b/>
          <w:spacing w:val="-18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Period</w:t>
      </w:r>
      <w:r>
        <w:rPr>
          <w:b/>
          <w:spacing w:val="-19"/>
          <w:w w:val="105"/>
          <w:sz w:val="14"/>
          <w:u w:val="single"/>
        </w:rPr>
        <w:t> </w:t>
      </w:r>
      <w:r>
        <w:rPr>
          <w:b/>
          <w:w w:val="105"/>
          <w:sz w:val="14"/>
          <w:u w:val="single"/>
        </w:rPr>
        <w:t>Endorsemen</w:t>
      </w:r>
      <w:r>
        <w:rPr>
          <w:b/>
          <w:w w:val="105"/>
          <w:sz w:val="14"/>
        </w:rPr>
        <w:t>t</w:t>
      </w:r>
    </w:p>
    <w:p>
      <w:pPr>
        <w:pStyle w:val="BodyText"/>
        <w:spacing w:line="268" w:lineRule="auto" w:before="19"/>
        <w:ind w:left="730" w:right="7442"/>
      </w:pPr>
      <w:r>
        <w:rPr>
          <w:w w:val="105"/>
        </w:rPr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22"/>
        </w:rPr>
      </w:pPr>
    </w:p>
    <w:p>
      <w:pPr>
        <w:pStyle w:val="BodyText"/>
        <w:tabs>
          <w:tab w:pos="9851" w:val="left" w:leader="none"/>
        </w:tabs>
        <w:spacing w:before="1"/>
        <w:ind w:left="5527"/>
        <w:rPr>
          <w:rFonts w:ascii="Arial"/>
        </w:rPr>
      </w:pPr>
      <w:r>
        <w:rPr>
          <w:rFonts w:ascii="Arial"/>
          <w:w w:val="105"/>
        </w:rPr>
        <w:t>Page</w:t>
      </w:r>
      <w:r>
        <w:rPr>
          <w:rFonts w:ascii="Arial"/>
          <w:spacing w:val="-4"/>
          <w:w w:val="105"/>
        </w:rPr>
        <w:t> </w:t>
      </w:r>
      <w:r>
        <w:rPr>
          <w:rFonts w:ascii="Arial"/>
          <w:w w:val="105"/>
        </w:rPr>
        <w:t>2</w:t>
        <w:tab/>
        <w:t>Rev</w:t>
      </w:r>
      <w:r>
        <w:rPr>
          <w:rFonts w:ascii="Arial"/>
          <w:spacing w:val="-20"/>
          <w:w w:val="105"/>
        </w:rPr>
        <w:t> </w:t>
      </w:r>
      <w:r>
        <w:rPr>
          <w:rFonts w:ascii="Arial"/>
          <w:w w:val="105"/>
        </w:rPr>
        <w:t>6/15/2009</w:t>
      </w:r>
    </w:p>
    <w:sectPr>
      <w:type w:val="continuous"/>
      <w:pgSz w:w="12240" w:h="15840"/>
      <w:pgMar w:top="1100" w:bottom="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35" w:hanging="296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1">
      <w:start w:val="1"/>
      <w:numFmt w:val="upperRoman"/>
      <w:lvlText w:val="%2."/>
      <w:lvlJc w:val="left"/>
      <w:pPr>
        <w:ind w:left="4193" w:hanging="128"/>
        <w:jc w:val="left"/>
      </w:pPr>
      <w:rPr>
        <w:rFonts w:hint="default"/>
        <w:w w:val="102"/>
        <w:u w:val="single" w:color="000000"/>
      </w:rPr>
    </w:lvl>
    <w:lvl w:ilvl="2">
      <w:start w:val="0"/>
      <w:numFmt w:val="bullet"/>
      <w:lvlText w:val="•"/>
      <w:lvlJc w:val="left"/>
      <w:pPr>
        <w:ind w:left="5013" w:hanging="1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26" w:hanging="1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40" w:hanging="1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53" w:hanging="1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6" w:hanging="1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93" w:hanging="128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36" w:hanging="296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1">
      <w:start w:val="1"/>
      <w:numFmt w:val="upperLetter"/>
      <w:lvlText w:val="%2."/>
      <w:lvlJc w:val="left"/>
      <w:pPr>
        <w:ind w:left="732" w:hanging="296"/>
        <w:jc w:val="left"/>
      </w:pPr>
      <w:rPr>
        <w:rFonts w:hint="default" w:ascii="Times New Roman" w:hAnsi="Times New Roman" w:eastAsia="Times New Roman" w:cs="Times New Roman"/>
        <w:b/>
        <w:bCs/>
        <w:w w:val="102"/>
        <w:sz w:val="14"/>
        <w:szCs w:val="14"/>
      </w:rPr>
    </w:lvl>
    <w:lvl w:ilvl="2">
      <w:start w:val="1"/>
      <w:numFmt w:val="decimal"/>
      <w:lvlText w:val="%3."/>
      <w:lvlJc w:val="left"/>
      <w:pPr>
        <w:ind w:left="4600" w:hanging="144"/>
        <w:jc w:val="left"/>
      </w:pPr>
      <w:rPr>
        <w:rFonts w:hint="default" w:ascii="Times New Roman" w:hAnsi="Times New Roman" w:eastAsia="Times New Roman" w:cs="Times New Roman"/>
        <w:w w:val="102"/>
        <w:sz w:val="14"/>
        <w:szCs w:val="14"/>
      </w:rPr>
    </w:lvl>
    <w:lvl w:ilvl="3">
      <w:start w:val="0"/>
      <w:numFmt w:val="bullet"/>
      <w:lvlText w:val="•"/>
      <w:lvlJc w:val="left"/>
      <w:pPr>
        <w:ind w:left="546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30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5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25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790" w:hanging="144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4"/>
      <w:szCs w:val="14"/>
    </w:rPr>
  </w:style>
  <w:style w:styleId="Heading1" w:type="paragraph">
    <w:name w:val="Heading 1"/>
    <w:basedOn w:val="Normal"/>
    <w:uiPriority w:val="1"/>
    <w:qFormat/>
    <w:pPr>
      <w:ind w:left="436" w:hanging="295"/>
      <w:outlineLvl w:val="1"/>
    </w:pPr>
    <w:rPr>
      <w:rFonts w:ascii="Times New Roman" w:hAnsi="Times New Roman" w:eastAsia="Times New Roman" w:cs="Times New Roman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>
      <w:ind w:left="436" w:hanging="295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2017-09-29T10:13:15Z</dcterms:created>
  <dcterms:modified xsi:type="dcterms:W3CDTF">2017-09-29T10:13:15Z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