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442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434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VIRGINIA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6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0" w:val="left" w:leader="none"/>
                <w:tab w:pos="7911" w:val="left" w:leader="none"/>
                <w:tab w:pos="9483" w:val="left" w:leader="none"/>
              </w:tabs>
              <w:ind w:left="286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$2,000</w:t>
              <w:tab/>
              <w:t>$2,360</w:t>
              <w:tab/>
              <w:t>$2,561</w:t>
              <w:tab/>
              <w:t>$2,921</w:t>
              <w:tab/>
              <w:t>$3,100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$233</w:t>
              <w:tab/>
              <w:t>$275</w:t>
              <w:tab/>
              <w:t>$298</w:t>
              <w:tab/>
              <w:t>$340</w:t>
              <w:tab/>
              <w:t>$361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$174</w:t>
              <w:tab/>
              <w:t>$205</w:t>
              <w:tab/>
              <w:t>$223</w:t>
              <w:tab/>
              <w:t>$254</w:t>
              <w:tab/>
              <w:t>$270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$280</w:t>
              <w:tab/>
              <w:t>$331</w:t>
              <w:tab/>
              <w:t>$359</w:t>
              <w:tab/>
              <w:t>$409</w:t>
              <w:tab/>
              <w:t>$434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$375</w:t>
              <w:tab/>
              <w:t>$443</w:t>
              <w:tab/>
              <w:t>$480</w:t>
              <w:tab/>
              <w:t>$548</w:t>
              <w:tab/>
              <w:t>$582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$463</w:t>
              <w:tab/>
              <w:t>$547</w:t>
              <w:tab/>
              <w:t>$593</w:t>
              <w:tab/>
              <w:t>$677</w:t>
              <w:tab/>
              <w:t>$718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$552</w:t>
              <w:tab/>
              <w:t>$651</w:t>
              <w:tab/>
              <w:t>$706</w:t>
              <w:tab/>
              <w:t>$806</w:t>
              <w:tab/>
              <w:t>$855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$823</w:t>
              <w:tab/>
              <w:t>$971</w:t>
              <w:tab/>
              <w:t>$1,053</w:t>
              <w:tab/>
              <w:t>$1,202</w:t>
              <w:tab/>
              <w:t>$1,275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$1,072</w:t>
              <w:tab/>
              <w:t>$1,264</w:t>
              <w:tab/>
              <w:t>$1,372</w:t>
              <w:tab/>
              <w:t>$1,565</w:t>
              <w:tab/>
              <w:t>$1,661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$1,763</w:t>
              <w:tab/>
              <w:t>$2,081</w:t>
              <w:tab/>
              <w:t>$2,257</w:t>
              <w:tab/>
              <w:t>$2,575</w:t>
              <w:tab/>
              <w:t>$2,733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$2,310</w:t>
              <w:tab/>
              <w:t>$2,726</w:t>
              <w:tab/>
              <w:t>$2,957</w:t>
              <w:tab/>
              <w:t>$3,374</w:t>
              <w:tab/>
              <w:t>$3,581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$631</w:t>
              <w:tab/>
              <w:t>$744</w:t>
              <w:tab/>
              <w:t>$807</w:t>
              <w:tab/>
              <w:t>$921</w:t>
              <w:tab/>
              <w:t>$978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before="0"/>
              <w:ind w:right="3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spacing w:before="0"/>
              <w:ind w:left="2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$1.68</w:t>
              <w:tab/>
              <w:t>$1.98</w:t>
              <w:tab/>
              <w:t>$2.15</w:t>
              <w:tab/>
              <w:t>$2.46</w:t>
              <w:tab/>
              <w:t>$2.61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$0.84</w:t>
              <w:tab/>
              <w:t>$0.99</w:t>
              <w:tab/>
              <w:t>$1.07</w:t>
              <w:tab/>
              <w:t>$1.22</w:t>
              <w:tab/>
              <w:t>$1.30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$0.58</w:t>
              <w:tab/>
              <w:t>$0.68</w:t>
              <w:tab/>
              <w:t>$0.74</w:t>
              <w:tab/>
              <w:t>$0.85</w:t>
              <w:tab/>
              <w:t>$0.90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$0.26</w:t>
              <w:tab/>
              <w:t>$0.30</w:t>
              <w:tab/>
              <w:t>$0.33</w:t>
              <w:tab/>
              <w:t>$0.37</w:t>
              <w:tab/>
              <w:t>$0.40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$0.16</w:t>
              <w:tab/>
              <w:t>$0.17</w:t>
              <w:tab/>
              <w:t>$0.19</w:t>
              <w:tab/>
              <w:t>$0.21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3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4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40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$32,382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$29,517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$53,522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$50,438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$51,634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$38,347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$19,144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3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5220" w:right="2541" w:hanging="2674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VIRGINIA</w:t>
      </w:r>
    </w:p>
    <w:p>
      <w:pPr>
        <w:pStyle w:val="Heading1"/>
        <w:numPr>
          <w:ilvl w:val="0"/>
          <w:numId w:val="1"/>
        </w:numPr>
        <w:tabs>
          <w:tab w:pos="424" w:val="left" w:leader="none"/>
        </w:tabs>
        <w:spacing w:line="158" w:lineRule="exact" w:before="0" w:after="0"/>
        <w:ind w:left="423" w:right="0" w:hanging="303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26" w:val="left" w:leader="none"/>
        </w:tabs>
        <w:spacing w:line="240" w:lineRule="auto" w:before="0" w:after="0"/>
        <w:ind w:left="725" w:right="0" w:hanging="302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75" w:val="left" w:leader="none"/>
          <w:tab w:pos="4560" w:val="left" w:leader="none"/>
        </w:tabs>
        <w:spacing w:line="256" w:lineRule="auto" w:before="11" w:after="0"/>
        <w:ind w:left="4560" w:right="1020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75" w:val="left" w:leader="none"/>
          <w:tab w:pos="4560" w:val="left" w:leader="none"/>
        </w:tabs>
        <w:spacing w:line="256" w:lineRule="auto" w:before="0" w:after="0"/>
        <w:ind w:left="4560" w:right="698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75" w:val="left" w:leader="none"/>
          <w:tab w:pos="4560" w:val="left" w:leader="none"/>
        </w:tabs>
        <w:spacing w:line="240" w:lineRule="auto" w:before="0" w:after="0"/>
        <w:ind w:left="874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</w:t>
      </w:r>
    </w:p>
    <w:p>
      <w:pPr>
        <w:pStyle w:val="ListParagraph"/>
        <w:numPr>
          <w:ilvl w:val="2"/>
          <w:numId w:val="1"/>
        </w:numPr>
        <w:tabs>
          <w:tab w:pos="875" w:val="left" w:leader="none"/>
          <w:tab w:pos="4560" w:val="left" w:leader="none"/>
        </w:tabs>
        <w:spacing w:line="240" w:lineRule="auto" w:before="11" w:after="0"/>
        <w:ind w:left="874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60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75" w:val="left" w:leader="none"/>
          <w:tab w:pos="4560" w:val="left" w:leader="none"/>
        </w:tabs>
        <w:spacing w:line="256" w:lineRule="auto" w:before="11" w:after="0"/>
        <w:ind w:left="4560" w:right="14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</w:p>
    <w:p>
      <w:pPr>
        <w:pStyle w:val="BodyText"/>
        <w:rPr>
          <w:sz w:val="16"/>
        </w:rPr>
      </w:pPr>
    </w:p>
    <w:p>
      <w:pPr>
        <w:pStyle w:val="BodyText"/>
        <w:spacing w:before="1"/>
        <w:rPr>
          <w:sz w:val="16"/>
        </w:rPr>
      </w:pPr>
    </w:p>
    <w:p>
      <w:pPr>
        <w:pStyle w:val="Heading1"/>
        <w:numPr>
          <w:ilvl w:val="1"/>
          <w:numId w:val="1"/>
        </w:numPr>
        <w:tabs>
          <w:tab w:pos="726" w:val="left" w:leader="none"/>
        </w:tabs>
        <w:spacing w:line="240" w:lineRule="auto" w:before="0" w:after="0"/>
        <w:ind w:left="725" w:right="0" w:hanging="302"/>
        <w:jc w:val="left"/>
      </w:pPr>
      <w:r>
        <w:rPr>
          <w:u w:val="single"/>
        </w:rPr>
        <w:t>Credits/Debits</w:t>
      </w:r>
      <w:r>
        <w:rPr>
          <w:spacing w:val="-5"/>
          <w:u w:val="single"/>
        </w:rPr>
        <w:t> </w:t>
      </w:r>
      <w:r>
        <w:rPr>
          <w:u w:val="single"/>
        </w:rPr>
        <w:t>(to</w:t>
      </w:r>
      <w:r>
        <w:rPr>
          <w:spacing w:val="-5"/>
          <w:u w:val="single"/>
        </w:rPr>
        <w:t> </w:t>
      </w:r>
      <w:r>
        <w:rPr>
          <w:u w:val="single"/>
        </w:rPr>
        <w:t>be</w:t>
      </w:r>
      <w:r>
        <w:rPr>
          <w:spacing w:val="-5"/>
          <w:u w:val="single"/>
        </w:rPr>
        <w:t> </w:t>
      </w:r>
      <w:r>
        <w:rPr>
          <w:u w:val="single"/>
        </w:rPr>
        <w:t>documented</w:t>
      </w:r>
      <w:r>
        <w:rPr>
          <w:spacing w:val="-5"/>
          <w:u w:val="single"/>
        </w:rPr>
        <w:t> </w:t>
      </w:r>
      <w:r>
        <w:rPr>
          <w:u w:val="single"/>
        </w:rPr>
        <w:t>in</w:t>
      </w:r>
      <w:r>
        <w:rPr>
          <w:spacing w:val="-5"/>
          <w:u w:val="single"/>
        </w:rPr>
        <w:t> </w:t>
      </w:r>
      <w:r>
        <w:rPr>
          <w:u w:val="single"/>
        </w:rPr>
        <w:t>insurer's</w:t>
      </w:r>
      <w:r>
        <w:rPr>
          <w:spacing w:val="-5"/>
          <w:u w:val="single"/>
        </w:rPr>
        <w:t> </w:t>
      </w:r>
      <w:r>
        <w:rPr>
          <w:u w:val="single"/>
        </w:rPr>
        <w:t>file</w:t>
      </w:r>
      <w:r>
        <w:rPr>
          <w:spacing w:val="-5"/>
          <w:u w:val="single"/>
        </w:rPr>
        <w:t> </w:t>
      </w:r>
      <w:r>
        <w:rPr>
          <w:u w:val="single"/>
        </w:rPr>
        <w:t>at</w:t>
      </w:r>
      <w:r>
        <w:rPr>
          <w:spacing w:val="-5"/>
          <w:u w:val="single"/>
        </w:rPr>
        <w:t> </w:t>
      </w:r>
      <w:r>
        <w:rPr>
          <w:u w:val="single"/>
        </w:rPr>
        <w:t>policy</w:t>
      </w:r>
      <w:r>
        <w:rPr>
          <w:spacing w:val="-5"/>
          <w:u w:val="single"/>
        </w:rPr>
        <w:t> </w:t>
      </w:r>
      <w:r>
        <w:rPr>
          <w:u w:val="single"/>
        </w:rPr>
        <w:t>inception)</w:t>
      </w:r>
      <w:r>
        <w:rPr>
          <w:spacing w:val="-1"/>
          <w:u w:val="single"/>
        </w:rPr>
        <w:t> </w:t>
      </w:r>
    </w:p>
    <w:p>
      <w:pPr>
        <w:pStyle w:val="BodyText"/>
        <w:tabs>
          <w:tab w:pos="3662" w:val="left" w:leader="none"/>
        </w:tabs>
        <w:spacing w:before="11"/>
        <w:ind w:right="2564"/>
        <w:jc w:val="center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135" w:val="left" w:leader="none"/>
          <w:tab w:pos="3655" w:val="left" w:leader="none"/>
        </w:tabs>
        <w:spacing w:before="11"/>
        <w:ind w:right="2556"/>
        <w:jc w:val="center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135" w:val="left" w:leader="none"/>
          <w:tab w:pos="3655" w:val="left" w:leader="none"/>
        </w:tabs>
        <w:spacing w:before="11"/>
        <w:ind w:right="2556"/>
        <w:jc w:val="center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pStyle w:val="Heading1"/>
        <w:spacing w:before="11"/>
        <w:ind w:left="2658" w:right="2564" w:firstLine="0"/>
        <w:jc w:val="center"/>
      </w:pPr>
      <w:r>
        <w:rPr/>
        <w:t>MAXIMUM DEBIT/CREDIT +/-25%</w:t>
      </w:r>
    </w:p>
    <w:p>
      <w:pPr>
        <w:pStyle w:val="BodyText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26" w:val="left" w:leader="none"/>
        </w:tabs>
        <w:spacing w:line="240" w:lineRule="auto" w:before="1" w:after="0"/>
        <w:ind w:left="725" w:right="0" w:hanging="302"/>
        <w:jc w:val="left"/>
        <w:rPr>
          <w:b/>
          <w:sz w:val="15"/>
        </w:rPr>
      </w:pPr>
      <w:r>
        <w:rPr>
          <w:b/>
          <w:sz w:val="15"/>
          <w:u w:val="single"/>
        </w:rPr>
        <w:t>Experience</w:t>
      </w:r>
      <w:r>
        <w:rPr>
          <w:b/>
          <w:spacing w:val="-11"/>
          <w:sz w:val="15"/>
          <w:u w:val="single"/>
        </w:rPr>
        <w:t> </w:t>
      </w:r>
      <w:r>
        <w:rPr>
          <w:b/>
          <w:sz w:val="15"/>
          <w:u w:val="single"/>
        </w:rPr>
        <w:t>Rating</w:t>
      </w:r>
    </w:p>
    <w:p>
      <w:pPr>
        <w:pStyle w:val="BodyText"/>
        <w:tabs>
          <w:tab w:pos="5924" w:val="left" w:leader="none"/>
        </w:tabs>
        <w:spacing w:before="12"/>
        <w:ind w:left="725"/>
      </w:pPr>
      <w:r>
        <w:rPr/>
        <w:t>We will debit the</w:t>
      </w:r>
      <w:r>
        <w:rPr>
          <w:spacing w:val="-13"/>
        </w:rPr>
        <w:t> </w:t>
      </w:r>
      <w:r>
        <w:rPr/>
        <w:t>following</w:t>
      </w:r>
      <w:r>
        <w:rPr>
          <w:spacing w:val="-4"/>
        </w:rPr>
        <w:t> </w:t>
      </w:r>
      <w:r>
        <w:rPr/>
        <w:t>amounts:</w:t>
        <w:tab/>
        <w:t>We will credit the following</w:t>
      </w:r>
      <w:r>
        <w:rPr>
          <w:spacing w:val="-22"/>
        </w:rPr>
        <w:t> </w:t>
      </w:r>
      <w:r>
        <w:rPr/>
        <w:t>amounts:</w:t>
      </w:r>
    </w:p>
    <w:p>
      <w:pPr>
        <w:pStyle w:val="BodyText"/>
        <w:tabs>
          <w:tab w:pos="5924" w:val="left" w:leader="none"/>
        </w:tabs>
        <w:spacing w:before="12"/>
        <w:ind w:left="725"/>
      </w:pPr>
      <w:r>
        <w:rPr/>
        <w:t>10% for loss ratios greater</w:t>
      </w:r>
      <w:r>
        <w:rPr>
          <w:spacing w:val="-15"/>
        </w:rPr>
        <w:t> </w:t>
      </w:r>
      <w:r>
        <w:rPr/>
        <w:t>than</w:t>
      </w:r>
      <w:r>
        <w:rPr>
          <w:spacing w:val="-3"/>
        </w:rPr>
        <w:t> </w:t>
      </w:r>
      <w:r>
        <w:rPr/>
        <w:t>35%</w:t>
        <w:tab/>
        <w:t>10% for 3 years of loss free</w:t>
      </w:r>
      <w:r>
        <w:rPr>
          <w:spacing w:val="-22"/>
        </w:rPr>
        <w:t> </w:t>
      </w:r>
      <w:r>
        <w:rPr/>
        <w:t>history</w:t>
      </w:r>
    </w:p>
    <w:p>
      <w:pPr>
        <w:pStyle w:val="BodyText"/>
        <w:tabs>
          <w:tab w:pos="5924" w:val="left" w:leader="none"/>
        </w:tabs>
        <w:spacing w:before="12"/>
        <w:ind w:left="725"/>
      </w:pPr>
      <w:r>
        <w:rPr/>
        <w:t>15% for loss ratios greater</w:t>
      </w:r>
      <w:r>
        <w:rPr>
          <w:spacing w:val="-15"/>
        </w:rPr>
        <w:t> </w:t>
      </w:r>
      <w:r>
        <w:rPr/>
        <w:t>than</w:t>
      </w:r>
      <w:r>
        <w:rPr>
          <w:spacing w:val="-3"/>
        </w:rPr>
        <w:t> </w:t>
      </w:r>
      <w:r>
        <w:rPr/>
        <w:t>50%</w:t>
        <w:tab/>
        <w:t>15% for 5 years of loss free</w:t>
      </w:r>
      <w:r>
        <w:rPr>
          <w:spacing w:val="-22"/>
        </w:rPr>
        <w:t> </w:t>
      </w:r>
      <w:r>
        <w:rPr/>
        <w:t>history</w:t>
      </w:r>
    </w:p>
    <w:p>
      <w:pPr>
        <w:pStyle w:val="BodyText"/>
        <w:tabs>
          <w:tab w:pos="5924" w:val="left" w:leader="none"/>
        </w:tabs>
        <w:spacing w:before="12"/>
        <w:ind w:left="725"/>
      </w:pPr>
      <w:r>
        <w:rPr/>
        <w:t>25% for loss ratios greater</w:t>
      </w:r>
      <w:r>
        <w:rPr>
          <w:spacing w:val="-15"/>
        </w:rPr>
        <w:t> </w:t>
      </w:r>
      <w:r>
        <w:rPr/>
        <w:t>than</w:t>
      </w:r>
      <w:r>
        <w:rPr>
          <w:spacing w:val="-3"/>
        </w:rPr>
        <w:t> </w:t>
      </w:r>
      <w:r>
        <w:rPr/>
        <w:t>100%</w:t>
        <w:tab/>
        <w:t>25% for 10 years of loss free</w:t>
      </w:r>
      <w:r>
        <w:rPr>
          <w:spacing w:val="-23"/>
        </w:rPr>
        <w:t> </w:t>
      </w:r>
      <w:r>
        <w:rPr/>
        <w:t>history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24" w:val="left" w:leader="none"/>
        </w:tabs>
        <w:spacing w:line="240" w:lineRule="auto" w:before="0" w:after="0"/>
        <w:ind w:left="423" w:right="0" w:hanging="302"/>
        <w:jc w:val="left"/>
      </w:pPr>
      <w:r>
        <w:rPr>
          <w:u w:val="single"/>
        </w:rPr>
        <w:t>ADDITIONAL</w:t>
      </w:r>
      <w:r>
        <w:rPr>
          <w:spacing w:val="-16"/>
          <w:u w:val="single"/>
        </w:rPr>
        <w:t> </w:t>
      </w:r>
      <w:r>
        <w:rPr>
          <w:u w:val="single"/>
        </w:rPr>
        <w:t>INSUREDS</w:t>
      </w:r>
    </w:p>
    <w:p>
      <w:pPr>
        <w:pStyle w:val="BodyText"/>
        <w:spacing w:before="11"/>
        <w:ind w:left="42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24" w:val="left" w:leader="none"/>
        </w:tabs>
        <w:spacing w:line="240" w:lineRule="auto" w:before="0" w:after="20"/>
        <w:ind w:left="423" w:right="0" w:hanging="302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tbl>
      <w:tblPr>
        <w:tblW w:w="0" w:type="auto"/>
        <w:jc w:val="left"/>
        <w:tblInd w:w="69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86"/>
        <w:gridCol w:w="1720"/>
      </w:tblGrid>
      <w:tr>
        <w:trPr>
          <w:trHeight w:val="175" w:hRule="exact"/>
        </w:trPr>
        <w:tc>
          <w:tcPr>
            <w:tcW w:w="4186" w:type="dxa"/>
          </w:tcPr>
          <w:p>
            <w:pPr>
              <w:pStyle w:val="TableParagraph"/>
              <w:spacing w:line="165" w:lineRule="exact" w:before="0"/>
              <w:ind w:left="32"/>
              <w:rPr>
                <w:sz w:val="15"/>
              </w:rPr>
            </w:pPr>
            <w:r>
              <w:rPr>
                <w:sz w:val="15"/>
              </w:rPr>
              <w:t>Home Health Agency in business less than 3 yrs</w:t>
            </w:r>
          </w:p>
        </w:tc>
        <w:tc>
          <w:tcPr>
            <w:tcW w:w="1720" w:type="dxa"/>
          </w:tcPr>
          <w:p>
            <w:pPr>
              <w:pStyle w:val="TableParagraph"/>
              <w:spacing w:line="165" w:lineRule="exact" w:before="0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$3,000</w:t>
            </w:r>
          </w:p>
        </w:tc>
      </w:tr>
      <w:tr>
        <w:trPr>
          <w:trHeight w:val="185" w:hRule="exact"/>
        </w:trPr>
        <w:tc>
          <w:tcPr>
            <w:tcW w:w="4186" w:type="dxa"/>
          </w:tcPr>
          <w:p>
            <w:pPr>
              <w:pStyle w:val="TableParagraph"/>
              <w:spacing w:before="2"/>
              <w:ind w:left="32"/>
              <w:rPr>
                <w:sz w:val="15"/>
              </w:rPr>
            </w:pPr>
            <w:r>
              <w:rPr>
                <w:sz w:val="15"/>
              </w:rPr>
              <w:t>Home Health Agency</w:t>
            </w:r>
          </w:p>
        </w:tc>
        <w:tc>
          <w:tcPr>
            <w:tcW w:w="1720" w:type="dxa"/>
          </w:tcPr>
          <w:p>
            <w:pPr>
              <w:pStyle w:val="TableParagraph"/>
              <w:spacing w:before="2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</w:tr>
      <w:tr>
        <w:trPr>
          <w:trHeight w:val="185" w:hRule="exact"/>
        </w:trPr>
        <w:tc>
          <w:tcPr>
            <w:tcW w:w="4186" w:type="dxa"/>
          </w:tcPr>
          <w:p>
            <w:pPr>
              <w:pStyle w:val="TableParagraph"/>
              <w:spacing w:before="2"/>
              <w:ind w:left="32"/>
              <w:rPr>
                <w:sz w:val="15"/>
              </w:rPr>
            </w:pPr>
            <w:r>
              <w:rPr>
                <w:sz w:val="15"/>
              </w:rPr>
              <w:t>Hospice</w:t>
            </w:r>
          </w:p>
        </w:tc>
        <w:tc>
          <w:tcPr>
            <w:tcW w:w="1720" w:type="dxa"/>
          </w:tcPr>
          <w:p>
            <w:pPr>
              <w:pStyle w:val="TableParagraph"/>
              <w:spacing w:before="2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$500</w:t>
            </w:r>
          </w:p>
        </w:tc>
      </w:tr>
      <w:tr>
        <w:trPr>
          <w:trHeight w:val="175" w:hRule="exact"/>
        </w:trPr>
        <w:tc>
          <w:tcPr>
            <w:tcW w:w="4186" w:type="dxa"/>
          </w:tcPr>
          <w:p>
            <w:pPr>
              <w:pStyle w:val="TableParagraph"/>
              <w:spacing w:before="2"/>
              <w:ind w:left="32"/>
              <w:rPr>
                <w:sz w:val="15"/>
              </w:rPr>
            </w:pPr>
            <w:r>
              <w:rPr>
                <w:sz w:val="15"/>
              </w:rPr>
              <w:t>Pure Registry</w:t>
            </w:r>
          </w:p>
        </w:tc>
        <w:tc>
          <w:tcPr>
            <w:tcW w:w="1720" w:type="dxa"/>
          </w:tcPr>
          <w:p>
            <w:pPr>
              <w:pStyle w:val="TableParagraph"/>
              <w:spacing w:before="2"/>
              <w:ind w:right="3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</w:tr>
    </w:tbl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24" w:val="left" w:leader="none"/>
        </w:tabs>
        <w:spacing w:line="240" w:lineRule="auto" w:before="1" w:after="0"/>
        <w:ind w:left="423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ADDITIONAL LIMITS AND</w:t>
      </w:r>
      <w:r>
        <w:rPr>
          <w:b/>
          <w:spacing w:val="-27"/>
          <w:sz w:val="15"/>
          <w:u w:val="single"/>
        </w:rPr>
        <w:t> </w:t>
      </w:r>
      <w:r>
        <w:rPr>
          <w:b/>
          <w:sz w:val="15"/>
          <w:u w:val="single"/>
        </w:rPr>
        <w:t>DEDUCTIBLES</w:t>
      </w:r>
    </w:p>
    <w:p>
      <w:pPr>
        <w:pStyle w:val="ListParagraph"/>
        <w:numPr>
          <w:ilvl w:val="1"/>
          <w:numId w:val="1"/>
        </w:numPr>
        <w:tabs>
          <w:tab w:pos="726" w:val="left" w:leader="none"/>
          <w:tab w:pos="7416" w:val="left" w:leader="none"/>
        </w:tabs>
        <w:spacing w:line="240" w:lineRule="auto" w:before="12" w:after="19"/>
        <w:ind w:left="725" w:right="0" w:hanging="302"/>
        <w:jc w:val="left"/>
        <w:rPr>
          <w:b/>
          <w:sz w:val="15"/>
        </w:rPr>
      </w:pPr>
      <w:r>
        <w:rPr>
          <w:b/>
          <w:sz w:val="15"/>
          <w:u w:val="single"/>
        </w:rPr>
        <w:t>Increased Limits Factors (apply to $1,000,000/</w:t>
      </w:r>
      <w:r>
        <w:rPr>
          <w:b/>
          <w:spacing w:val="-26"/>
          <w:sz w:val="15"/>
          <w:u w:val="single"/>
        </w:rPr>
        <w:t> </w:t>
      </w:r>
      <w:r>
        <w:rPr>
          <w:b/>
          <w:sz w:val="15"/>
          <w:u w:val="single"/>
        </w:rPr>
        <w:t>$1,000,000</w:t>
      </w:r>
      <w:r>
        <w:rPr>
          <w:b/>
          <w:spacing w:val="-5"/>
          <w:sz w:val="15"/>
          <w:u w:val="single"/>
        </w:rPr>
        <w:t> </w:t>
      </w:r>
      <w:r>
        <w:rPr>
          <w:b/>
          <w:sz w:val="15"/>
          <w:u w:val="single"/>
        </w:rPr>
        <w:t>rate)</w:t>
      </w:r>
      <w:r>
        <w:rPr>
          <w:b/>
          <w:sz w:val="15"/>
        </w:rPr>
        <w:tab/>
      </w:r>
      <w:r>
        <w:rPr>
          <w:b/>
          <w:sz w:val="15"/>
          <w:u w:val="single"/>
        </w:rPr>
        <w:t>B.</w:t>
      </w:r>
      <w:r>
        <w:rPr>
          <w:b/>
          <w:spacing w:val="-6"/>
          <w:sz w:val="15"/>
          <w:u w:val="single"/>
        </w:rPr>
        <w:t> </w:t>
      </w:r>
      <w:r>
        <w:rPr>
          <w:b/>
          <w:sz w:val="15"/>
          <w:u w:val="single"/>
        </w:rPr>
        <w:t>Deductible</w:t>
      </w:r>
      <w:r>
        <w:rPr>
          <w:b/>
          <w:spacing w:val="-6"/>
          <w:sz w:val="15"/>
          <w:u w:val="single"/>
        </w:rPr>
        <w:t> </w:t>
      </w:r>
      <w:r>
        <w:rPr>
          <w:b/>
          <w:sz w:val="15"/>
          <w:u w:val="single"/>
        </w:rPr>
        <w:t>(subtracted</w:t>
      </w:r>
      <w:r>
        <w:rPr>
          <w:b/>
          <w:spacing w:val="-6"/>
          <w:sz w:val="15"/>
          <w:u w:val="single"/>
        </w:rPr>
        <w:t> </w:t>
      </w:r>
      <w:r>
        <w:rPr>
          <w:b/>
          <w:sz w:val="15"/>
          <w:u w:val="single"/>
        </w:rPr>
        <w:t>from</w:t>
      </w:r>
      <w:r>
        <w:rPr>
          <w:b/>
          <w:spacing w:val="-6"/>
          <w:sz w:val="15"/>
          <w:u w:val="single"/>
        </w:rPr>
        <w:t> </w:t>
      </w:r>
      <w:r>
        <w:rPr>
          <w:b/>
          <w:sz w:val="15"/>
          <w:u w:val="single"/>
        </w:rPr>
        <w:t>Increased</w:t>
      </w:r>
      <w:r>
        <w:rPr>
          <w:b/>
          <w:spacing w:val="-6"/>
          <w:sz w:val="15"/>
          <w:u w:val="single"/>
        </w:rPr>
        <w:t> </w:t>
      </w:r>
      <w:r>
        <w:rPr>
          <w:b/>
          <w:sz w:val="15"/>
          <w:u w:val="single"/>
        </w:rPr>
        <w:t>Limit</w:t>
      </w:r>
      <w:r>
        <w:rPr>
          <w:b/>
          <w:spacing w:val="-6"/>
          <w:sz w:val="15"/>
          <w:u w:val="single"/>
        </w:rPr>
        <w:t> </w:t>
      </w:r>
      <w:r>
        <w:rPr>
          <w:b/>
          <w:sz w:val="15"/>
          <w:u w:val="single"/>
        </w:rPr>
        <w:t>Factor) </w:t>
      </w:r>
    </w:p>
    <w:tbl>
      <w:tblPr>
        <w:tblW w:w="0" w:type="auto"/>
        <w:jc w:val="left"/>
        <w:tblInd w:w="69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6"/>
        <w:gridCol w:w="2846"/>
        <w:gridCol w:w="1204"/>
        <w:gridCol w:w="673"/>
      </w:tblGrid>
      <w:tr>
        <w:trPr>
          <w:trHeight w:val="175" w:hRule="exact"/>
        </w:trPr>
        <w:tc>
          <w:tcPr>
            <w:tcW w:w="3476" w:type="dxa"/>
          </w:tcPr>
          <w:p>
            <w:pPr>
              <w:pStyle w:val="TableParagraph"/>
              <w:spacing w:line="165" w:lineRule="exact" w:before="0"/>
              <w:ind w:left="33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846" w:type="dxa"/>
          </w:tcPr>
          <w:p>
            <w:pPr>
              <w:pStyle w:val="TableParagraph"/>
              <w:spacing w:line="165" w:lineRule="exact" w:before="0"/>
              <w:ind w:right="44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204" w:type="dxa"/>
          </w:tcPr>
          <w:p>
            <w:pPr>
              <w:pStyle w:val="TableParagraph"/>
              <w:spacing w:line="165" w:lineRule="exact" w:before="0"/>
              <w:ind w:right="101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73" w:type="dxa"/>
          </w:tcPr>
          <w:p>
            <w:pPr>
              <w:pStyle w:val="TableParagraph"/>
              <w:spacing w:line="165" w:lineRule="exact" w:before="0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3476" w:type="dxa"/>
          </w:tcPr>
          <w:p>
            <w:pPr>
              <w:pStyle w:val="TableParagraph"/>
              <w:spacing w:before="2"/>
              <w:ind w:left="33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846" w:type="dxa"/>
          </w:tcPr>
          <w:p>
            <w:pPr>
              <w:pStyle w:val="TableParagraph"/>
              <w:spacing w:before="2"/>
              <w:ind w:right="44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204" w:type="dxa"/>
          </w:tcPr>
          <w:p>
            <w:pPr>
              <w:pStyle w:val="TableParagraph"/>
              <w:spacing w:before="2"/>
              <w:ind w:right="15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73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3476" w:type="dxa"/>
          </w:tcPr>
          <w:p>
            <w:pPr>
              <w:pStyle w:val="TableParagraph"/>
              <w:spacing w:before="2"/>
              <w:ind w:left="32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846" w:type="dxa"/>
          </w:tcPr>
          <w:p>
            <w:pPr>
              <w:pStyle w:val="TableParagraph"/>
              <w:spacing w:before="2"/>
              <w:ind w:right="44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204" w:type="dxa"/>
          </w:tcPr>
          <w:p>
            <w:pPr>
              <w:pStyle w:val="TableParagraph"/>
              <w:spacing w:before="2"/>
              <w:ind w:right="15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73" w:type="dxa"/>
          </w:tcPr>
          <w:p>
            <w:pPr>
              <w:pStyle w:val="TableParagraph"/>
              <w:spacing w:before="2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3476" w:type="dxa"/>
          </w:tcPr>
          <w:p>
            <w:pPr>
              <w:pStyle w:val="TableParagraph"/>
              <w:spacing w:before="2"/>
              <w:ind w:left="32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846" w:type="dxa"/>
          </w:tcPr>
          <w:p>
            <w:pPr>
              <w:pStyle w:val="TableParagraph"/>
              <w:spacing w:before="2"/>
              <w:ind w:right="44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204" w:type="dxa"/>
          </w:tcPr>
          <w:p>
            <w:pPr>
              <w:pStyle w:val="TableParagraph"/>
              <w:spacing w:before="2"/>
              <w:ind w:right="15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73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3476" w:type="dxa"/>
          </w:tcPr>
          <w:p>
            <w:pPr>
              <w:pStyle w:val="TableParagraph"/>
              <w:spacing w:before="2"/>
              <w:ind w:left="32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846" w:type="dxa"/>
          </w:tcPr>
          <w:p>
            <w:pPr>
              <w:pStyle w:val="TableParagraph"/>
              <w:spacing w:before="2"/>
              <w:ind w:right="44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204" w:type="dxa"/>
          </w:tcPr>
          <w:p>
            <w:pPr>
              <w:pStyle w:val="TableParagraph"/>
              <w:spacing w:before="2"/>
              <w:ind w:right="15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73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3476" w:type="dxa"/>
          </w:tcPr>
          <w:p>
            <w:pPr>
              <w:pStyle w:val="TableParagraph"/>
              <w:spacing w:before="2"/>
              <w:ind w:left="32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846" w:type="dxa"/>
          </w:tcPr>
          <w:p>
            <w:pPr>
              <w:pStyle w:val="TableParagraph"/>
              <w:spacing w:before="2"/>
              <w:ind w:right="44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204" w:type="dxa"/>
          </w:tcPr>
          <w:p>
            <w:pPr>
              <w:pStyle w:val="TableParagraph"/>
              <w:spacing w:before="2"/>
              <w:ind w:right="15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73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3476" w:type="dxa"/>
          </w:tcPr>
          <w:p>
            <w:pPr>
              <w:pStyle w:val="TableParagraph"/>
              <w:spacing w:before="2"/>
              <w:ind w:left="32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846" w:type="dxa"/>
          </w:tcPr>
          <w:p>
            <w:pPr>
              <w:pStyle w:val="TableParagraph"/>
              <w:spacing w:before="2"/>
              <w:ind w:right="446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204" w:type="dxa"/>
          </w:tcPr>
          <w:p>
            <w:pPr>
              <w:pStyle w:val="TableParagraph"/>
              <w:spacing w:before="2"/>
              <w:ind w:right="15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73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3476" w:type="dxa"/>
          </w:tcPr>
          <w:p>
            <w:pPr>
              <w:pStyle w:val="TableParagraph"/>
              <w:spacing w:before="2"/>
              <w:ind w:left="32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846" w:type="dxa"/>
          </w:tcPr>
          <w:p>
            <w:pPr>
              <w:pStyle w:val="TableParagraph"/>
              <w:spacing w:before="2"/>
              <w:ind w:right="447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204" w:type="dxa"/>
          </w:tcPr>
          <w:p>
            <w:pPr>
              <w:pStyle w:val="TableParagraph"/>
              <w:spacing w:before="2"/>
              <w:ind w:right="158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73" w:type="dxa"/>
          </w:tcPr>
          <w:p>
            <w:pPr>
              <w:pStyle w:val="TableParagraph"/>
              <w:spacing w:before="2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23" w:val="left" w:leader="none"/>
        </w:tabs>
        <w:spacing w:line="240" w:lineRule="auto" w:before="1" w:after="0"/>
        <w:ind w:left="422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8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8"/>
          <w:sz w:val="15"/>
          <w:u w:val="single"/>
        </w:rPr>
        <w:t> </w:t>
      </w:r>
      <w:r>
        <w:rPr>
          <w:b/>
          <w:sz w:val="15"/>
          <w:u w:val="single"/>
        </w:rPr>
        <w:t>CONVERSION</w:t>
      </w:r>
      <w:r>
        <w:rPr>
          <w:b/>
          <w:spacing w:val="-8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pacing w:val="-8"/>
          <w:sz w:val="15"/>
          <w:u w:val="single"/>
        </w:rPr>
        <w:t> </w:t>
      </w:r>
      <w:r>
        <w:rPr>
          <w:b/>
          <w:sz w:val="15"/>
          <w:u w:val="single"/>
        </w:rPr>
        <w:t>&amp;</w:t>
      </w:r>
      <w:r>
        <w:rPr>
          <w:b/>
          <w:spacing w:val="-8"/>
          <w:sz w:val="15"/>
          <w:u w:val="single"/>
        </w:rPr>
        <w:t> </w:t>
      </w:r>
      <w:r>
        <w:rPr>
          <w:b/>
          <w:sz w:val="15"/>
          <w:u w:val="single"/>
        </w:rPr>
        <w:t>EXTENDED</w:t>
      </w:r>
      <w:r>
        <w:rPr>
          <w:b/>
          <w:spacing w:val="-8"/>
          <w:sz w:val="15"/>
          <w:u w:val="single"/>
        </w:rPr>
        <w:t> </w:t>
      </w:r>
      <w:r>
        <w:rPr>
          <w:b/>
          <w:sz w:val="15"/>
          <w:u w:val="single"/>
        </w:rPr>
        <w:t>REPORTING</w:t>
      </w:r>
      <w:r>
        <w:rPr>
          <w:b/>
          <w:spacing w:val="-8"/>
          <w:sz w:val="15"/>
          <w:u w:val="single"/>
        </w:rPr>
        <w:t> </w:t>
      </w:r>
      <w:r>
        <w:rPr>
          <w:b/>
          <w:sz w:val="15"/>
          <w:u w:val="single"/>
        </w:rPr>
        <w:t>PERIOD</w:t>
      </w:r>
    </w:p>
    <w:p>
      <w:pPr>
        <w:pStyle w:val="ListParagraph"/>
        <w:numPr>
          <w:ilvl w:val="0"/>
          <w:numId w:val="2"/>
        </w:numPr>
        <w:tabs>
          <w:tab w:pos="857" w:val="left" w:leader="none"/>
          <w:tab w:pos="5022" w:val="left" w:leader="none"/>
          <w:tab w:pos="6304" w:val="left" w:leader="none"/>
        </w:tabs>
        <w:spacing w:line="256" w:lineRule="auto" w:before="12" w:after="0"/>
        <w:ind w:left="4144" w:right="4844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59" w:val="left" w:leader="none"/>
        </w:tabs>
        <w:ind w:right="748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59" w:val="left" w:leader="none"/>
        </w:tabs>
        <w:spacing w:before="12"/>
        <w:ind w:right="748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59" w:val="left" w:leader="none"/>
        </w:tabs>
        <w:spacing w:before="12"/>
        <w:ind w:right="748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59" w:val="left" w:leader="none"/>
        </w:tabs>
        <w:spacing w:before="12"/>
        <w:ind w:right="748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BodyText"/>
        <w:spacing w:before="1"/>
        <w:rPr>
          <w:sz w:val="17"/>
        </w:rPr>
      </w:pPr>
    </w:p>
    <w:p>
      <w:pPr>
        <w:pStyle w:val="ListParagraph"/>
        <w:numPr>
          <w:ilvl w:val="0"/>
          <w:numId w:val="2"/>
        </w:numPr>
        <w:tabs>
          <w:tab w:pos="915" w:val="left" w:leader="none"/>
        </w:tabs>
        <w:spacing w:line="240" w:lineRule="auto" w:before="0" w:after="0"/>
        <w:ind w:left="914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spacing w:before="11"/>
        <w:ind w:left="724" w:right="0" w:firstLine="0"/>
        <w:jc w:val="left"/>
        <w:rPr>
          <w:b/>
          <w:sz w:val="15"/>
        </w:rPr>
      </w:pPr>
      <w:r>
        <w:rPr>
          <w:b/>
          <w:sz w:val="15"/>
        </w:rPr>
        <w:t>(Extended reporting period premiums must be based on the rates in effect at the most recent policy effective date)</w:t>
      </w:r>
    </w:p>
    <w:p>
      <w:pPr>
        <w:pStyle w:val="BodyText"/>
        <w:spacing w:line="256" w:lineRule="auto" w:before="11"/>
        <w:ind w:left="724" w:right="7379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5"/>
        </w:rPr>
      </w:pPr>
    </w:p>
    <w:p>
      <w:pPr>
        <w:pStyle w:val="BodyText"/>
        <w:tabs>
          <w:tab w:pos="9787" w:val="left" w:leader="none"/>
        </w:tabs>
        <w:spacing w:before="94"/>
        <w:ind w:left="547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pgSz w:w="12240" w:h="15840"/>
      <w:pgMar w:top="1020" w:bottom="0" w:left="400" w:right="3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upperRoman"/>
      <w:lvlText w:val="%1."/>
      <w:lvlJc w:val="left"/>
      <w:pPr>
        <w:ind w:left="4144" w:hanging="133"/>
        <w:jc w:val="left"/>
      </w:pPr>
      <w:rPr>
        <w:rFonts w:hint="default"/>
        <w:w w:val="99"/>
        <w:u w:val="single" w:color="000000"/>
      </w:rPr>
    </w:lvl>
    <w:lvl w:ilvl="1">
      <w:start w:val="0"/>
      <w:numFmt w:val="bullet"/>
      <w:lvlText w:val="•"/>
      <w:lvlJc w:val="left"/>
      <w:pPr>
        <w:ind w:left="4872" w:hanging="133"/>
      </w:pPr>
      <w:rPr>
        <w:rFonts w:hint="default"/>
      </w:rPr>
    </w:lvl>
    <w:lvl w:ilvl="2">
      <w:start w:val="0"/>
      <w:numFmt w:val="bullet"/>
      <w:lvlText w:val="•"/>
      <w:lvlJc w:val="left"/>
      <w:pPr>
        <w:ind w:left="5604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6336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7068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80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532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264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96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2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25" w:hanging="303"/>
        <w:jc w:val="left"/>
      </w:pPr>
      <w:rPr>
        <w:rFonts w:hint="default"/>
        <w:w w:val="99"/>
      </w:rPr>
    </w:lvl>
    <w:lvl w:ilvl="2">
      <w:start w:val="1"/>
      <w:numFmt w:val="decimal"/>
      <w:lvlText w:val="%3."/>
      <w:lvlJc w:val="left"/>
      <w:pPr>
        <w:ind w:left="4560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22" w:hanging="30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285" w:hanging="30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47" w:hanging="30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10" w:hanging="30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872" w:hanging="30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735" w:hanging="303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23" w:hanging="302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23" w:hanging="302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2017-09-29T14:56:52Z</dcterms:created>
  <dcterms:modified xsi:type="dcterms:W3CDTF">2017-09-29T14:56:52Z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2009-07-07T00:00:00Z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