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4435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NEBRASKA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spacing w:before="11"/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spacing w:before="11"/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$26,145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$20,062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$47,376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$36,887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$26,208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$27,046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1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4"/>
        <w:ind w:left="5330" w:right="2598" w:hanging="2489"/>
        <w:jc w:val="left"/>
        <w:rPr>
          <w:b/>
          <w:sz w:val="19"/>
        </w:rPr>
      </w:pPr>
      <w:bookmarkStart w:name="Rate Page  Page 2" w:id="2"/>
      <w:bookmarkEnd w:id="2"/>
      <w:r>
        <w:rPr/>
      </w:r>
      <w:r>
        <w:rPr>
          <w:b/>
          <w:w w:val="105"/>
          <w:sz w:val="19"/>
        </w:rPr>
        <w:t>HEALTHCARE AGENCY PROFESSIONAL LIABILITY PROGRAM NEBRASKA</w:t>
      </w:r>
    </w:p>
    <w:p>
      <w:pPr>
        <w:pStyle w:val="Heading1"/>
        <w:numPr>
          <w:ilvl w:val="0"/>
          <w:numId w:val="1"/>
        </w:numPr>
        <w:tabs>
          <w:tab w:pos="433" w:val="left" w:leader="none"/>
        </w:tabs>
        <w:spacing w:line="148" w:lineRule="exact" w:before="0" w:after="0"/>
        <w:ind w:left="432" w:right="0" w:hanging="286"/>
        <w:jc w:val="left"/>
      </w:pPr>
      <w:r>
        <w:rPr>
          <w:u w:val="single"/>
        </w:rPr>
        <w:t>SURCHARGES, CREDITS AND</w:t>
      </w:r>
      <w:r>
        <w:rPr>
          <w:spacing w:val="-18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5"/>
        <w:rPr>
          <w:b/>
          <w:sz w:val="16"/>
        </w:rPr>
      </w:pPr>
    </w:p>
    <w:p>
      <w:pPr>
        <w:pStyle w:val="ListParagraph"/>
        <w:numPr>
          <w:ilvl w:val="1"/>
          <w:numId w:val="1"/>
        </w:numPr>
        <w:tabs>
          <w:tab w:pos="718" w:val="left" w:leader="none"/>
        </w:tabs>
        <w:spacing w:line="240" w:lineRule="auto" w:before="0" w:after="0"/>
        <w:ind w:left="717" w:right="0" w:hanging="285"/>
        <w:jc w:val="left"/>
        <w:rPr>
          <w:b/>
          <w:sz w:val="14"/>
        </w:rPr>
      </w:pPr>
      <w:r>
        <w:rPr>
          <w:b/>
          <w:sz w:val="14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57" w:val="left" w:leader="none"/>
          <w:tab w:pos="4327" w:val="left" w:leader="none"/>
        </w:tabs>
        <w:spacing w:line="261" w:lineRule="auto" w:before="14" w:after="0"/>
        <w:ind w:left="4327" w:right="1773" w:hanging="3610"/>
        <w:jc w:val="left"/>
        <w:rPr>
          <w:sz w:val="14"/>
        </w:rPr>
      </w:pPr>
      <w:r>
        <w:rPr>
          <w:sz w:val="14"/>
        </w:rPr>
        <w:t>Malplacement-</w:t>
        <w:tab/>
        <w:t>A</w:t>
      </w:r>
      <w:r>
        <w:rPr>
          <w:spacing w:val="-4"/>
          <w:sz w:val="14"/>
        </w:rPr>
        <w:t> </w:t>
      </w:r>
      <w:r>
        <w:rPr>
          <w:sz w:val="14"/>
        </w:rPr>
        <w:t>malplacement</w:t>
      </w:r>
      <w:r>
        <w:rPr>
          <w:spacing w:val="-4"/>
          <w:sz w:val="14"/>
        </w:rPr>
        <w:t> </w:t>
      </w:r>
      <w:r>
        <w:rPr>
          <w:sz w:val="14"/>
        </w:rPr>
        <w:t>surcharge</w:t>
      </w:r>
      <w:r>
        <w:rPr>
          <w:spacing w:val="-4"/>
          <w:sz w:val="14"/>
        </w:rPr>
        <w:t> </w:t>
      </w:r>
      <w:r>
        <w:rPr>
          <w:sz w:val="14"/>
        </w:rPr>
        <w:t>of</w:t>
      </w:r>
      <w:r>
        <w:rPr>
          <w:spacing w:val="-4"/>
          <w:sz w:val="14"/>
        </w:rPr>
        <w:t> </w:t>
      </w:r>
      <w:r>
        <w:rPr>
          <w:sz w:val="14"/>
        </w:rPr>
        <w:t>25%</w:t>
      </w:r>
      <w:r>
        <w:rPr>
          <w:spacing w:val="-4"/>
          <w:sz w:val="14"/>
        </w:rPr>
        <w:t> </w:t>
      </w:r>
      <w:r>
        <w:rPr>
          <w:sz w:val="14"/>
        </w:rPr>
        <w:t>of</w:t>
      </w:r>
      <w:r>
        <w:rPr>
          <w:spacing w:val="-4"/>
          <w:sz w:val="14"/>
        </w:rPr>
        <w:t> </w:t>
      </w:r>
      <w:r>
        <w:rPr>
          <w:sz w:val="14"/>
        </w:rPr>
        <w:t>the</w:t>
      </w:r>
      <w:r>
        <w:rPr>
          <w:spacing w:val="-4"/>
          <w:sz w:val="14"/>
        </w:rPr>
        <w:t> </w:t>
      </w:r>
      <w:r>
        <w:rPr>
          <w:sz w:val="14"/>
        </w:rPr>
        <w:t>developed</w:t>
      </w:r>
      <w:r>
        <w:rPr>
          <w:spacing w:val="-4"/>
          <w:sz w:val="14"/>
        </w:rPr>
        <w:t> </w:t>
      </w:r>
      <w:r>
        <w:rPr>
          <w:sz w:val="14"/>
        </w:rPr>
        <w:t>premium,</w:t>
      </w:r>
      <w:r>
        <w:rPr>
          <w:spacing w:val="-4"/>
          <w:sz w:val="14"/>
        </w:rPr>
        <w:t> </w:t>
      </w:r>
      <w:r>
        <w:rPr>
          <w:sz w:val="14"/>
        </w:rPr>
        <w:t>before</w:t>
      </w:r>
      <w:r>
        <w:rPr>
          <w:spacing w:val="-4"/>
          <w:sz w:val="14"/>
        </w:rPr>
        <w:t> </w:t>
      </w:r>
      <w:r>
        <w:rPr>
          <w:sz w:val="14"/>
        </w:rPr>
        <w:t>credits</w:t>
      </w:r>
      <w:r>
        <w:rPr>
          <w:spacing w:val="-4"/>
          <w:sz w:val="14"/>
        </w:rPr>
        <w:t> </w:t>
      </w:r>
      <w:r>
        <w:rPr>
          <w:sz w:val="14"/>
        </w:rPr>
        <w:t>and</w:t>
      </w:r>
      <w:r>
        <w:rPr>
          <w:spacing w:val="-4"/>
          <w:sz w:val="14"/>
        </w:rPr>
        <w:t> </w:t>
      </w:r>
      <w:r>
        <w:rPr>
          <w:sz w:val="14"/>
        </w:rPr>
        <w:t>debits,</w:t>
      </w:r>
      <w:r>
        <w:rPr>
          <w:spacing w:val="-4"/>
          <w:sz w:val="14"/>
        </w:rPr>
        <w:t> </w:t>
      </w:r>
      <w:r>
        <w:rPr>
          <w:sz w:val="14"/>
        </w:rPr>
        <w:t>will</w:t>
      </w:r>
      <w:r>
        <w:rPr>
          <w:spacing w:val="-4"/>
          <w:sz w:val="14"/>
        </w:rPr>
        <w:t> </w:t>
      </w:r>
      <w:r>
        <w:rPr>
          <w:sz w:val="14"/>
        </w:rPr>
        <w:t>apply</w:t>
      </w:r>
      <w:r>
        <w:rPr>
          <w:w w:val="99"/>
          <w:sz w:val="14"/>
        </w:rPr>
        <w:t> </w:t>
      </w:r>
      <w:r>
        <w:rPr>
          <w:sz w:val="14"/>
        </w:rPr>
        <w:t>to agencies engaged in supplemental</w:t>
      </w:r>
      <w:r>
        <w:rPr>
          <w:spacing w:val="-19"/>
          <w:sz w:val="14"/>
        </w:rPr>
        <w:t> </w:t>
      </w:r>
      <w:r>
        <w:rPr>
          <w:sz w:val="14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57" w:val="left" w:leader="none"/>
          <w:tab w:pos="4327" w:val="left" w:leader="none"/>
        </w:tabs>
        <w:spacing w:line="261" w:lineRule="auto" w:before="0" w:after="0"/>
        <w:ind w:left="4327" w:right="1471" w:hanging="3610"/>
        <w:jc w:val="left"/>
        <w:rPr>
          <w:sz w:val="14"/>
        </w:rPr>
      </w:pPr>
      <w:r>
        <w:rPr>
          <w:sz w:val="14"/>
        </w:rPr>
        <w:t>Registry-</w:t>
        <w:tab/>
        <w:t>A</w:t>
      </w:r>
      <w:r>
        <w:rPr>
          <w:spacing w:val="-3"/>
          <w:sz w:val="14"/>
        </w:rPr>
        <w:t> </w:t>
      </w:r>
      <w:r>
        <w:rPr>
          <w:sz w:val="14"/>
        </w:rPr>
        <w:t>registry</w:t>
      </w:r>
      <w:r>
        <w:rPr>
          <w:spacing w:val="-3"/>
          <w:sz w:val="14"/>
        </w:rPr>
        <w:t> </w:t>
      </w:r>
      <w:r>
        <w:rPr>
          <w:sz w:val="14"/>
        </w:rPr>
        <w:t>surcharge</w:t>
      </w:r>
      <w:r>
        <w:rPr>
          <w:spacing w:val="-3"/>
          <w:sz w:val="14"/>
        </w:rPr>
        <w:t> </w:t>
      </w:r>
      <w:r>
        <w:rPr>
          <w:sz w:val="14"/>
        </w:rPr>
        <w:t>of</w:t>
      </w:r>
      <w:r>
        <w:rPr>
          <w:spacing w:val="-3"/>
          <w:sz w:val="14"/>
        </w:rPr>
        <w:t> </w:t>
      </w:r>
      <w:r>
        <w:rPr>
          <w:sz w:val="14"/>
        </w:rPr>
        <w:t>25%</w:t>
      </w:r>
      <w:r>
        <w:rPr>
          <w:spacing w:val="-3"/>
          <w:sz w:val="14"/>
        </w:rPr>
        <w:t> </w:t>
      </w:r>
      <w:r>
        <w:rPr>
          <w:sz w:val="14"/>
        </w:rPr>
        <w:t>of</w:t>
      </w:r>
      <w:r>
        <w:rPr>
          <w:spacing w:val="-3"/>
          <w:sz w:val="14"/>
        </w:rPr>
        <w:t> </w:t>
      </w:r>
      <w:r>
        <w:rPr>
          <w:sz w:val="14"/>
        </w:rPr>
        <w:t>the</w:t>
      </w:r>
      <w:r>
        <w:rPr>
          <w:spacing w:val="-3"/>
          <w:sz w:val="14"/>
        </w:rPr>
        <w:t> </w:t>
      </w:r>
      <w:r>
        <w:rPr>
          <w:sz w:val="14"/>
        </w:rPr>
        <w:t>developed</w:t>
      </w:r>
      <w:r>
        <w:rPr>
          <w:spacing w:val="-3"/>
          <w:sz w:val="14"/>
        </w:rPr>
        <w:t> </w:t>
      </w:r>
      <w:r>
        <w:rPr>
          <w:sz w:val="14"/>
        </w:rPr>
        <w:t>premium,</w:t>
      </w:r>
      <w:r>
        <w:rPr>
          <w:spacing w:val="-3"/>
          <w:sz w:val="14"/>
        </w:rPr>
        <w:t> </w:t>
      </w:r>
      <w:r>
        <w:rPr>
          <w:sz w:val="14"/>
        </w:rPr>
        <w:t>before</w:t>
      </w:r>
      <w:r>
        <w:rPr>
          <w:spacing w:val="-3"/>
          <w:sz w:val="14"/>
        </w:rPr>
        <w:t> </w:t>
      </w:r>
      <w:r>
        <w:rPr>
          <w:sz w:val="14"/>
        </w:rPr>
        <w:t>credits</w:t>
      </w:r>
      <w:r>
        <w:rPr>
          <w:spacing w:val="-3"/>
          <w:sz w:val="14"/>
        </w:rPr>
        <w:t> </w:t>
      </w:r>
      <w:r>
        <w:rPr>
          <w:sz w:val="14"/>
        </w:rPr>
        <w:t>and</w:t>
      </w:r>
      <w:r>
        <w:rPr>
          <w:spacing w:val="-3"/>
          <w:sz w:val="14"/>
        </w:rPr>
        <w:t> </w:t>
      </w:r>
      <w:r>
        <w:rPr>
          <w:sz w:val="14"/>
        </w:rPr>
        <w:t>debits,</w:t>
      </w:r>
      <w:r>
        <w:rPr>
          <w:spacing w:val="-3"/>
          <w:sz w:val="14"/>
        </w:rPr>
        <w:t> </w:t>
      </w:r>
      <w:r>
        <w:rPr>
          <w:sz w:val="14"/>
        </w:rPr>
        <w:t>will</w:t>
      </w:r>
      <w:r>
        <w:rPr>
          <w:spacing w:val="-3"/>
          <w:sz w:val="14"/>
        </w:rPr>
        <w:t> </w:t>
      </w:r>
      <w:r>
        <w:rPr>
          <w:sz w:val="14"/>
        </w:rPr>
        <w:t>apply</w:t>
      </w:r>
      <w:r>
        <w:rPr>
          <w:spacing w:val="-3"/>
          <w:sz w:val="14"/>
        </w:rPr>
        <w:t> </w:t>
      </w:r>
      <w:r>
        <w:rPr>
          <w:sz w:val="14"/>
        </w:rPr>
        <w:t>to</w:t>
      </w:r>
      <w:r>
        <w:rPr>
          <w:spacing w:val="-3"/>
          <w:sz w:val="14"/>
        </w:rPr>
        <w:t> </w:t>
      </w:r>
      <w:r>
        <w:rPr>
          <w:sz w:val="14"/>
        </w:rPr>
        <w:t>agencies</w:t>
      </w:r>
      <w:r>
        <w:rPr>
          <w:w w:val="99"/>
          <w:sz w:val="14"/>
        </w:rPr>
        <w:t> </w:t>
      </w:r>
      <w:r>
        <w:rPr>
          <w:sz w:val="14"/>
        </w:rPr>
        <w:t>that do supplemental staffing. This is in addition to the malplacement surcharge.</w:t>
      </w:r>
    </w:p>
    <w:p>
      <w:pPr>
        <w:pStyle w:val="ListParagraph"/>
        <w:numPr>
          <w:ilvl w:val="2"/>
          <w:numId w:val="1"/>
        </w:numPr>
        <w:tabs>
          <w:tab w:pos="857" w:val="left" w:leader="none"/>
          <w:tab w:pos="4327" w:val="left" w:leader="none"/>
        </w:tabs>
        <w:spacing w:line="240" w:lineRule="auto" w:before="0" w:after="0"/>
        <w:ind w:left="856" w:right="0" w:hanging="139"/>
        <w:jc w:val="left"/>
        <w:rPr>
          <w:sz w:val="14"/>
        </w:rPr>
      </w:pPr>
      <w:r>
        <w:rPr>
          <w:sz w:val="14"/>
        </w:rPr>
        <w:t>Background</w:t>
      </w:r>
      <w:r>
        <w:rPr>
          <w:spacing w:val="-3"/>
          <w:sz w:val="14"/>
        </w:rPr>
        <w:t> </w:t>
      </w:r>
      <w:r>
        <w:rPr>
          <w:sz w:val="14"/>
        </w:rPr>
        <w:t>Check-</w:t>
        <w:tab/>
        <w:t>A</w:t>
      </w:r>
      <w:r>
        <w:rPr>
          <w:spacing w:val="-4"/>
          <w:sz w:val="14"/>
        </w:rPr>
        <w:t> </w:t>
      </w:r>
      <w:r>
        <w:rPr>
          <w:sz w:val="14"/>
        </w:rPr>
        <w:t>surcharge</w:t>
      </w:r>
      <w:r>
        <w:rPr>
          <w:spacing w:val="-4"/>
          <w:sz w:val="14"/>
        </w:rPr>
        <w:t> </w:t>
      </w:r>
      <w:r>
        <w:rPr>
          <w:sz w:val="14"/>
        </w:rPr>
        <w:t>of</w:t>
      </w:r>
      <w:r>
        <w:rPr>
          <w:spacing w:val="-4"/>
          <w:sz w:val="14"/>
        </w:rPr>
        <w:t> </w:t>
      </w:r>
      <w:r>
        <w:rPr>
          <w:sz w:val="14"/>
        </w:rPr>
        <w:t>10%</w:t>
      </w:r>
      <w:r>
        <w:rPr>
          <w:spacing w:val="-4"/>
          <w:sz w:val="14"/>
        </w:rPr>
        <w:t> </w:t>
      </w:r>
      <w:r>
        <w:rPr>
          <w:sz w:val="14"/>
        </w:rPr>
        <w:t>to</w:t>
      </w:r>
      <w:r>
        <w:rPr>
          <w:spacing w:val="-4"/>
          <w:sz w:val="14"/>
        </w:rPr>
        <w:t> </w:t>
      </w:r>
      <w:r>
        <w:rPr>
          <w:sz w:val="14"/>
        </w:rPr>
        <w:t>agencies</w:t>
      </w:r>
      <w:r>
        <w:rPr>
          <w:spacing w:val="-4"/>
          <w:sz w:val="14"/>
        </w:rPr>
        <w:t> </w:t>
      </w:r>
      <w:r>
        <w:rPr>
          <w:sz w:val="14"/>
        </w:rPr>
        <w:t>not</w:t>
      </w:r>
      <w:r>
        <w:rPr>
          <w:spacing w:val="-4"/>
          <w:sz w:val="14"/>
        </w:rPr>
        <w:t> </w:t>
      </w:r>
      <w:r>
        <w:rPr>
          <w:sz w:val="14"/>
        </w:rPr>
        <w:t>performing</w:t>
      </w:r>
      <w:r>
        <w:rPr>
          <w:spacing w:val="-4"/>
          <w:sz w:val="14"/>
        </w:rPr>
        <w:t> </w:t>
      </w:r>
      <w:r>
        <w:rPr>
          <w:sz w:val="14"/>
        </w:rPr>
        <w:t>background</w:t>
      </w:r>
      <w:r>
        <w:rPr>
          <w:spacing w:val="-4"/>
          <w:sz w:val="14"/>
        </w:rPr>
        <w:t> </w:t>
      </w:r>
      <w:r>
        <w:rPr>
          <w:sz w:val="14"/>
        </w:rPr>
        <w:t>checks</w:t>
      </w:r>
      <w:r>
        <w:rPr>
          <w:spacing w:val="-4"/>
          <w:sz w:val="14"/>
        </w:rPr>
        <w:t> </w:t>
      </w:r>
      <w:r>
        <w:rPr>
          <w:sz w:val="14"/>
        </w:rPr>
        <w:t>on</w:t>
      </w:r>
      <w:r>
        <w:rPr>
          <w:spacing w:val="-4"/>
          <w:sz w:val="14"/>
        </w:rPr>
        <w:t> </w:t>
      </w:r>
      <w:r>
        <w:rPr>
          <w:sz w:val="14"/>
        </w:rPr>
        <w:t>their</w:t>
      </w:r>
      <w:r>
        <w:rPr>
          <w:spacing w:val="-4"/>
          <w:sz w:val="14"/>
        </w:rPr>
        <w:t> </w:t>
      </w:r>
      <w:r>
        <w:rPr>
          <w:sz w:val="14"/>
        </w:rPr>
        <w:t>employees</w:t>
      </w:r>
      <w:r>
        <w:rPr>
          <w:spacing w:val="-4"/>
          <w:sz w:val="14"/>
        </w:rPr>
        <w:t> </w:t>
      </w:r>
      <w:r>
        <w:rPr>
          <w:sz w:val="14"/>
        </w:rPr>
        <w:t>and</w:t>
      </w:r>
      <w:r>
        <w:rPr>
          <w:spacing w:val="-4"/>
          <w:sz w:val="14"/>
        </w:rPr>
        <w:t> </w:t>
      </w:r>
      <w:r>
        <w:rPr>
          <w:sz w:val="14"/>
        </w:rPr>
        <w:t>independent</w:t>
      </w:r>
      <w:r>
        <w:rPr>
          <w:spacing w:val="-4"/>
          <w:sz w:val="14"/>
        </w:rPr>
        <w:t> </w:t>
      </w:r>
      <w:r>
        <w:rPr>
          <w:sz w:val="14"/>
        </w:rPr>
        <w:t>contractors.</w:t>
      </w:r>
    </w:p>
    <w:p>
      <w:pPr>
        <w:pStyle w:val="ListParagraph"/>
        <w:numPr>
          <w:ilvl w:val="2"/>
          <w:numId w:val="1"/>
        </w:numPr>
        <w:tabs>
          <w:tab w:pos="857" w:val="left" w:leader="none"/>
          <w:tab w:pos="4327" w:val="left" w:leader="none"/>
        </w:tabs>
        <w:spacing w:line="240" w:lineRule="auto" w:before="14" w:after="0"/>
        <w:ind w:left="856" w:right="0" w:hanging="139"/>
        <w:jc w:val="left"/>
        <w:rPr>
          <w:sz w:val="14"/>
        </w:rPr>
      </w:pPr>
      <w:r>
        <w:rPr>
          <w:sz w:val="14"/>
        </w:rPr>
        <w:t>Nrsng Hms/Asstd Lvng Ctrs/Lng Trm</w:t>
      </w:r>
      <w:r>
        <w:rPr>
          <w:spacing w:val="-14"/>
          <w:sz w:val="14"/>
        </w:rPr>
        <w:t> </w:t>
      </w:r>
      <w:r>
        <w:rPr>
          <w:sz w:val="14"/>
        </w:rPr>
        <w:t>Care</w:t>
      </w:r>
      <w:r>
        <w:rPr>
          <w:spacing w:val="-3"/>
          <w:sz w:val="14"/>
        </w:rPr>
        <w:t> </w:t>
      </w:r>
      <w:r>
        <w:rPr>
          <w:sz w:val="14"/>
        </w:rPr>
        <w:t>Fac-</w:t>
        <w:tab/>
        <w:t>A</w:t>
      </w:r>
      <w:r>
        <w:rPr>
          <w:spacing w:val="-3"/>
          <w:sz w:val="14"/>
        </w:rPr>
        <w:t> </w:t>
      </w:r>
      <w:r>
        <w:rPr>
          <w:sz w:val="14"/>
        </w:rPr>
        <w:t>surcharge</w:t>
      </w:r>
      <w:r>
        <w:rPr>
          <w:spacing w:val="-3"/>
          <w:sz w:val="14"/>
        </w:rPr>
        <w:t> </w:t>
      </w:r>
      <w:r>
        <w:rPr>
          <w:sz w:val="14"/>
        </w:rPr>
        <w:t>of</w:t>
      </w:r>
      <w:r>
        <w:rPr>
          <w:spacing w:val="-3"/>
          <w:sz w:val="14"/>
        </w:rPr>
        <w:t> </w:t>
      </w:r>
      <w:r>
        <w:rPr>
          <w:sz w:val="14"/>
        </w:rPr>
        <w:t>25%</w:t>
      </w:r>
      <w:r>
        <w:rPr>
          <w:spacing w:val="-3"/>
          <w:sz w:val="14"/>
        </w:rPr>
        <w:t> </w:t>
      </w:r>
      <w:r>
        <w:rPr>
          <w:sz w:val="14"/>
        </w:rPr>
        <w:t>of</w:t>
      </w:r>
      <w:r>
        <w:rPr>
          <w:spacing w:val="-3"/>
          <w:sz w:val="14"/>
        </w:rPr>
        <w:t> </w:t>
      </w:r>
      <w:r>
        <w:rPr>
          <w:sz w:val="14"/>
        </w:rPr>
        <w:t>the</w:t>
      </w:r>
      <w:r>
        <w:rPr>
          <w:spacing w:val="-3"/>
          <w:sz w:val="14"/>
        </w:rPr>
        <w:t> </w:t>
      </w:r>
      <w:r>
        <w:rPr>
          <w:sz w:val="14"/>
        </w:rPr>
        <w:t>developed</w:t>
      </w:r>
      <w:r>
        <w:rPr>
          <w:spacing w:val="-3"/>
          <w:sz w:val="14"/>
        </w:rPr>
        <w:t> </w:t>
      </w:r>
      <w:r>
        <w:rPr>
          <w:sz w:val="14"/>
        </w:rPr>
        <w:t>premium,</w:t>
      </w:r>
      <w:r>
        <w:rPr>
          <w:spacing w:val="-3"/>
          <w:sz w:val="14"/>
        </w:rPr>
        <w:t> </w:t>
      </w:r>
      <w:r>
        <w:rPr>
          <w:sz w:val="14"/>
        </w:rPr>
        <w:t>before</w:t>
      </w:r>
      <w:r>
        <w:rPr>
          <w:spacing w:val="-3"/>
          <w:sz w:val="14"/>
        </w:rPr>
        <w:t> </w:t>
      </w:r>
      <w:r>
        <w:rPr>
          <w:sz w:val="14"/>
        </w:rPr>
        <w:t>debits</w:t>
      </w:r>
      <w:r>
        <w:rPr>
          <w:spacing w:val="-3"/>
          <w:sz w:val="14"/>
        </w:rPr>
        <w:t> </w:t>
      </w:r>
      <w:r>
        <w:rPr>
          <w:sz w:val="14"/>
        </w:rPr>
        <w:t>and</w:t>
      </w:r>
      <w:r>
        <w:rPr>
          <w:spacing w:val="-3"/>
          <w:sz w:val="14"/>
        </w:rPr>
        <w:t> </w:t>
      </w:r>
      <w:r>
        <w:rPr>
          <w:sz w:val="14"/>
        </w:rPr>
        <w:t>credits,</w:t>
      </w:r>
      <w:r>
        <w:rPr>
          <w:spacing w:val="-3"/>
          <w:sz w:val="14"/>
        </w:rPr>
        <w:t> </w:t>
      </w:r>
      <w:r>
        <w:rPr>
          <w:sz w:val="14"/>
        </w:rPr>
        <w:t>will</w:t>
      </w:r>
      <w:r>
        <w:rPr>
          <w:spacing w:val="-3"/>
          <w:sz w:val="14"/>
        </w:rPr>
        <w:t> </w:t>
      </w:r>
      <w:r>
        <w:rPr>
          <w:sz w:val="14"/>
        </w:rPr>
        <w:t>apply</w:t>
      </w:r>
      <w:r>
        <w:rPr>
          <w:spacing w:val="-3"/>
          <w:sz w:val="14"/>
        </w:rPr>
        <w:t> </w:t>
      </w:r>
      <w:r>
        <w:rPr>
          <w:sz w:val="14"/>
        </w:rPr>
        <w:t>to</w:t>
      </w:r>
      <w:r>
        <w:rPr>
          <w:spacing w:val="-3"/>
          <w:sz w:val="14"/>
        </w:rPr>
        <w:t> </w:t>
      </w:r>
      <w:r>
        <w:rPr>
          <w:sz w:val="14"/>
        </w:rPr>
        <w:t>agencies</w:t>
      </w:r>
      <w:r>
        <w:rPr>
          <w:spacing w:val="-3"/>
          <w:sz w:val="14"/>
        </w:rPr>
        <w:t> </w:t>
      </w:r>
      <w:r>
        <w:rPr>
          <w:sz w:val="14"/>
        </w:rPr>
        <w:t>that</w:t>
      </w:r>
      <w:r>
        <w:rPr>
          <w:spacing w:val="-3"/>
          <w:sz w:val="14"/>
        </w:rPr>
        <w:t> </w:t>
      </w:r>
      <w:r>
        <w:rPr>
          <w:sz w:val="14"/>
        </w:rPr>
        <w:t>do</w:t>
      </w:r>
    </w:p>
    <w:p>
      <w:pPr>
        <w:pStyle w:val="BodyText"/>
        <w:spacing w:before="14"/>
        <w:ind w:left="4327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57" w:val="left" w:leader="none"/>
          <w:tab w:pos="4327" w:val="left" w:leader="none"/>
        </w:tabs>
        <w:spacing w:line="261" w:lineRule="auto" w:before="14" w:after="0"/>
        <w:ind w:left="4327" w:right="556" w:hanging="3610"/>
        <w:jc w:val="left"/>
        <w:rPr>
          <w:sz w:val="14"/>
        </w:rPr>
      </w:pPr>
      <w:r>
        <w:rPr>
          <w:sz w:val="14"/>
        </w:rPr>
        <w:t>High</w:t>
      </w:r>
      <w:r>
        <w:rPr>
          <w:spacing w:val="-3"/>
          <w:sz w:val="14"/>
        </w:rPr>
        <w:t> </w:t>
      </w:r>
      <w:r>
        <w:rPr>
          <w:sz w:val="14"/>
        </w:rPr>
        <w:t>Tech/Crtcl</w:t>
      </w:r>
      <w:r>
        <w:rPr>
          <w:spacing w:val="-3"/>
          <w:sz w:val="14"/>
        </w:rPr>
        <w:t> </w:t>
      </w:r>
      <w:r>
        <w:rPr>
          <w:sz w:val="14"/>
        </w:rPr>
        <w:t>Care-</w:t>
        <w:tab/>
        <w:t>A</w:t>
      </w:r>
      <w:r>
        <w:rPr>
          <w:spacing w:val="-4"/>
          <w:sz w:val="14"/>
        </w:rPr>
        <w:t> </w:t>
      </w:r>
      <w:r>
        <w:rPr>
          <w:sz w:val="14"/>
        </w:rPr>
        <w:t>malplacement</w:t>
      </w:r>
      <w:r>
        <w:rPr>
          <w:spacing w:val="-4"/>
          <w:sz w:val="14"/>
        </w:rPr>
        <w:t> </w:t>
      </w:r>
      <w:r>
        <w:rPr>
          <w:sz w:val="14"/>
        </w:rPr>
        <w:t>Surcharge</w:t>
      </w:r>
      <w:r>
        <w:rPr>
          <w:spacing w:val="-4"/>
          <w:sz w:val="14"/>
        </w:rPr>
        <w:t> </w:t>
      </w:r>
      <w:r>
        <w:rPr>
          <w:sz w:val="14"/>
        </w:rPr>
        <w:t>of</w:t>
      </w:r>
      <w:r>
        <w:rPr>
          <w:spacing w:val="-4"/>
          <w:sz w:val="14"/>
        </w:rPr>
        <w:t> </w:t>
      </w:r>
      <w:r>
        <w:rPr>
          <w:sz w:val="14"/>
        </w:rPr>
        <w:t>25%</w:t>
      </w:r>
      <w:r>
        <w:rPr>
          <w:spacing w:val="-4"/>
          <w:sz w:val="14"/>
        </w:rPr>
        <w:t> </w:t>
      </w:r>
      <w:r>
        <w:rPr>
          <w:sz w:val="14"/>
        </w:rPr>
        <w:t>of</w:t>
      </w:r>
      <w:r>
        <w:rPr>
          <w:spacing w:val="-4"/>
          <w:sz w:val="14"/>
        </w:rPr>
        <w:t> </w:t>
      </w:r>
      <w:r>
        <w:rPr>
          <w:sz w:val="14"/>
        </w:rPr>
        <w:t>the</w:t>
      </w:r>
      <w:r>
        <w:rPr>
          <w:spacing w:val="-4"/>
          <w:sz w:val="14"/>
        </w:rPr>
        <w:t> </w:t>
      </w:r>
      <w:r>
        <w:rPr>
          <w:sz w:val="14"/>
        </w:rPr>
        <w:t>developed</w:t>
      </w:r>
      <w:r>
        <w:rPr>
          <w:spacing w:val="-4"/>
          <w:sz w:val="14"/>
        </w:rPr>
        <w:t> </w:t>
      </w:r>
      <w:r>
        <w:rPr>
          <w:sz w:val="14"/>
        </w:rPr>
        <w:t>premium,</w:t>
      </w:r>
      <w:r>
        <w:rPr>
          <w:spacing w:val="-4"/>
          <w:sz w:val="14"/>
        </w:rPr>
        <w:t> </w:t>
      </w:r>
      <w:r>
        <w:rPr>
          <w:sz w:val="14"/>
        </w:rPr>
        <w:t>before</w:t>
      </w:r>
      <w:r>
        <w:rPr>
          <w:spacing w:val="-4"/>
          <w:sz w:val="14"/>
        </w:rPr>
        <w:t> </w:t>
      </w:r>
      <w:r>
        <w:rPr>
          <w:sz w:val="14"/>
        </w:rPr>
        <w:t>credits</w:t>
      </w:r>
      <w:r>
        <w:rPr>
          <w:spacing w:val="-4"/>
          <w:sz w:val="14"/>
        </w:rPr>
        <w:t> </w:t>
      </w:r>
      <w:r>
        <w:rPr>
          <w:sz w:val="14"/>
        </w:rPr>
        <w:t>and</w:t>
      </w:r>
      <w:r>
        <w:rPr>
          <w:spacing w:val="-4"/>
          <w:sz w:val="14"/>
        </w:rPr>
        <w:t> </w:t>
      </w:r>
      <w:r>
        <w:rPr>
          <w:sz w:val="14"/>
        </w:rPr>
        <w:t>debits,</w:t>
      </w:r>
      <w:r>
        <w:rPr>
          <w:spacing w:val="-4"/>
          <w:sz w:val="14"/>
        </w:rPr>
        <w:t> </w:t>
      </w:r>
      <w:r>
        <w:rPr>
          <w:sz w:val="14"/>
        </w:rPr>
        <w:t>will</w:t>
      </w:r>
      <w:r>
        <w:rPr>
          <w:spacing w:val="-4"/>
          <w:sz w:val="14"/>
        </w:rPr>
        <w:t> </w:t>
      </w:r>
      <w:r>
        <w:rPr>
          <w:sz w:val="14"/>
        </w:rPr>
        <w:t>apply</w:t>
      </w:r>
      <w:r>
        <w:rPr>
          <w:spacing w:val="-4"/>
          <w:sz w:val="14"/>
        </w:rPr>
        <w:t> </w:t>
      </w:r>
      <w:r>
        <w:rPr>
          <w:sz w:val="14"/>
        </w:rPr>
        <w:t>to</w:t>
      </w:r>
      <w:r>
        <w:rPr>
          <w:spacing w:val="-4"/>
          <w:sz w:val="14"/>
        </w:rPr>
        <w:t> </w:t>
      </w:r>
      <w:r>
        <w:rPr>
          <w:sz w:val="14"/>
        </w:rPr>
        <w:t>Agencies</w:t>
      </w:r>
      <w:r>
        <w:rPr>
          <w:spacing w:val="-4"/>
          <w:sz w:val="14"/>
        </w:rPr>
        <w:t> </w:t>
      </w:r>
      <w:r>
        <w:rPr>
          <w:sz w:val="14"/>
        </w:rPr>
        <w:t>engaged</w:t>
      </w:r>
      <w:r>
        <w:rPr>
          <w:w w:val="99"/>
          <w:sz w:val="14"/>
        </w:rPr>
        <w:t> </w:t>
      </w:r>
      <w:r>
        <w:rPr>
          <w:sz w:val="14"/>
        </w:rPr>
        <w:t>in</w:t>
      </w:r>
      <w:r>
        <w:rPr>
          <w:spacing w:val="-4"/>
          <w:sz w:val="14"/>
        </w:rPr>
        <w:t> </w:t>
      </w:r>
      <w:r>
        <w:rPr>
          <w:sz w:val="14"/>
        </w:rPr>
        <w:t>High</w:t>
      </w:r>
      <w:r>
        <w:rPr>
          <w:spacing w:val="-4"/>
          <w:sz w:val="14"/>
        </w:rPr>
        <w:t> </w:t>
      </w:r>
      <w:r>
        <w:rPr>
          <w:sz w:val="14"/>
        </w:rPr>
        <w:t>Tech/Critical</w:t>
      </w:r>
      <w:r>
        <w:rPr>
          <w:spacing w:val="-4"/>
          <w:sz w:val="14"/>
        </w:rPr>
        <w:t> </w:t>
      </w:r>
      <w:r>
        <w:rPr>
          <w:sz w:val="14"/>
        </w:rPr>
        <w:t>Care</w:t>
      </w:r>
      <w:r>
        <w:rPr>
          <w:spacing w:val="-4"/>
          <w:sz w:val="14"/>
        </w:rPr>
        <w:t> </w:t>
      </w:r>
      <w:r>
        <w:rPr>
          <w:sz w:val="14"/>
        </w:rPr>
        <w:t>services</w:t>
      </w:r>
      <w:r>
        <w:rPr>
          <w:spacing w:val="-4"/>
          <w:sz w:val="14"/>
        </w:rPr>
        <w:t> </w:t>
      </w:r>
      <w:r>
        <w:rPr>
          <w:sz w:val="14"/>
        </w:rPr>
        <w:t>including</w:t>
      </w:r>
      <w:r>
        <w:rPr>
          <w:spacing w:val="-4"/>
          <w:sz w:val="14"/>
        </w:rPr>
        <w:t> </w:t>
      </w:r>
      <w:r>
        <w:rPr>
          <w:sz w:val="14"/>
        </w:rPr>
        <w:t>Surgical,</w:t>
      </w:r>
      <w:r>
        <w:rPr>
          <w:spacing w:val="-4"/>
          <w:sz w:val="14"/>
        </w:rPr>
        <w:t> </w:t>
      </w:r>
      <w:r>
        <w:rPr>
          <w:sz w:val="14"/>
        </w:rPr>
        <w:t>Pediatric,</w:t>
      </w:r>
      <w:r>
        <w:rPr>
          <w:spacing w:val="-4"/>
          <w:sz w:val="14"/>
        </w:rPr>
        <w:t> </w:t>
      </w:r>
      <w:r>
        <w:rPr>
          <w:sz w:val="14"/>
        </w:rPr>
        <w:t>Infusion</w:t>
      </w:r>
      <w:r>
        <w:rPr>
          <w:spacing w:val="-4"/>
          <w:sz w:val="14"/>
        </w:rPr>
        <w:t> </w:t>
      </w:r>
      <w:r>
        <w:rPr>
          <w:sz w:val="14"/>
        </w:rPr>
        <w:t>Therapy,</w:t>
      </w:r>
      <w:r>
        <w:rPr>
          <w:spacing w:val="-4"/>
          <w:sz w:val="14"/>
        </w:rPr>
        <w:t> </w:t>
      </w:r>
      <w:r>
        <w:rPr>
          <w:sz w:val="14"/>
        </w:rPr>
        <w:t>and</w:t>
      </w:r>
      <w:r>
        <w:rPr>
          <w:spacing w:val="-4"/>
          <w:sz w:val="14"/>
        </w:rPr>
        <w:t> </w:t>
      </w:r>
      <w:r>
        <w:rPr>
          <w:sz w:val="14"/>
        </w:rPr>
        <w:t>Tracheotomy/Ventilator</w:t>
      </w:r>
      <w:r>
        <w:rPr>
          <w:spacing w:val="-4"/>
          <w:sz w:val="14"/>
        </w:rPr>
        <w:t> </w:t>
      </w:r>
      <w:r>
        <w:rPr>
          <w:sz w:val="14"/>
        </w:rPr>
        <w:t>Care.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39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1557"/>
        <w:gridCol w:w="3169"/>
        <w:gridCol w:w="1035"/>
        <w:gridCol w:w="2645"/>
        <w:gridCol w:w="1131"/>
      </w:tblGrid>
      <w:tr>
        <w:trPr>
          <w:trHeight w:val="252" w:hRule="exact"/>
        </w:trPr>
        <w:tc>
          <w:tcPr>
            <w:tcW w:w="1548" w:type="dxa"/>
          </w:tcPr>
          <w:p>
            <w:pPr>
              <w:pStyle w:val="TableParagraph"/>
              <w:spacing w:line="154" w:lineRule="exact" w:before="0"/>
              <w:ind w:left="32"/>
              <w:rPr>
                <w:b/>
                <w:sz w:val="14"/>
              </w:rPr>
            </w:pPr>
            <w:r>
              <w:rPr>
                <w:b/>
                <w:sz w:val="14"/>
              </w:rPr>
              <w:t>B.    </w:t>
            </w:r>
            <w:r>
              <w:rPr>
                <w:b/>
                <w:sz w:val="14"/>
                <w:u w:val="single"/>
              </w:rPr>
              <w:t>Credits/Debits</w:t>
            </w:r>
          </w:p>
        </w:tc>
        <w:tc>
          <w:tcPr>
            <w:tcW w:w="9537" w:type="dxa"/>
            <w:gridSpan w:val="5"/>
          </w:tcPr>
          <w:p>
            <w:pPr/>
          </w:p>
        </w:tc>
      </w:tr>
      <w:tr>
        <w:trPr>
          <w:trHeight w:val="263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>
              <w:pStyle w:val="TableParagraph"/>
              <w:spacing w:before="91"/>
              <w:ind w:left="372"/>
              <w:rPr>
                <w:sz w:val="14"/>
              </w:rPr>
            </w:pPr>
            <w:r>
              <w:rPr>
                <w:sz w:val="14"/>
                <w:u w:val="single"/>
              </w:rPr>
              <w:t>Debits</w:t>
            </w:r>
          </w:p>
        </w:tc>
        <w:tc>
          <w:tcPr>
            <w:tcW w:w="3169" w:type="dxa"/>
          </w:tcPr>
          <w:p>
            <w:pPr>
              <w:pStyle w:val="TableParagraph"/>
              <w:tabs>
                <w:tab w:pos="2268" w:val="left" w:leader="none"/>
              </w:tabs>
              <w:spacing w:before="91"/>
              <w:ind w:left="821"/>
              <w:rPr>
                <w:sz w:val="14"/>
              </w:rPr>
            </w:pPr>
            <w:r>
              <w:rPr>
                <w:sz w:val="14"/>
                <w:u w:val="single"/>
              </w:rPr>
              <w:t>Claims</w:t>
            </w:r>
            <w:r>
              <w:rPr>
                <w:spacing w:val="-3"/>
                <w:sz w:val="14"/>
                <w:u w:val="single"/>
              </w:rPr>
              <w:t> </w:t>
            </w:r>
            <w:r>
              <w:rPr>
                <w:sz w:val="14"/>
                <w:u w:val="single"/>
              </w:rPr>
              <w:t>History</w:t>
            </w:r>
            <w:r>
              <w:rPr>
                <w:sz w:val="14"/>
              </w:rPr>
              <w:tab/>
            </w:r>
            <w:r>
              <w:rPr>
                <w:sz w:val="14"/>
                <w:u w:val="single"/>
              </w:rPr>
              <w:t>Credi</w:t>
            </w:r>
            <w:r>
              <w:rPr>
                <w:sz w:val="14"/>
              </w:rPr>
              <w:t>t</w:t>
            </w:r>
          </w:p>
        </w:tc>
        <w:tc>
          <w:tcPr>
            <w:tcW w:w="1035" w:type="dxa"/>
          </w:tcPr>
          <w:p>
            <w:pPr>
              <w:pStyle w:val="TableParagraph"/>
              <w:spacing w:before="91"/>
              <w:ind w:right="117"/>
              <w:jc w:val="right"/>
              <w:rPr>
                <w:sz w:val="14"/>
              </w:rPr>
            </w:pPr>
            <w:r>
              <w:rPr>
                <w:w w:val="95"/>
                <w:sz w:val="14"/>
                <w:u w:val="single"/>
              </w:rPr>
              <w:t>Debits</w:t>
            </w:r>
          </w:p>
        </w:tc>
        <w:tc>
          <w:tcPr>
            <w:tcW w:w="2645" w:type="dxa"/>
          </w:tcPr>
          <w:p>
            <w:pPr>
              <w:pStyle w:val="TableParagraph"/>
              <w:spacing w:before="91"/>
              <w:ind w:left="119"/>
              <w:rPr>
                <w:sz w:val="14"/>
              </w:rPr>
            </w:pPr>
            <w:r>
              <w:rPr>
                <w:sz w:val="14"/>
                <w:u w:val="single"/>
              </w:rPr>
              <w:t>Nature of Operations</w:t>
            </w:r>
          </w:p>
        </w:tc>
        <w:tc>
          <w:tcPr>
            <w:tcW w:w="1131" w:type="dxa"/>
          </w:tcPr>
          <w:p>
            <w:pPr>
              <w:pStyle w:val="TableParagraph"/>
              <w:spacing w:before="91"/>
              <w:ind w:right="30"/>
              <w:jc w:val="right"/>
              <w:rPr>
                <w:sz w:val="14"/>
              </w:rPr>
            </w:pPr>
            <w:r>
              <w:rPr>
                <w:sz w:val="14"/>
                <w:u w:val="single"/>
              </w:rPr>
              <w:t>Credi</w:t>
            </w:r>
            <w:r>
              <w:rPr>
                <w:sz w:val="14"/>
              </w:rPr>
              <w:t>t</w:t>
            </w:r>
          </w:p>
        </w:tc>
      </w:tr>
      <w:tr>
        <w:trPr>
          <w:trHeight w:val="17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>
              <w:pStyle w:val="TableParagraph"/>
              <w:ind w:left="427"/>
              <w:rPr>
                <w:sz w:val="14"/>
              </w:rPr>
            </w:pPr>
            <w:r>
              <w:rPr>
                <w:sz w:val="14"/>
              </w:rPr>
              <w:t>10%</w:t>
            </w:r>
          </w:p>
        </w:tc>
        <w:tc>
          <w:tcPr>
            <w:tcW w:w="3169" w:type="dxa"/>
          </w:tcPr>
          <w:p>
            <w:pPr>
              <w:pStyle w:val="TableParagraph"/>
              <w:ind w:left="821"/>
              <w:rPr>
                <w:sz w:val="14"/>
              </w:rPr>
            </w:pPr>
            <w:r>
              <w:rPr>
                <w:sz w:val="14"/>
              </w:rPr>
              <w:t>Loss ratios greater than 35%</w:t>
            </w:r>
          </w:p>
        </w:tc>
        <w:tc>
          <w:tcPr>
            <w:tcW w:w="1035" w:type="dxa"/>
          </w:tcPr>
          <w:p>
            <w:pPr>
              <w:pStyle w:val="TableParagraph"/>
              <w:ind w:right="20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5%</w:t>
            </w:r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between 3-5 years</w:t>
            </w:r>
          </w:p>
        </w:tc>
        <w:tc>
          <w:tcPr>
            <w:tcW w:w="1131" w:type="dxa"/>
          </w:tcPr>
          <w:p>
            <w:pPr/>
          </w:p>
        </w:tc>
      </w:tr>
      <w:tr>
        <w:trPr>
          <w:trHeight w:val="17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>
              <w:pStyle w:val="TableParagraph"/>
              <w:ind w:left="427"/>
              <w:rPr>
                <w:sz w:val="14"/>
              </w:rPr>
            </w:pPr>
            <w:r>
              <w:rPr>
                <w:sz w:val="14"/>
              </w:rPr>
              <w:t>15%</w:t>
            </w:r>
          </w:p>
        </w:tc>
        <w:tc>
          <w:tcPr>
            <w:tcW w:w="3169" w:type="dxa"/>
          </w:tcPr>
          <w:p>
            <w:pPr>
              <w:pStyle w:val="TableParagraph"/>
              <w:ind w:left="821"/>
              <w:rPr>
                <w:sz w:val="14"/>
              </w:rPr>
            </w:pPr>
            <w:r>
              <w:rPr>
                <w:sz w:val="14"/>
              </w:rPr>
              <w:t>Loss ratios greater than 50%</w:t>
            </w:r>
          </w:p>
        </w:tc>
        <w:tc>
          <w:tcPr>
            <w:tcW w:w="1035" w:type="dxa"/>
          </w:tcPr>
          <w:p>
            <w:pPr>
              <w:pStyle w:val="TableParagraph"/>
              <w:ind w:right="17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10%</w:t>
            </w:r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between 1-3 years</w:t>
            </w:r>
          </w:p>
        </w:tc>
        <w:tc>
          <w:tcPr>
            <w:tcW w:w="1131" w:type="dxa"/>
          </w:tcPr>
          <w:p>
            <w:pPr/>
          </w:p>
        </w:tc>
      </w:tr>
      <w:tr>
        <w:trPr>
          <w:trHeight w:val="17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>
              <w:pStyle w:val="TableParagraph"/>
              <w:ind w:left="427"/>
              <w:rPr>
                <w:sz w:val="14"/>
              </w:rPr>
            </w:pPr>
            <w:r>
              <w:rPr>
                <w:sz w:val="14"/>
              </w:rPr>
              <w:t>25%</w:t>
            </w:r>
          </w:p>
        </w:tc>
        <w:tc>
          <w:tcPr>
            <w:tcW w:w="3169" w:type="dxa"/>
          </w:tcPr>
          <w:p>
            <w:pPr>
              <w:pStyle w:val="TableParagraph"/>
              <w:ind w:left="821"/>
              <w:rPr>
                <w:sz w:val="14"/>
              </w:rPr>
            </w:pPr>
            <w:r>
              <w:rPr>
                <w:sz w:val="14"/>
              </w:rPr>
              <w:t>Loss ratios greater than 100%</w:t>
            </w:r>
          </w:p>
        </w:tc>
        <w:tc>
          <w:tcPr>
            <w:tcW w:w="1035" w:type="dxa"/>
          </w:tcPr>
          <w:p>
            <w:pPr>
              <w:pStyle w:val="TableParagraph"/>
              <w:ind w:right="17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10%</w:t>
            </w:r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between 1-3 years</w:t>
            </w:r>
          </w:p>
        </w:tc>
        <w:tc>
          <w:tcPr>
            <w:tcW w:w="1131" w:type="dxa"/>
          </w:tcPr>
          <w:p>
            <w:pPr/>
          </w:p>
        </w:tc>
      </w:tr>
      <w:tr>
        <w:trPr>
          <w:trHeight w:val="17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/>
          </w:p>
        </w:tc>
        <w:tc>
          <w:tcPr>
            <w:tcW w:w="3169" w:type="dxa"/>
          </w:tcPr>
          <w:p>
            <w:pPr>
              <w:pStyle w:val="TableParagraph"/>
              <w:tabs>
                <w:tab w:pos="2314" w:val="left" w:leader="none"/>
              </w:tabs>
              <w:ind w:left="821"/>
              <w:rPr>
                <w:sz w:val="14"/>
              </w:rPr>
            </w:pPr>
            <w:r>
              <w:rPr>
                <w:sz w:val="14"/>
              </w:rPr>
              <w:t>3 years loss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free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histor</w:t>
              <w:tab/>
              <w:t>10%</w:t>
            </w:r>
          </w:p>
        </w:tc>
        <w:tc>
          <w:tcPr>
            <w:tcW w:w="1035" w:type="dxa"/>
          </w:tcPr>
          <w:p>
            <w:pPr/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more than 25 years</w:t>
            </w:r>
          </w:p>
        </w:tc>
        <w:tc>
          <w:tcPr>
            <w:tcW w:w="1131" w:type="dxa"/>
          </w:tcPr>
          <w:p>
            <w:pPr>
              <w:pStyle w:val="TableParagraph"/>
              <w:ind w:right="110"/>
              <w:jc w:val="right"/>
              <w:rPr>
                <w:sz w:val="14"/>
              </w:rPr>
            </w:pPr>
            <w:r>
              <w:rPr>
                <w:sz w:val="14"/>
              </w:rPr>
              <w:t>5%</w:t>
            </w:r>
          </w:p>
        </w:tc>
      </w:tr>
      <w:tr>
        <w:trPr>
          <w:trHeight w:val="17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/>
          </w:p>
        </w:tc>
        <w:tc>
          <w:tcPr>
            <w:tcW w:w="3169" w:type="dxa"/>
          </w:tcPr>
          <w:p>
            <w:pPr>
              <w:pStyle w:val="TableParagraph"/>
              <w:tabs>
                <w:tab w:pos="2314" w:val="left" w:leader="none"/>
              </w:tabs>
              <w:ind w:left="821"/>
              <w:rPr>
                <w:sz w:val="14"/>
              </w:rPr>
            </w:pPr>
            <w:r>
              <w:rPr>
                <w:sz w:val="14"/>
              </w:rPr>
              <w:t>5 years loss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free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histor</w:t>
              <w:tab/>
              <w:t>15%</w:t>
            </w:r>
          </w:p>
        </w:tc>
        <w:tc>
          <w:tcPr>
            <w:tcW w:w="1035" w:type="dxa"/>
          </w:tcPr>
          <w:p>
            <w:pPr/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more than 35 years</w:t>
            </w:r>
          </w:p>
        </w:tc>
        <w:tc>
          <w:tcPr>
            <w:tcW w:w="1131" w:type="dxa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10%</w:t>
            </w:r>
          </w:p>
        </w:tc>
      </w:tr>
      <w:tr>
        <w:trPr>
          <w:trHeight w:val="165" w:hRule="exact"/>
        </w:trPr>
        <w:tc>
          <w:tcPr>
            <w:tcW w:w="1548" w:type="dxa"/>
          </w:tcPr>
          <w:p>
            <w:pPr/>
          </w:p>
        </w:tc>
        <w:tc>
          <w:tcPr>
            <w:tcW w:w="1557" w:type="dxa"/>
          </w:tcPr>
          <w:p>
            <w:pPr/>
          </w:p>
        </w:tc>
        <w:tc>
          <w:tcPr>
            <w:tcW w:w="3169" w:type="dxa"/>
          </w:tcPr>
          <w:p>
            <w:pPr>
              <w:pStyle w:val="TableParagraph"/>
              <w:tabs>
                <w:tab w:pos="2314" w:val="left" w:leader="none"/>
              </w:tabs>
              <w:ind w:left="821"/>
              <w:rPr>
                <w:sz w:val="14"/>
              </w:rPr>
            </w:pPr>
            <w:r>
              <w:rPr>
                <w:sz w:val="14"/>
              </w:rPr>
              <w:t>10 years loss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free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histo</w:t>
              <w:tab/>
              <w:t>25%</w:t>
            </w:r>
          </w:p>
        </w:tc>
        <w:tc>
          <w:tcPr>
            <w:tcW w:w="1035" w:type="dxa"/>
          </w:tcPr>
          <w:p>
            <w:pPr/>
          </w:p>
        </w:tc>
        <w:tc>
          <w:tcPr>
            <w:tcW w:w="2645" w:type="dxa"/>
          </w:tcPr>
          <w:p>
            <w:pPr>
              <w:pStyle w:val="TableParagraph"/>
              <w:ind w:left="119"/>
              <w:rPr>
                <w:sz w:val="14"/>
              </w:rPr>
            </w:pPr>
            <w:r>
              <w:rPr>
                <w:sz w:val="14"/>
              </w:rPr>
              <w:t>In operation more than 50 years</w:t>
            </w:r>
          </w:p>
        </w:tc>
        <w:tc>
          <w:tcPr>
            <w:tcW w:w="1131" w:type="dxa"/>
          </w:tcPr>
          <w:p>
            <w:pPr>
              <w:pStyle w:val="TableParagraph"/>
              <w:ind w:right="77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15%</w:t>
            </w:r>
          </w:p>
        </w:tc>
      </w:tr>
    </w:tbl>
    <w:p>
      <w:pPr>
        <w:pStyle w:val="BodyText"/>
        <w:tabs>
          <w:tab w:pos="7828" w:val="left" w:leader="none"/>
        </w:tabs>
        <w:spacing w:line="261" w:lineRule="auto" w:before="14"/>
        <w:ind w:left="7828" w:right="286" w:hanging="548"/>
      </w:pPr>
      <w:r>
        <w:rPr/>
        <w:t>10%</w:t>
        <w:tab/>
        <w:t>Operations include rehabilitation, infusion</w:t>
      </w:r>
      <w:r>
        <w:rPr>
          <w:spacing w:val="-19"/>
        </w:rPr>
        <w:t> </w:t>
      </w:r>
      <w:r>
        <w:rPr/>
        <w:t>therapy,</w:t>
      </w:r>
      <w:r>
        <w:rPr>
          <w:spacing w:val="-5"/>
        </w:rPr>
        <w:t> </w:t>
      </w:r>
      <w:r>
        <w:rPr/>
        <w:t>respiratory</w:t>
      </w:r>
      <w:r>
        <w:rPr>
          <w:w w:val="99"/>
        </w:rPr>
        <w:t> </w:t>
      </w:r>
      <w:r>
        <w:rPr/>
        <w:t>therapy (other than ventilator care or tracheotomy care), or radiation therapy</w:t>
      </w:r>
      <w:r>
        <w:rPr>
          <w:spacing w:val="-10"/>
        </w:rPr>
        <w:t> </w:t>
      </w:r>
      <w:r>
        <w:rPr/>
        <w:t>services</w:t>
      </w:r>
    </w:p>
    <w:p>
      <w:pPr>
        <w:pStyle w:val="BodyText"/>
        <w:spacing w:before="2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432" w:val="left" w:leader="none"/>
        </w:tabs>
        <w:spacing w:line="240" w:lineRule="auto" w:before="0" w:after="0"/>
        <w:ind w:left="431" w:right="0" w:hanging="285"/>
        <w:jc w:val="left"/>
      </w:pPr>
      <w:r>
        <w:rPr>
          <w:u w:val="single"/>
        </w:rPr>
        <w:t>ADDITIONAL</w:t>
      </w:r>
      <w:r>
        <w:rPr>
          <w:spacing w:val="-11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3"/>
        <w:ind w:left="431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4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432" w:val="left" w:leader="none"/>
        </w:tabs>
        <w:spacing w:line="240" w:lineRule="auto" w:before="0" w:after="0"/>
        <w:ind w:left="431" w:right="0" w:hanging="285"/>
        <w:jc w:val="left"/>
      </w:pPr>
      <w:r>
        <w:rPr>
          <w:u w:val="single"/>
        </w:rPr>
        <w:t>MINIMUM</w:t>
      </w:r>
      <w:r>
        <w:rPr>
          <w:spacing w:val="-10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5843" w:val="left" w:leader="none"/>
        </w:tabs>
        <w:spacing w:before="13"/>
        <w:ind w:left="717"/>
      </w:pPr>
      <w:r>
        <w:rPr/>
        <w:t>Home Health Agency in business less than</w:t>
      </w:r>
      <w:r>
        <w:rPr>
          <w:spacing w:val="-17"/>
        </w:rPr>
        <w:t> </w:t>
      </w:r>
      <w:r>
        <w:rPr/>
        <w:t>3</w:t>
      </w:r>
      <w:r>
        <w:rPr>
          <w:spacing w:val="-3"/>
        </w:rPr>
        <w:t> </w:t>
      </w:r>
      <w:r>
        <w:rPr/>
        <w:t>yrs</w:t>
        <w:tab/>
        <w:t>$3,000</w:t>
      </w:r>
    </w:p>
    <w:p>
      <w:pPr>
        <w:pStyle w:val="BodyText"/>
        <w:tabs>
          <w:tab w:pos="5843" w:val="left" w:leader="none"/>
        </w:tabs>
        <w:spacing w:before="13"/>
        <w:ind w:left="717"/>
      </w:pPr>
      <w:r>
        <w:rPr/>
        <w:t>Home</w:t>
      </w:r>
      <w:r>
        <w:rPr>
          <w:spacing w:val="-3"/>
        </w:rPr>
        <w:t> </w:t>
      </w:r>
      <w:r>
        <w:rPr/>
        <w:t>Health</w:t>
      </w:r>
      <w:r>
        <w:rPr>
          <w:spacing w:val="-3"/>
        </w:rPr>
        <w:t> </w:t>
      </w:r>
      <w:r>
        <w:rPr/>
        <w:t>Agency</w:t>
        <w:tab/>
        <w:t>$1,000</w:t>
      </w:r>
    </w:p>
    <w:p>
      <w:pPr>
        <w:pStyle w:val="BodyText"/>
        <w:tabs>
          <w:tab w:pos="5949" w:val="left" w:leader="none"/>
        </w:tabs>
        <w:spacing w:before="13"/>
        <w:ind w:left="717"/>
      </w:pPr>
      <w:r>
        <w:rPr/>
        <w:t>Hospice</w:t>
        <w:tab/>
        <w:t>$500</w:t>
      </w:r>
    </w:p>
    <w:p>
      <w:pPr>
        <w:pStyle w:val="BodyText"/>
        <w:tabs>
          <w:tab w:pos="5843" w:val="left" w:leader="none"/>
        </w:tabs>
        <w:spacing w:before="13"/>
        <w:ind w:left="717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64"/>
        <w:gridCol w:w="2049"/>
        <w:gridCol w:w="1281"/>
        <w:gridCol w:w="612"/>
      </w:tblGrid>
      <w:tr>
        <w:trPr>
          <w:trHeight w:val="165" w:hRule="exact"/>
        </w:trPr>
        <w:tc>
          <w:tcPr>
            <w:tcW w:w="4464" w:type="dxa"/>
          </w:tcPr>
          <w:p>
            <w:pPr>
              <w:pStyle w:val="TableParagraph"/>
              <w:spacing w:line="154" w:lineRule="exact" w:before="0"/>
              <w:ind w:left="32"/>
              <w:rPr>
                <w:b/>
                <w:sz w:val="14"/>
              </w:rPr>
            </w:pPr>
            <w:r>
              <w:rPr>
                <w:sz w:val="14"/>
              </w:rPr>
              <w:t>VI.   </w:t>
            </w:r>
            <w:r>
              <w:rPr>
                <w:b/>
                <w:sz w:val="14"/>
                <w:u w:val="single"/>
              </w:rPr>
              <w:t>ADDITIONAL LIMITS AND DEDUCTIBLES</w:t>
            </w:r>
          </w:p>
        </w:tc>
        <w:tc>
          <w:tcPr>
            <w:tcW w:w="3941" w:type="dxa"/>
            <w:gridSpan w:val="3"/>
          </w:tcPr>
          <w:p>
            <w:pPr/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317"/>
              <w:rPr>
                <w:b/>
                <w:sz w:val="14"/>
              </w:rPr>
            </w:pPr>
            <w:r>
              <w:rPr>
                <w:sz w:val="14"/>
              </w:rPr>
              <w:t>A.    </w:t>
            </w:r>
            <w:r>
              <w:rPr>
                <w:b/>
                <w:sz w:val="14"/>
                <w:u w:val="single"/>
              </w:rPr>
              <w:t>Increased Limits Factors</w:t>
            </w:r>
          </w:p>
        </w:tc>
        <w:tc>
          <w:tcPr>
            <w:tcW w:w="2049" w:type="dxa"/>
          </w:tcPr>
          <w:p>
            <w:pPr/>
          </w:p>
        </w:tc>
        <w:tc>
          <w:tcPr>
            <w:tcW w:w="1281" w:type="dxa"/>
          </w:tcPr>
          <w:p>
            <w:pPr>
              <w:pStyle w:val="TableParagraph"/>
              <w:ind w:right="74"/>
              <w:jc w:val="right"/>
              <w:rPr>
                <w:b/>
                <w:sz w:val="14"/>
              </w:rPr>
            </w:pPr>
            <w:r>
              <w:rPr>
                <w:b/>
                <w:sz w:val="14"/>
                <w:u w:val="single"/>
              </w:rPr>
              <w:t>B. Deductible</w:t>
            </w:r>
          </w:p>
        </w:tc>
        <w:tc>
          <w:tcPr>
            <w:tcW w:w="612" w:type="dxa"/>
          </w:tcPr>
          <w:p>
            <w:pPr/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$1,000,000/$1,000,000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1.000</w:t>
            </w:r>
          </w:p>
        </w:tc>
        <w:tc>
          <w:tcPr>
            <w:tcW w:w="1281" w:type="dxa"/>
          </w:tcPr>
          <w:p>
            <w:pPr>
              <w:pStyle w:val="TableParagraph"/>
              <w:ind w:right="121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Deductible</w:t>
            </w:r>
          </w:p>
        </w:tc>
        <w:tc>
          <w:tcPr>
            <w:tcW w:w="612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Discount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$2,000,000/$2,000,000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1.183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$1,000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1%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$2,000,000/$4,000,000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1.372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$2,500</w:t>
            </w:r>
          </w:p>
        </w:tc>
        <w:tc>
          <w:tcPr>
            <w:tcW w:w="612" w:type="dxa"/>
          </w:tcPr>
          <w:p>
            <w:pPr>
              <w:pStyle w:val="TableParagraph"/>
              <w:ind w:right="36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2.5%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$3,000,000/$3,000,000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1.326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$5,000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5%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$3,000,000/$5,000,000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1.486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$10,000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10%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$4,000,000/$4,000,000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1.444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$25,000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15%</w:t>
            </w:r>
          </w:p>
        </w:tc>
      </w:tr>
      <w:tr>
        <w:trPr>
          <w:trHeight w:val="17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$4,000,000/$5,000,000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1.511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sz w:val="14"/>
              </w:rPr>
              <w:t>$50,000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35%</w:t>
            </w:r>
          </w:p>
        </w:tc>
      </w:tr>
      <w:tr>
        <w:trPr>
          <w:trHeight w:val="165" w:hRule="exact"/>
        </w:trPr>
        <w:tc>
          <w:tcPr>
            <w:tcW w:w="4464" w:type="dxa"/>
          </w:tcPr>
          <w:p>
            <w:pPr>
              <w:pStyle w:val="TableParagraph"/>
              <w:ind w:left="603"/>
              <w:rPr>
                <w:sz w:val="14"/>
              </w:rPr>
            </w:pPr>
            <w:r>
              <w:rPr>
                <w:sz w:val="14"/>
              </w:rPr>
              <w:t>$5,000,000/$5,000,000</w:t>
            </w:r>
          </w:p>
        </w:tc>
        <w:tc>
          <w:tcPr>
            <w:tcW w:w="2049" w:type="dxa"/>
          </w:tcPr>
          <w:p>
            <w:pPr>
              <w:pStyle w:val="TableParagraph"/>
              <w:ind w:right="398"/>
              <w:jc w:val="right"/>
              <w:rPr>
                <w:sz w:val="14"/>
              </w:rPr>
            </w:pPr>
            <w:r>
              <w:rPr>
                <w:sz w:val="14"/>
              </w:rPr>
              <w:t>1.550</w:t>
            </w:r>
          </w:p>
        </w:tc>
        <w:tc>
          <w:tcPr>
            <w:tcW w:w="1281" w:type="dxa"/>
          </w:tcPr>
          <w:p>
            <w:pPr>
              <w:pStyle w:val="TableParagraph"/>
              <w:ind w:right="17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$100,000</w:t>
            </w:r>
          </w:p>
        </w:tc>
        <w:tc>
          <w:tcPr>
            <w:tcW w:w="612" w:type="dxa"/>
          </w:tcPr>
          <w:p>
            <w:pPr>
              <w:pStyle w:val="TableParagraph"/>
              <w:ind w:right="35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50%</w:t>
            </w:r>
          </w:p>
        </w:tc>
      </w:tr>
    </w:tbl>
    <w:p>
      <w:pPr>
        <w:pStyle w:val="BodyText"/>
        <w:spacing w:before="5"/>
        <w:rPr>
          <w:sz w:val="16"/>
        </w:rPr>
      </w:pPr>
    </w:p>
    <w:p>
      <w:pPr>
        <w:pStyle w:val="Heading1"/>
        <w:numPr>
          <w:ilvl w:val="0"/>
          <w:numId w:val="2"/>
        </w:numPr>
        <w:tabs>
          <w:tab w:pos="433" w:val="left" w:leader="none"/>
        </w:tabs>
        <w:spacing w:line="240" w:lineRule="auto" w:before="0" w:after="0"/>
        <w:ind w:left="432" w:right="0" w:hanging="286"/>
        <w:jc w:val="left"/>
      </w:pPr>
      <w:r>
        <w:rPr>
          <w:u w:val="single"/>
        </w:rPr>
        <w:t>CLAIMS</w:t>
      </w:r>
      <w:r>
        <w:rPr>
          <w:spacing w:val="-6"/>
          <w:u w:val="single"/>
        </w:rPr>
        <w:t> </w:t>
      </w:r>
      <w:r>
        <w:rPr>
          <w:u w:val="single"/>
        </w:rPr>
        <w:t>MADE</w:t>
      </w:r>
      <w:r>
        <w:rPr>
          <w:spacing w:val="-6"/>
          <w:u w:val="single"/>
        </w:rPr>
        <w:t> </w:t>
      </w:r>
      <w:r>
        <w:rPr>
          <w:u w:val="single"/>
        </w:rPr>
        <w:t>CONVERSION</w:t>
      </w:r>
      <w:r>
        <w:rPr>
          <w:spacing w:val="-6"/>
          <w:u w:val="single"/>
        </w:rPr>
        <w:t> </w:t>
      </w:r>
      <w:r>
        <w:rPr>
          <w:u w:val="single"/>
        </w:rPr>
        <w:t>FACTORS</w:t>
      </w:r>
      <w:r>
        <w:rPr>
          <w:spacing w:val="-6"/>
          <w:u w:val="single"/>
        </w:rPr>
        <w:t> </w:t>
      </w:r>
      <w:r>
        <w:rPr>
          <w:u w:val="single"/>
        </w:rPr>
        <w:t>&amp;</w:t>
      </w:r>
      <w:r>
        <w:rPr>
          <w:spacing w:val="-6"/>
          <w:u w:val="single"/>
        </w:rPr>
        <w:t> </w:t>
      </w:r>
      <w:r>
        <w:rPr>
          <w:u w:val="single"/>
        </w:rPr>
        <w:t>EXTENDED</w:t>
      </w:r>
      <w:r>
        <w:rPr>
          <w:spacing w:val="-6"/>
          <w:u w:val="single"/>
        </w:rPr>
        <w:t> </w:t>
      </w:r>
      <w:r>
        <w:rPr>
          <w:u w:val="single"/>
        </w:rPr>
        <w:t>REPORTING</w:t>
      </w:r>
      <w:r>
        <w:rPr>
          <w:spacing w:val="-6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42" w:val="left" w:leader="none"/>
          <w:tab w:pos="4804" w:val="left" w:leader="none"/>
          <w:tab w:pos="5983" w:val="left" w:leader="none"/>
        </w:tabs>
        <w:spacing w:line="261" w:lineRule="auto" w:before="13" w:after="0"/>
        <w:ind w:left="3933" w:right="5305" w:hanging="3216"/>
        <w:jc w:val="left"/>
        <w:rPr>
          <w:sz w:val="14"/>
        </w:rPr>
      </w:pPr>
      <w:r>
        <w:rPr>
          <w:b/>
          <w:sz w:val="14"/>
          <w:u w:val="single"/>
        </w:rPr>
        <w:t>Claims</w:t>
      </w:r>
      <w:r>
        <w:rPr>
          <w:b/>
          <w:spacing w:val="-3"/>
          <w:sz w:val="14"/>
          <w:u w:val="single"/>
        </w:rPr>
        <w:t> </w:t>
      </w:r>
      <w:r>
        <w:rPr>
          <w:b/>
          <w:sz w:val="14"/>
          <w:u w:val="single"/>
        </w:rPr>
        <w:t>Made</w:t>
      </w:r>
      <w:r>
        <w:rPr>
          <w:b/>
          <w:spacing w:val="-3"/>
          <w:sz w:val="14"/>
          <w:u w:val="single"/>
        </w:rPr>
        <w:t> </w:t>
      </w:r>
      <w:r>
        <w:rPr>
          <w:b/>
          <w:sz w:val="14"/>
          <w:u w:val="single"/>
        </w:rPr>
        <w:t>Factors</w:t>
      </w:r>
      <w:r>
        <w:rPr>
          <w:b/>
          <w:sz w:val="14"/>
        </w:rPr>
        <w:tab/>
        <w:tab/>
      </w:r>
      <w:r>
        <w:rPr>
          <w:sz w:val="14"/>
          <w:u w:val="single"/>
        </w:rPr>
        <w:t>% of</w:t>
      </w:r>
      <w:r>
        <w:rPr>
          <w:spacing w:val="-8"/>
          <w:sz w:val="14"/>
          <w:u w:val="single"/>
        </w:rPr>
        <w:t> </w:t>
      </w:r>
      <w:r>
        <w:rPr>
          <w:sz w:val="14"/>
          <w:u w:val="single"/>
        </w:rPr>
        <w:t>Occurrence</w:t>
      </w:r>
      <w:r>
        <w:rPr>
          <w:spacing w:val="-4"/>
          <w:sz w:val="14"/>
          <w:u w:val="single"/>
        </w:rPr>
        <w:t> </w:t>
      </w:r>
      <w:r>
        <w:rPr>
          <w:sz w:val="14"/>
          <w:u w:val="single"/>
        </w:rPr>
        <w:t>Premium</w:t>
      </w:r>
      <w:r>
        <w:rPr>
          <w:w w:val="99"/>
          <w:sz w:val="14"/>
        </w:rPr>
        <w:t> </w:t>
      </w:r>
      <w:r>
        <w:rPr>
          <w:sz w:val="14"/>
        </w:rPr>
        <w:t>1</w:t>
      </w:r>
      <w:r>
        <w:rPr>
          <w:spacing w:val="-2"/>
          <w:sz w:val="14"/>
        </w:rPr>
        <w:t> </w:t>
      </w:r>
      <w:r>
        <w:rPr>
          <w:sz w:val="14"/>
        </w:rPr>
        <w:t>year</w:t>
        <w:tab/>
        <w:tab/>
        <w:t>0.55</w:t>
      </w:r>
    </w:p>
    <w:p>
      <w:pPr>
        <w:pStyle w:val="BodyText"/>
        <w:tabs>
          <w:tab w:pos="2049" w:val="left" w:leader="none"/>
        </w:tabs>
        <w:ind w:right="1437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049" w:val="left" w:leader="none"/>
        </w:tabs>
        <w:spacing w:before="14"/>
        <w:ind w:right="1437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049" w:val="left" w:leader="none"/>
        </w:tabs>
        <w:spacing w:before="13"/>
        <w:ind w:right="1437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049" w:val="left" w:leader="none"/>
        </w:tabs>
        <w:spacing w:before="13"/>
        <w:ind w:right="1437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896" w:val="left" w:leader="none"/>
        </w:tabs>
        <w:spacing w:line="240" w:lineRule="auto" w:before="188" w:after="0"/>
        <w:ind w:left="895" w:right="0" w:hanging="178"/>
        <w:jc w:val="left"/>
        <w:rPr>
          <w:b/>
          <w:sz w:val="14"/>
        </w:rPr>
      </w:pPr>
      <w:r>
        <w:rPr>
          <w:b/>
          <w:sz w:val="14"/>
          <w:u w:val="single"/>
        </w:rPr>
        <w:t>Extended Reporting Period</w:t>
      </w:r>
      <w:r>
        <w:rPr>
          <w:b/>
          <w:spacing w:val="-17"/>
          <w:sz w:val="14"/>
          <w:u w:val="single"/>
        </w:rPr>
        <w:t> </w:t>
      </w:r>
      <w:r>
        <w:rPr>
          <w:b/>
          <w:sz w:val="14"/>
          <w:u w:val="single"/>
        </w:rPr>
        <w:t>Endorsemen</w:t>
      </w:r>
      <w:r>
        <w:rPr>
          <w:b/>
          <w:sz w:val="14"/>
        </w:rPr>
        <w:t>t</w:t>
      </w:r>
    </w:p>
    <w:p>
      <w:pPr>
        <w:pStyle w:val="BodyText"/>
        <w:spacing w:line="261" w:lineRule="auto" w:before="13"/>
        <w:ind w:left="717" w:right="7695"/>
      </w:pPr>
      <w:r>
        <w:rPr/>
        <w:t>One Year Option at 55% of mature claims made rate Two Year Option at 85% of mature claims made rate Three Year Option at 100% of mature claims made rate Unlimited Option 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tabs>
          <w:tab w:pos="10007" w:val="left" w:leader="none"/>
        </w:tabs>
        <w:ind w:left="5654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2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7"/>
        </w:rPr>
        <w:t> </w:t>
      </w:r>
      <w:r>
        <w:rPr>
          <w:rFonts w:ascii="Arial"/>
        </w:rPr>
        <w:t>6/15/2009</w:t>
      </w:r>
    </w:p>
    <w:sectPr>
      <w:pgSz w:w="12240" w:h="15840"/>
      <w:pgMar w:top="1020" w:bottom="0" w:left="24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32" w:hanging="286"/>
        <w:jc w:val="left"/>
      </w:pPr>
      <w:rPr>
        <w:rFonts w:hint="default" w:ascii="Times New Roman" w:hAnsi="Times New Roman" w:eastAsia="Times New Roman" w:cs="Times New Roman"/>
        <w:w w:val="99"/>
        <w:sz w:val="14"/>
        <w:szCs w:val="14"/>
      </w:rPr>
    </w:lvl>
    <w:lvl w:ilvl="1">
      <w:start w:val="1"/>
      <w:numFmt w:val="upperRoman"/>
      <w:lvlText w:val="%2."/>
      <w:lvlJc w:val="left"/>
      <w:pPr>
        <w:ind w:left="3933" w:hanging="124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791" w:hanging="1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642" w:hanging="1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493" w:hanging="1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344" w:hanging="1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195" w:hanging="1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46" w:hanging="1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97" w:hanging="124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32" w:hanging="286"/>
        <w:jc w:val="left"/>
      </w:pPr>
      <w:rPr>
        <w:rFonts w:hint="default" w:ascii="Times New Roman" w:hAnsi="Times New Roman" w:eastAsia="Times New Roman" w:cs="Times New Roman"/>
        <w:w w:val="99"/>
        <w:sz w:val="14"/>
        <w:szCs w:val="14"/>
      </w:rPr>
    </w:lvl>
    <w:lvl w:ilvl="1">
      <w:start w:val="1"/>
      <w:numFmt w:val="upperLetter"/>
      <w:lvlText w:val="%2."/>
      <w:lvlJc w:val="left"/>
      <w:pPr>
        <w:ind w:left="717" w:hanging="286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4"/>
        <w:szCs w:val="14"/>
      </w:rPr>
    </w:lvl>
    <w:lvl w:ilvl="2">
      <w:start w:val="1"/>
      <w:numFmt w:val="decimal"/>
      <w:lvlText w:val="%3."/>
      <w:lvlJc w:val="left"/>
      <w:pPr>
        <w:ind w:left="4327" w:hanging="140"/>
        <w:jc w:val="left"/>
      </w:pPr>
      <w:rPr>
        <w:rFonts w:hint="default" w:ascii="Times New Roman" w:hAnsi="Times New Roman" w:eastAsia="Times New Roman" w:cs="Times New Roman"/>
        <w:w w:val="99"/>
        <w:sz w:val="14"/>
        <w:szCs w:val="14"/>
      </w:rPr>
    </w:lvl>
    <w:lvl w:ilvl="3">
      <w:start w:val="0"/>
      <w:numFmt w:val="bullet"/>
      <w:lvlText w:val="•"/>
      <w:lvlJc w:val="left"/>
      <w:pPr>
        <w:ind w:left="5230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40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050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960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870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780" w:hanging="14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4"/>
      <w:szCs w:val="14"/>
    </w:rPr>
  </w:style>
  <w:style w:styleId="Heading1" w:type="paragraph">
    <w:name w:val="Heading 1"/>
    <w:basedOn w:val="Normal"/>
    <w:uiPriority w:val="1"/>
    <w:qFormat/>
    <w:pPr>
      <w:ind w:left="431" w:hanging="285"/>
      <w:outlineLvl w:val="1"/>
    </w:pPr>
    <w:rPr>
      <w:rFonts w:ascii="Times New Roman" w:hAnsi="Times New Roman" w:eastAsia="Times New Roman" w:cs="Times New Roman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>
      <w:ind w:left="4327" w:hanging="361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2017-09-29T11:25:51Z</dcterms:created>
  <dcterms:modified xsi:type="dcterms:W3CDTF">2017-09-29T11:25:51Z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