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</w:rPr>
      </w:pPr>
    </w:p>
    <w:p>
      <w:pPr>
        <w:pStyle w:val="BodyText"/>
        <w:ind w:left="0"/>
        <w:rPr>
          <w:rFonts w:ascii="Times New Roman"/>
        </w:rPr>
      </w:pPr>
    </w:p>
    <w:p>
      <w:pPr>
        <w:pStyle w:val="BodyText"/>
        <w:spacing w:before="4"/>
        <w:ind w:left="0"/>
        <w:rPr>
          <w:rFonts w:ascii="Times New Roman"/>
          <w:sz w:val="26"/>
        </w:rPr>
      </w:pPr>
    </w:p>
    <w:p>
      <w:pPr>
        <w:pStyle w:val="BodyText"/>
        <w:spacing w:line="276" w:lineRule="auto" w:before="94"/>
      </w:pPr>
      <w:r>
        <w:rPr/>
        <w:t>The Companies are introducing several new endorsements for your approval. The forms will be used in conjunction with the AAIS Builder’s Risk Coverage, Form No. IM 7050.</w:t>
      </w:r>
    </w:p>
    <w:p>
      <w:pPr>
        <w:pStyle w:val="BodyText"/>
        <w:ind w:left="0"/>
        <w:rPr>
          <w:sz w:val="22"/>
        </w:rPr>
      </w:pPr>
    </w:p>
    <w:p>
      <w:pPr>
        <w:pStyle w:val="Heading1"/>
        <w:spacing w:before="179"/>
      </w:pPr>
      <w:r>
        <w:rPr/>
        <w:t>Protective Devices Endorsement – 118746</w:t>
      </w:r>
    </w:p>
    <w:p>
      <w:pPr>
        <w:pStyle w:val="BodyText"/>
        <w:ind w:right="824"/>
      </w:pPr>
      <w:r>
        <w:rPr/>
        <w:t>Requirement to maintain fire protection and/or burglary protection systems in full operation unless company is advised of any suspension or impairment.</w:t>
      </w:r>
    </w:p>
    <w:p>
      <w:pPr>
        <w:pStyle w:val="BodyText"/>
        <w:spacing w:before="1"/>
      </w:pPr>
      <w:r>
        <w:rPr/>
        <w:t>Form: Optional</w:t>
      </w:r>
    </w:p>
    <w:p>
      <w:pPr>
        <w:pStyle w:val="BodyText"/>
        <w:tabs>
          <w:tab w:pos="8328" w:val="left" w:leader="none"/>
        </w:tabs>
      </w:pPr>
      <w:r>
        <w:rPr/>
        <w:t>There is no premium charge for</w:t>
      </w:r>
      <w:r>
        <w:rPr>
          <w:spacing w:val="-26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endorsement.</w:t>
        <w:tab/>
        <w:t>.</w:t>
      </w:r>
    </w:p>
    <w:p>
      <w:pPr>
        <w:pStyle w:val="BodyText"/>
        <w:spacing w:before="5"/>
        <w:ind w:left="0"/>
      </w:pPr>
    </w:p>
    <w:p>
      <w:pPr>
        <w:pStyle w:val="Heading1"/>
        <w:spacing w:line="229" w:lineRule="exact"/>
        <w:ind w:left="119"/>
      </w:pPr>
      <w:r>
        <w:rPr/>
        <w:t>Protective Devices Schedule – 118747</w:t>
      </w:r>
    </w:p>
    <w:p>
      <w:pPr>
        <w:pStyle w:val="BodyText"/>
        <w:ind w:left="119" w:right="647"/>
      </w:pPr>
      <w:r>
        <w:rPr/>
        <w:t>To be used with Protective Devices endorsement, provides a schedule of covered locations and the protective devices being utilized at such locations</w:t>
      </w:r>
    </w:p>
    <w:p>
      <w:pPr>
        <w:pStyle w:val="BodyText"/>
        <w:spacing w:line="230" w:lineRule="exact" w:before="1"/>
        <w:ind w:left="119"/>
      </w:pPr>
      <w:r>
        <w:rPr/>
        <w:t>Form: Optional</w:t>
      </w:r>
    </w:p>
    <w:p>
      <w:pPr>
        <w:pStyle w:val="BodyText"/>
        <w:ind w:left="119" w:right="1114"/>
      </w:pPr>
      <w:r>
        <w:rPr/>
        <w:t>This is the schedule to provide location and applicable deductible(s) for the Protective Devices Endorsement</w:t>
      </w:r>
    </w:p>
    <w:p>
      <w:pPr>
        <w:pStyle w:val="BodyText"/>
        <w:ind w:left="0"/>
      </w:pPr>
    </w:p>
    <w:p>
      <w:pPr>
        <w:spacing w:line="256" w:lineRule="auto" w:before="1"/>
        <w:ind w:left="120" w:right="5312" w:hanging="1"/>
        <w:jc w:val="left"/>
        <w:rPr>
          <w:sz w:val="20"/>
        </w:rPr>
      </w:pPr>
      <w:r>
        <w:rPr>
          <w:b/>
          <w:sz w:val="20"/>
        </w:rPr>
        <w:t>Windstorm/Hail Exclusion </w:t>
      </w:r>
      <w:r>
        <w:rPr>
          <w:sz w:val="20"/>
        </w:rPr>
        <w:t>– </w:t>
      </w:r>
      <w:r>
        <w:rPr>
          <w:b/>
          <w:sz w:val="20"/>
        </w:rPr>
        <w:t>118750 </w:t>
      </w:r>
      <w:r>
        <w:rPr>
          <w:sz w:val="20"/>
        </w:rPr>
        <w:t>Excludes the perils of windstorm and/or hail. Form: Optional</w:t>
      </w:r>
    </w:p>
    <w:p>
      <w:pPr>
        <w:pStyle w:val="BodyText"/>
        <w:spacing w:before="19"/>
      </w:pPr>
      <w:r>
        <w:rPr/>
        <w:t>There is no premium charge for this endorsement.</w:t>
      </w:r>
    </w:p>
    <w:p>
      <w:pPr>
        <w:pStyle w:val="BodyText"/>
        <w:spacing w:line="276" w:lineRule="auto" w:before="33"/>
      </w:pPr>
      <w:r>
        <w:rPr/>
        <w:t>Rate/Premium impact (credit) for this exclusion see ISO Commercial Lines Rule 74., paragraph A.3.a. Rates and Rule Modifications, Windstorm or Hail.</w:t>
      </w:r>
    </w:p>
    <w:p>
      <w:pPr>
        <w:pStyle w:val="BodyText"/>
        <w:spacing w:before="6"/>
        <w:ind w:left="0"/>
        <w:rPr>
          <w:sz w:val="17"/>
        </w:rPr>
      </w:pPr>
    </w:p>
    <w:p>
      <w:pPr>
        <w:pStyle w:val="Heading1"/>
        <w:spacing w:line="229" w:lineRule="exact"/>
      </w:pPr>
      <w:r>
        <w:rPr/>
        <w:t>Windstorm/Hail Deductible – 118748</w:t>
      </w:r>
    </w:p>
    <w:p>
      <w:pPr>
        <w:pStyle w:val="BodyText"/>
        <w:ind w:right="3258"/>
      </w:pPr>
      <w:r>
        <w:rPr/>
        <w:t>Provides the deductible for windstorm or hail on scheduled properties. Form: Optional</w:t>
      </w:r>
    </w:p>
    <w:p>
      <w:pPr>
        <w:pStyle w:val="BodyText"/>
        <w:spacing w:before="1"/>
        <w:ind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  <w:ind w:left="0"/>
      </w:pPr>
    </w:p>
    <w:p>
      <w:pPr>
        <w:pStyle w:val="Heading1"/>
      </w:pPr>
      <w:r>
        <w:rPr/>
        <w:t>Named Storm Deductible SC – 118744</w:t>
      </w:r>
    </w:p>
    <w:p>
      <w:pPr>
        <w:pStyle w:val="BodyText"/>
        <w:spacing w:line="230" w:lineRule="exact"/>
      </w:pPr>
      <w:r>
        <w:rPr/>
        <w:t>This form is available in South Carolina, only.</w:t>
      </w:r>
    </w:p>
    <w:p>
      <w:pPr>
        <w:pStyle w:val="BodyText"/>
        <w:ind w:right="4071"/>
      </w:pPr>
      <w:r>
        <w:rPr/>
        <w:t>Provides windstorm or hail deductible for Named Storm only. Form: Optional</w:t>
      </w:r>
    </w:p>
    <w:p>
      <w:pPr>
        <w:pStyle w:val="BodyText"/>
        <w:ind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  <w:ind w:left="0"/>
      </w:pPr>
    </w:p>
    <w:p>
      <w:pPr>
        <w:pStyle w:val="Heading1"/>
        <w:spacing w:before="1"/>
      </w:pPr>
      <w:r>
        <w:rPr/>
        <w:t>Named Storm Deductible Schedule – 118743</w:t>
      </w:r>
    </w:p>
    <w:p>
      <w:pPr>
        <w:pStyle w:val="BodyText"/>
        <w:ind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ind w:right="935"/>
      </w:pPr>
      <w:r>
        <w:rPr/>
        <w:t>To be used with the Named Storm deductible endorsements, provides schedule of locations and applicable deductibles by location.</w:t>
      </w:r>
    </w:p>
    <w:p>
      <w:pPr>
        <w:pStyle w:val="BodyText"/>
        <w:spacing w:line="229" w:lineRule="exact"/>
      </w:pPr>
      <w:r>
        <w:rPr/>
        <w:t>Form: Optional</w:t>
      </w:r>
    </w:p>
    <w:p>
      <w:pPr>
        <w:pStyle w:val="BodyText"/>
        <w:spacing w:before="1"/>
        <w:ind w:right="490"/>
      </w:pPr>
      <w:r>
        <w:rPr/>
        <w:t>This is the schedule to provide location and applicable deductible(s) per the Names Storm Deductible endorsements.</w:t>
      </w:r>
    </w:p>
    <w:p>
      <w:pPr>
        <w:pStyle w:val="BodyText"/>
        <w:ind w:left="0"/>
      </w:pPr>
    </w:p>
    <w:p>
      <w:pPr>
        <w:spacing w:before="0"/>
        <w:ind w:left="120" w:right="4693" w:firstLine="0"/>
        <w:jc w:val="left"/>
        <w:rPr>
          <w:sz w:val="20"/>
        </w:rPr>
      </w:pPr>
      <w:r>
        <w:rPr>
          <w:b/>
          <w:sz w:val="20"/>
        </w:rPr>
        <w:t>Minimum Earned Premium Endorsement – 118742 </w:t>
      </w:r>
      <w:r>
        <w:rPr>
          <w:sz w:val="20"/>
        </w:rPr>
        <w:t>Provides a minimum earned premium for the policy Form: Optional</w:t>
      </w:r>
    </w:p>
    <w:p>
      <w:pPr>
        <w:pStyle w:val="BodyText"/>
        <w:ind w:left="119"/>
      </w:pPr>
      <w:r>
        <w:rPr/>
        <w:t>At the option of the Company. When there are higher exposures and/or higher expenses incurred during the early term of a construction project the minimum earned premium will be applied.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726" w:footer="976" w:top="1260" w:bottom="1160" w:left="1320" w:right="1340"/>
          <w:pgNumType w:start="1"/>
        </w:sectPr>
      </w:pPr>
    </w:p>
    <w:p>
      <w:pPr>
        <w:pStyle w:val="Heading1"/>
        <w:spacing w:before="168"/>
        <w:ind w:left="100"/>
      </w:pPr>
      <w:r>
        <w:rPr/>
        <w:t>Contributing Insurance Endorsement – 118740</w:t>
      </w:r>
    </w:p>
    <w:p>
      <w:pPr>
        <w:pStyle w:val="BodyText"/>
        <w:ind w:left="100" w:right="457"/>
      </w:pPr>
      <w:r>
        <w:rPr/>
        <w:t>Defines the application of limits and allocation of premium for policies where the company is providing coverage on a contributing insurance basis</w:t>
      </w:r>
    </w:p>
    <w:p>
      <w:pPr>
        <w:pStyle w:val="BodyText"/>
        <w:spacing w:before="1"/>
        <w:ind w:left="100"/>
      </w:pPr>
      <w:r>
        <w:rPr/>
        <w:t>Form: Optional</w:t>
      </w:r>
    </w:p>
    <w:p>
      <w:pPr>
        <w:pStyle w:val="BodyText"/>
        <w:spacing w:line="230" w:lineRule="exact"/>
        <w:ind w:left="100"/>
      </w:pPr>
      <w:r>
        <w:rPr/>
        <w:t>When this endorsement is attached to the policy:</w:t>
      </w:r>
    </w:p>
    <w:p>
      <w:pPr>
        <w:pStyle w:val="BodyText"/>
        <w:ind w:left="100" w:right="402"/>
      </w:pPr>
      <w:r>
        <w:rPr/>
        <w:t>Step 1. Calculate the premium for the applicable Builders’ Risk coverages per the rules of this manual; Step 2. Multiply the premium(s) from Step 1. by the applicable percentage of contributing insurance.</w:t>
      </w:r>
    </w:p>
    <w:p>
      <w:pPr>
        <w:pStyle w:val="BodyText"/>
        <w:spacing w:before="1"/>
        <w:ind w:left="0"/>
      </w:pPr>
    </w:p>
    <w:p>
      <w:pPr>
        <w:pStyle w:val="Heading1"/>
        <w:ind w:left="100"/>
      </w:pPr>
      <w:r>
        <w:rPr/>
        <w:t>Builders Risk Model Home Personal Property  Endorsement – 118739</w:t>
      </w:r>
    </w:p>
    <w:p>
      <w:pPr>
        <w:pStyle w:val="BodyText"/>
        <w:ind w:left="100" w:right="3948"/>
      </w:pPr>
      <w:r>
        <w:rPr/>
        <w:t>Provides coverage for Personal Property within a model home Form: Optional</w:t>
      </w:r>
    </w:p>
    <w:p>
      <w:pPr>
        <w:pStyle w:val="BodyText"/>
        <w:spacing w:line="229" w:lineRule="exact" w:before="1"/>
        <w:ind w:left="100"/>
      </w:pPr>
      <w:r>
        <w:rPr/>
        <w:t>Rate per AAIS Guidelines.</w:t>
      </w:r>
    </w:p>
    <w:p>
      <w:pPr>
        <w:pStyle w:val="BodyText"/>
        <w:ind w:left="0"/>
      </w:pPr>
    </w:p>
    <w:p>
      <w:pPr>
        <w:pStyle w:val="Heading1"/>
        <w:spacing w:before="1"/>
        <w:ind w:left="100"/>
      </w:pPr>
      <w:r>
        <w:rPr/>
        <w:t>Windstorm and Hail or "Named Storm" sublimit of Insurance and Deductible - 118751</w:t>
      </w:r>
    </w:p>
    <w:p>
      <w:pPr>
        <w:pStyle w:val="BodyText"/>
        <w:ind w:left="100"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ind w:left="100" w:right="180"/>
      </w:pPr>
      <w:r>
        <w:rPr/>
        <w:t>Provides for a named storm windstorm or hail deductible, and also a sublimit as respects loss or damage by windstorm or hail.</w:t>
      </w:r>
    </w:p>
    <w:p>
      <w:pPr>
        <w:pStyle w:val="BodyText"/>
        <w:spacing w:before="1"/>
        <w:ind w:left="100" w:right="7523"/>
      </w:pPr>
      <w:r>
        <w:rPr/>
        <w:t>Form: Optional Rating: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0" w:after="0"/>
        <w:ind w:left="730" w:right="412" w:hanging="450"/>
        <w:jc w:val="left"/>
        <w:rPr>
          <w:sz w:val="20"/>
        </w:rPr>
      </w:pPr>
      <w:r>
        <w:rPr>
          <w:sz w:val="20"/>
        </w:rPr>
        <w:t>For the two deductible options is based on ISO Commercial Lines Manual Rules 81. Deductible Insurance Plan and Rule 82. Windstorm or Hail Percentage</w:t>
      </w:r>
      <w:r>
        <w:rPr>
          <w:spacing w:val="-14"/>
          <w:sz w:val="20"/>
        </w:rPr>
        <w:t> </w:t>
      </w:r>
      <w:r>
        <w:rPr>
          <w:sz w:val="20"/>
        </w:rPr>
        <w:t>Deductibles;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29" w:lineRule="exact" w:before="0" w:after="0"/>
        <w:ind w:left="730" w:right="0" w:hanging="450"/>
        <w:jc w:val="left"/>
        <w:rPr>
          <w:sz w:val="20"/>
        </w:rPr>
      </w:pPr>
      <w:r>
        <w:rPr>
          <w:sz w:val="20"/>
        </w:rPr>
        <w:t>The resulting premium is for coverage at total limits for windstorm or</w:t>
      </w:r>
      <w:r>
        <w:rPr>
          <w:spacing w:val="-19"/>
          <w:sz w:val="20"/>
        </w:rPr>
        <w:t> </w:t>
      </w:r>
      <w:r>
        <w:rPr>
          <w:sz w:val="20"/>
        </w:rPr>
        <w:t>hail;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0" w:hanging="450"/>
        <w:jc w:val="left"/>
        <w:rPr>
          <w:sz w:val="20"/>
        </w:rPr>
      </w:pPr>
      <w:r>
        <w:rPr>
          <w:sz w:val="20"/>
        </w:rPr>
        <w:t>Calculation for the windstorm or hail</w:t>
      </w:r>
      <w:r>
        <w:rPr>
          <w:spacing w:val="-39"/>
          <w:sz w:val="20"/>
        </w:rPr>
        <w:t> </w:t>
      </w:r>
      <w:r>
        <w:rPr>
          <w:sz w:val="20"/>
        </w:rPr>
        <w:t>sublimit:</w:t>
      </w:r>
    </w:p>
    <w:p>
      <w:pPr>
        <w:pStyle w:val="ListParagraph"/>
        <w:numPr>
          <w:ilvl w:val="1"/>
          <w:numId w:val="1"/>
        </w:numPr>
        <w:tabs>
          <w:tab w:pos="1091" w:val="left" w:leader="none"/>
        </w:tabs>
        <w:spacing w:line="230" w:lineRule="exact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Divide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sublimit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completed</w:t>
      </w:r>
      <w:r>
        <w:rPr>
          <w:spacing w:val="-5"/>
          <w:sz w:val="20"/>
        </w:rPr>
        <w:t> </w:t>
      </w:r>
      <w:r>
        <w:rPr>
          <w:sz w:val="20"/>
        </w:rPr>
        <w:t>value</w:t>
      </w:r>
      <w:r>
        <w:rPr>
          <w:spacing w:val="-5"/>
          <w:sz w:val="20"/>
        </w:rPr>
        <w:t> </w:t>
      </w:r>
      <w:r>
        <w:rPr>
          <w:sz w:val="20"/>
        </w:rPr>
        <w:t>project</w:t>
      </w:r>
      <w:r>
        <w:rPr>
          <w:spacing w:val="-5"/>
          <w:sz w:val="20"/>
        </w:rPr>
        <w:t> </w:t>
      </w:r>
      <w:r>
        <w:rPr>
          <w:sz w:val="20"/>
        </w:rPr>
        <w:t>(total)</w:t>
      </w:r>
      <w:r>
        <w:rPr>
          <w:spacing w:val="-5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1"/>
          <w:numId w:val="1"/>
        </w:numPr>
        <w:tabs>
          <w:tab w:pos="1091" w:val="left" w:leader="none"/>
        </w:tabs>
        <w:spacing w:line="213" w:lineRule="exact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The resulting percentage is the “primary” limit as a % of total</w:t>
      </w:r>
      <w:r>
        <w:rPr>
          <w:spacing w:val="-30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1"/>
          <w:numId w:val="1"/>
        </w:numPr>
        <w:tabs>
          <w:tab w:pos="1089" w:val="left" w:leader="none"/>
          <w:tab w:pos="1091" w:val="left" w:leader="none"/>
        </w:tabs>
        <w:spacing w:line="230" w:lineRule="exact" w:before="21" w:after="0"/>
        <w:ind w:left="1090" w:right="786" w:hanging="360"/>
        <w:jc w:val="left"/>
        <w:rPr>
          <w:sz w:val="20"/>
        </w:rPr>
      </w:pPr>
      <w:r>
        <w:rPr>
          <w:sz w:val="20"/>
        </w:rPr>
        <w:t>Use the Revised Lloyd’s 1</w:t>
      </w:r>
      <w:r>
        <w:rPr>
          <w:position w:val="10"/>
          <w:sz w:val="13"/>
        </w:rPr>
        <w:t>st </w:t>
      </w:r>
      <w:r>
        <w:rPr>
          <w:sz w:val="20"/>
        </w:rPr>
        <w:t>Loss and Excess of Loss Scale to determine the percent of windstorm or hail premium that will be allocated for the sublimited coverage as</w:t>
      </w:r>
      <w:r>
        <w:rPr>
          <w:spacing w:val="-19"/>
          <w:sz w:val="20"/>
        </w:rPr>
        <w:t> </w:t>
      </w:r>
      <w:r>
        <w:rPr>
          <w:sz w:val="20"/>
        </w:rPr>
        <w:t>follows: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26" w:lineRule="exact" w:before="0" w:after="0"/>
        <w:ind w:left="1360" w:right="0" w:hanging="280"/>
        <w:jc w:val="left"/>
        <w:rPr>
          <w:sz w:val="20"/>
        </w:rPr>
      </w:pPr>
      <w:r>
        <w:rPr>
          <w:sz w:val="20"/>
        </w:rPr>
        <w:t>From Column A:  identify the number that matches that calculated in b.</w:t>
      </w:r>
      <w:r>
        <w:rPr>
          <w:spacing w:val="-36"/>
          <w:sz w:val="20"/>
        </w:rPr>
        <w:t> </w:t>
      </w:r>
      <w:r>
        <w:rPr>
          <w:sz w:val="20"/>
        </w:rPr>
        <w:t>above;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40" w:lineRule="auto" w:before="1" w:after="0"/>
        <w:ind w:left="1360" w:right="0" w:hanging="324"/>
        <w:jc w:val="left"/>
        <w:rPr>
          <w:sz w:val="20"/>
        </w:rPr>
      </w:pP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row,</w:t>
      </w:r>
      <w:r>
        <w:rPr>
          <w:spacing w:val="-5"/>
          <w:sz w:val="20"/>
        </w:rPr>
        <w:t> </w:t>
      </w:r>
      <w:r>
        <w:rPr>
          <w:sz w:val="20"/>
        </w:rPr>
        <w:t>identify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shown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column</w:t>
      </w:r>
      <w:r>
        <w:rPr>
          <w:spacing w:val="-5"/>
          <w:sz w:val="20"/>
        </w:rPr>
        <w:t> </w:t>
      </w:r>
      <w:r>
        <w:rPr>
          <w:sz w:val="20"/>
        </w:rPr>
        <w:t>B;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69"/>
        <w:jc w:val="left"/>
        <w:rPr>
          <w:sz w:val="20"/>
        </w:rPr>
      </w:pPr>
      <w:r>
        <w:rPr>
          <w:sz w:val="20"/>
        </w:rPr>
        <w:t>Apply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premium</w:t>
      </w:r>
      <w:r>
        <w:rPr>
          <w:spacing w:val="-5"/>
          <w:sz w:val="20"/>
        </w:rPr>
        <w:t> </w:t>
      </w:r>
      <w:r>
        <w:rPr>
          <w:sz w:val="20"/>
        </w:rPr>
        <w:t>form</w:t>
      </w:r>
      <w:r>
        <w:rPr>
          <w:spacing w:val="-5"/>
          <w:sz w:val="20"/>
        </w:rPr>
        <w:t> </w:t>
      </w:r>
      <w:r>
        <w:rPr>
          <w:sz w:val="20"/>
        </w:rPr>
        <w:t>2.</w:t>
      </w:r>
      <w:r>
        <w:rPr>
          <w:spacing w:val="-5"/>
          <w:sz w:val="20"/>
        </w:rPr>
        <w:t> </w:t>
      </w:r>
      <w:r>
        <w:rPr>
          <w:sz w:val="20"/>
        </w:rPr>
        <w:t>Above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81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premium</w:t>
      </w:r>
      <w:r>
        <w:rPr>
          <w:spacing w:val="-4"/>
          <w:sz w:val="20"/>
        </w:rPr>
        <w:t> </w:t>
      </w:r>
      <w:r>
        <w:rPr>
          <w:sz w:val="20"/>
        </w:rPr>
        <w:t>charged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sublimited</w:t>
      </w:r>
      <w:r>
        <w:rPr>
          <w:spacing w:val="-4"/>
          <w:sz w:val="20"/>
        </w:rPr>
        <w:t> </w:t>
      </w:r>
      <w:r>
        <w:rPr>
          <w:sz w:val="20"/>
        </w:rPr>
        <w:t>windstorm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4"/>
          <w:sz w:val="20"/>
        </w:rPr>
        <w:t> </w:t>
      </w:r>
      <w:r>
        <w:rPr>
          <w:sz w:val="20"/>
        </w:rPr>
        <w:t>coverage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369" w:hanging="450"/>
        <w:jc w:val="left"/>
        <w:rPr>
          <w:sz w:val="20"/>
        </w:rPr>
      </w:pPr>
      <w:r>
        <w:rPr>
          <w:sz w:val="20"/>
        </w:rPr>
        <w:t>Subtract the windstorm or hail premium for coverage at total limits for windstorm or hail from the total policy</w:t>
      </w:r>
      <w:r>
        <w:rPr>
          <w:spacing w:val="-16"/>
          <w:sz w:val="20"/>
        </w:rPr>
        <w:t> </w:t>
      </w:r>
      <w:r>
        <w:rPr>
          <w:sz w:val="20"/>
        </w:rPr>
        <w:t>premium;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0" w:after="0"/>
        <w:ind w:left="730" w:right="381" w:hanging="450"/>
        <w:jc w:val="left"/>
        <w:rPr>
          <w:sz w:val="20"/>
        </w:rPr>
      </w:pP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4.</w:t>
      </w:r>
      <w:r>
        <w:rPr>
          <w:spacing w:val="-3"/>
          <w:sz w:val="20"/>
        </w:rPr>
        <w:t> </w:t>
      </w:r>
      <w:r>
        <w:rPr>
          <w:sz w:val="20"/>
        </w:rPr>
        <w:t>above,</w:t>
      </w:r>
      <w:r>
        <w:rPr>
          <w:spacing w:val="-3"/>
          <w:sz w:val="20"/>
        </w:rPr>
        <w:t> </w:t>
      </w:r>
      <w:r>
        <w:rPr>
          <w:sz w:val="20"/>
        </w:rPr>
        <w:t>add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windstorm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hail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3.</w:t>
      </w:r>
      <w:r>
        <w:rPr>
          <w:spacing w:val="-3"/>
          <w:sz w:val="20"/>
        </w:rPr>
        <w:t> </w:t>
      </w:r>
      <w:r>
        <w:rPr>
          <w:sz w:val="20"/>
        </w:rPr>
        <w:t>iv. above to determine the final policy premium for windstorm or hail with the</w:t>
      </w:r>
      <w:r>
        <w:rPr>
          <w:spacing w:val="-20"/>
          <w:sz w:val="20"/>
        </w:rPr>
        <w:t> </w:t>
      </w:r>
      <w:r>
        <w:rPr>
          <w:sz w:val="20"/>
        </w:rPr>
        <w:t>sublimit.</w:t>
      </w:r>
    </w:p>
    <w:sectPr>
      <w:pgSz w:w="12240" w:h="15840"/>
      <w:pgMar w:header="726" w:footer="976" w:top="1260" w:bottom="116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 style="position:absolute;margin-left:466.76001pt;margin-top:732.189087pt;width:74.25pt;height:13.2pt;mso-position-horizontal-relative:page;mso-position-vertical-relative:page;z-index:-356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(Ed. 4-15)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2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000061pt;margin-top:743.648926pt;width:92.05pt;height:13.2pt;mso-position-horizontal-relative:page;mso-position-vertical-relative:page;z-index:-3544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AIG – IM – SC – RU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8.660004pt;margin-top:35.296719pt;width:174.7pt;height:29.25pt;mso-position-horizontal-relative:page;mso-position-vertical-relative:page;z-index:-3592" type="#_x0000_t202" filled="false" stroked="false">
          <v:textbox inset="0,0,0,0">
            <w:txbxContent>
              <w:p>
                <w:pPr>
                  <w:spacing w:before="12"/>
                  <w:ind w:left="359" w:right="1" w:hanging="34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South Carolina - Builders Risk Inland Marine Rule Page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30" w:hanging="451"/>
        <w:jc w:val="left"/>
      </w:pPr>
      <w:rPr>
        <w:rFonts w:hint="default" w:ascii="Arial" w:hAnsi="Arial" w:eastAsia="Arial" w:cs="Arial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090" w:hanging="361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2">
      <w:start w:val="1"/>
      <w:numFmt w:val="lowerRoman"/>
      <w:lvlText w:val="%3."/>
      <w:lvlJc w:val="left"/>
      <w:pPr>
        <w:ind w:left="1360" w:hanging="281"/>
        <w:jc w:val="righ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3">
      <w:start w:val="0"/>
      <w:numFmt w:val="bullet"/>
      <w:lvlText w:val="•"/>
      <w:lvlJc w:val="left"/>
      <w:pPr>
        <w:ind w:left="2385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10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5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0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85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10" w:hanging="2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30" w:lineRule="exact"/>
      <w:ind w:left="1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730" w:hanging="45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BR Rule page - SC.docx</dc:title>
  <dcterms:created xsi:type="dcterms:W3CDTF">2017-10-02T11:58:14Z</dcterms:created>
  <dcterms:modified xsi:type="dcterms:W3CDTF">2017-10-02T11:58:14Z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