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spacing w:before="6"/>
        <w:rPr>
          <w:rFonts w:ascii="Times New Roman"/>
          <w:sz w:val="27"/>
        </w:rPr>
      </w:pPr>
    </w:p>
    <w:tbl>
      <w:tblPr>
        <w:tblW w:w="0" w:type="auto"/>
        <w:jc w:val="left"/>
        <w:tblInd w:w="10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2052"/>
        <w:gridCol w:w="1339"/>
        <w:gridCol w:w="1010"/>
        <w:gridCol w:w="998"/>
        <w:gridCol w:w="1164"/>
        <w:gridCol w:w="1447"/>
        <w:gridCol w:w="1262"/>
        <w:gridCol w:w="4774"/>
      </w:tblGrid>
      <w:tr>
        <w:trPr>
          <w:trHeight w:val="350" w:hRule="exact"/>
        </w:trPr>
        <w:tc>
          <w:tcPr>
            <w:tcW w:w="2052" w:type="dxa"/>
          </w:tcPr>
          <w:p>
            <w:pPr>
              <w:pStyle w:val="TableParagraph"/>
              <w:ind w:left="36" w:right="26"/>
              <w:jc w:val="center"/>
              <w:rPr>
                <w:b/>
                <w:sz w:val="14"/>
              </w:rPr>
            </w:pPr>
            <w:r>
              <w:rPr>
                <w:b/>
                <w:sz w:val="14"/>
              </w:rPr>
              <w:t>Form Title</w:t>
            </w:r>
          </w:p>
        </w:tc>
        <w:tc>
          <w:tcPr>
            <w:tcW w:w="1339" w:type="dxa"/>
          </w:tcPr>
          <w:p>
            <w:pPr>
              <w:pStyle w:val="TableParagraph"/>
              <w:ind w:left="0" w:right="349"/>
              <w:jc w:val="right"/>
              <w:rPr>
                <w:b/>
                <w:sz w:val="14"/>
              </w:rPr>
            </w:pPr>
            <w:r>
              <w:rPr>
                <w:b/>
                <w:sz w:val="14"/>
              </w:rPr>
              <w:t>Form No.</w:t>
            </w:r>
          </w:p>
        </w:tc>
        <w:tc>
          <w:tcPr>
            <w:tcW w:w="1010" w:type="dxa"/>
          </w:tcPr>
          <w:p>
            <w:pPr>
              <w:pStyle w:val="TableParagraph"/>
              <w:ind w:left="153"/>
              <w:rPr>
                <w:b/>
                <w:sz w:val="14"/>
              </w:rPr>
            </w:pPr>
            <w:r>
              <w:rPr>
                <w:b/>
                <w:sz w:val="14"/>
              </w:rPr>
              <w:t>Form Type</w:t>
            </w:r>
          </w:p>
        </w:tc>
        <w:tc>
          <w:tcPr>
            <w:tcW w:w="998" w:type="dxa"/>
          </w:tcPr>
          <w:p>
            <w:pPr>
              <w:pStyle w:val="TableParagraph"/>
              <w:spacing w:line="264" w:lineRule="auto"/>
              <w:ind w:left="67" w:firstLine="199"/>
              <w:rPr>
                <w:b/>
                <w:sz w:val="14"/>
              </w:rPr>
            </w:pPr>
            <w:r>
              <w:rPr>
                <w:b/>
                <w:sz w:val="14"/>
              </w:rPr>
              <w:t>New or </w:t>
            </w:r>
            <w:r>
              <w:rPr>
                <w:b/>
                <w:w w:val="95"/>
                <w:sz w:val="14"/>
              </w:rPr>
              <w:t>Replacement</w:t>
            </w:r>
          </w:p>
        </w:tc>
        <w:tc>
          <w:tcPr>
            <w:tcW w:w="1164" w:type="dxa"/>
          </w:tcPr>
          <w:p>
            <w:pPr>
              <w:pStyle w:val="TableParagraph"/>
              <w:spacing w:line="264" w:lineRule="auto"/>
              <w:ind w:left="302" w:hanging="159"/>
              <w:rPr>
                <w:b/>
                <w:sz w:val="14"/>
              </w:rPr>
            </w:pPr>
            <w:r>
              <w:rPr>
                <w:b/>
                <w:sz w:val="14"/>
              </w:rPr>
              <w:t>Mandatory or Optional</w:t>
            </w:r>
          </w:p>
        </w:tc>
        <w:tc>
          <w:tcPr>
            <w:tcW w:w="1447" w:type="dxa"/>
          </w:tcPr>
          <w:p>
            <w:pPr>
              <w:pStyle w:val="TableParagraph"/>
              <w:spacing w:line="264" w:lineRule="auto"/>
              <w:ind w:left="359" w:hanging="293"/>
              <w:rPr>
                <w:b/>
                <w:sz w:val="14"/>
              </w:rPr>
            </w:pPr>
            <w:r>
              <w:rPr>
                <w:b/>
                <w:sz w:val="14"/>
              </w:rPr>
              <w:t>Restricts, Broadens or Clarifies</w:t>
            </w:r>
          </w:p>
        </w:tc>
        <w:tc>
          <w:tcPr>
            <w:tcW w:w="1262" w:type="dxa"/>
          </w:tcPr>
          <w:p>
            <w:pPr>
              <w:pStyle w:val="TableParagraph"/>
              <w:spacing w:line="264" w:lineRule="auto"/>
              <w:ind w:left="405" w:hanging="334"/>
              <w:rPr>
                <w:b/>
                <w:sz w:val="14"/>
              </w:rPr>
            </w:pPr>
            <w:r>
              <w:rPr>
                <w:b/>
                <w:sz w:val="14"/>
              </w:rPr>
              <w:t>Rate or Premium Impact</w:t>
            </w:r>
          </w:p>
        </w:tc>
        <w:tc>
          <w:tcPr>
            <w:tcW w:w="4774" w:type="dxa"/>
          </w:tcPr>
          <w:p>
            <w:pPr>
              <w:pStyle w:val="TableParagraph"/>
              <w:ind w:left="1703" w:right="1687"/>
              <w:jc w:val="center"/>
              <w:rPr>
                <w:b/>
                <w:sz w:val="14"/>
              </w:rPr>
            </w:pPr>
            <w:r>
              <w:rPr>
                <w:b/>
                <w:sz w:val="14"/>
              </w:rPr>
              <w:t>Description of Form</w:t>
            </w:r>
          </w:p>
        </w:tc>
      </w:tr>
      <w:tr>
        <w:trPr>
          <w:trHeight w:val="350" w:hRule="exact"/>
        </w:trPr>
        <w:tc>
          <w:tcPr>
            <w:tcW w:w="2052" w:type="dxa"/>
          </w:tcPr>
          <w:p>
            <w:pPr>
              <w:pStyle w:val="TableParagraph"/>
              <w:spacing w:line="261" w:lineRule="auto"/>
              <w:ind w:right="2"/>
              <w:rPr>
                <w:sz w:val="14"/>
              </w:rPr>
            </w:pPr>
            <w:r>
              <w:rPr>
                <w:sz w:val="14"/>
              </w:rPr>
              <w:t>Amendment of Bodily Injury Definition Endorsement</w:t>
            </w:r>
          </w:p>
        </w:tc>
        <w:tc>
          <w:tcPr>
            <w:tcW w:w="1339" w:type="dxa"/>
          </w:tcPr>
          <w:p>
            <w:pPr>
              <w:pStyle w:val="TableParagraph"/>
              <w:ind w:left="0" w:right="354"/>
              <w:jc w:val="right"/>
              <w:rPr>
                <w:sz w:val="14"/>
              </w:rPr>
            </w:pPr>
            <w:r>
              <w:rPr>
                <w:sz w:val="14"/>
              </w:rPr>
              <w:t>102173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O</w:t>
            </w:r>
          </w:p>
        </w:tc>
        <w:tc>
          <w:tcPr>
            <w:tcW w:w="1447" w:type="dxa"/>
          </w:tcPr>
          <w:p>
            <w:pPr>
              <w:pStyle w:val="TableParagraph"/>
              <w:rPr>
                <w:sz w:val="14"/>
              </w:rPr>
            </w:pPr>
            <w:r>
              <w:rPr>
                <w:sz w:val="14"/>
              </w:rPr>
              <w:t>Broadens</w:t>
            </w:r>
          </w:p>
        </w:tc>
        <w:tc>
          <w:tcPr>
            <w:tcW w:w="1262" w:type="dxa"/>
          </w:tcPr>
          <w:p>
            <w:pPr>
              <w:pStyle w:val="TableParagraph"/>
              <w:ind w:left="18"/>
              <w:rPr>
                <w:sz w:val="14"/>
              </w:rPr>
            </w:pPr>
            <w:r>
              <w:rPr>
                <w:sz w:val="14"/>
              </w:rPr>
              <w:t>No</w:t>
            </w:r>
          </w:p>
        </w:tc>
        <w:tc>
          <w:tcPr>
            <w:tcW w:w="4774" w:type="dxa"/>
          </w:tcPr>
          <w:p>
            <w:pPr>
              <w:pStyle w:val="TableParagraph"/>
              <w:spacing w:line="261" w:lineRule="auto"/>
              <w:ind w:hanging="1"/>
              <w:rPr>
                <w:sz w:val="14"/>
              </w:rPr>
            </w:pPr>
            <w:r>
              <w:rPr>
                <w:sz w:val="14"/>
              </w:rPr>
              <w:t>Expands the definition of Bodily Injury to include sickness resulting from mental anguish or emotional distress.</w:t>
            </w:r>
          </w:p>
        </w:tc>
      </w:tr>
      <w:tr>
        <w:trPr>
          <w:trHeight w:val="526" w:hRule="exact"/>
        </w:trPr>
        <w:tc>
          <w:tcPr>
            <w:tcW w:w="2052" w:type="dxa"/>
          </w:tcPr>
          <w:p>
            <w:pPr>
              <w:pStyle w:val="TableParagraph"/>
              <w:spacing w:line="261" w:lineRule="auto"/>
              <w:ind w:right="2"/>
              <w:rPr>
                <w:sz w:val="14"/>
              </w:rPr>
            </w:pPr>
            <w:r>
              <w:rPr>
                <w:sz w:val="14"/>
              </w:rPr>
              <w:t>Ski Program Crisis Response Coverage Extension Endorsement</w:t>
            </w:r>
          </w:p>
        </w:tc>
        <w:tc>
          <w:tcPr>
            <w:tcW w:w="1339" w:type="dxa"/>
          </w:tcPr>
          <w:p>
            <w:pPr>
              <w:pStyle w:val="TableParagraph"/>
              <w:ind w:left="0" w:right="354"/>
              <w:jc w:val="right"/>
              <w:rPr>
                <w:sz w:val="14"/>
              </w:rPr>
            </w:pPr>
            <w:r>
              <w:rPr>
                <w:sz w:val="14"/>
              </w:rPr>
              <w:t>102174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M</w:t>
            </w:r>
          </w:p>
        </w:tc>
        <w:tc>
          <w:tcPr>
            <w:tcW w:w="1447" w:type="dxa"/>
          </w:tcPr>
          <w:p>
            <w:pPr>
              <w:pStyle w:val="TableParagraph"/>
              <w:ind w:left="18"/>
              <w:rPr>
                <w:sz w:val="14"/>
              </w:rPr>
            </w:pPr>
            <w:r>
              <w:rPr>
                <w:sz w:val="14"/>
              </w:rPr>
              <w:t>Broadens</w:t>
            </w:r>
          </w:p>
        </w:tc>
        <w:tc>
          <w:tcPr>
            <w:tcW w:w="1262" w:type="dxa"/>
          </w:tcPr>
          <w:p>
            <w:pPr>
              <w:pStyle w:val="TableParagraph"/>
              <w:ind w:left="18"/>
              <w:rPr>
                <w:sz w:val="14"/>
              </w:rPr>
            </w:pPr>
            <w:r>
              <w:rPr>
                <w:sz w:val="14"/>
              </w:rPr>
              <w:t>No</w:t>
            </w:r>
          </w:p>
        </w:tc>
        <w:tc>
          <w:tcPr>
            <w:tcW w:w="4774" w:type="dxa"/>
          </w:tcPr>
          <w:p>
            <w:pPr>
              <w:pStyle w:val="TableParagraph"/>
              <w:ind w:left="18"/>
              <w:rPr>
                <w:sz w:val="14"/>
              </w:rPr>
            </w:pPr>
            <w:r>
              <w:rPr>
                <w:sz w:val="14"/>
              </w:rPr>
              <w:t>Provides a Crisis Response Service to a Crisis Event for Ski Areas.</w:t>
            </w:r>
          </w:p>
        </w:tc>
      </w:tr>
      <w:tr>
        <w:trPr>
          <w:trHeight w:val="526" w:hRule="exact"/>
        </w:trPr>
        <w:tc>
          <w:tcPr>
            <w:tcW w:w="2052" w:type="dxa"/>
          </w:tcPr>
          <w:p>
            <w:pPr>
              <w:pStyle w:val="TableParagraph"/>
              <w:ind w:left="0" w:right="26"/>
              <w:jc w:val="center"/>
              <w:rPr>
                <w:sz w:val="14"/>
              </w:rPr>
            </w:pPr>
            <w:r>
              <w:rPr>
                <w:sz w:val="14"/>
              </w:rPr>
              <w:t>Exception to Pollution Exclusion</w:t>
            </w:r>
          </w:p>
        </w:tc>
        <w:tc>
          <w:tcPr>
            <w:tcW w:w="1339" w:type="dxa"/>
          </w:tcPr>
          <w:p>
            <w:pPr>
              <w:pStyle w:val="TableParagraph"/>
              <w:ind w:left="0" w:right="354"/>
              <w:jc w:val="right"/>
              <w:rPr>
                <w:sz w:val="14"/>
              </w:rPr>
            </w:pPr>
            <w:r>
              <w:rPr>
                <w:sz w:val="14"/>
              </w:rPr>
              <w:t>102175 (05-10)</w:t>
            </w:r>
          </w:p>
        </w:tc>
        <w:tc>
          <w:tcPr>
            <w:tcW w:w="1010" w:type="dxa"/>
          </w:tcPr>
          <w:p>
            <w:pPr>
              <w:pStyle w:val="TableParagraph"/>
              <w:ind w:left="18"/>
              <w:rPr>
                <w:sz w:val="14"/>
              </w:rPr>
            </w:pPr>
            <w:r>
              <w:rPr>
                <w:w w:val="99"/>
                <w:sz w:val="14"/>
              </w:rPr>
              <w:t>E</w:t>
            </w:r>
          </w:p>
        </w:tc>
        <w:tc>
          <w:tcPr>
            <w:tcW w:w="998" w:type="dxa"/>
          </w:tcPr>
          <w:p>
            <w:pPr>
              <w:pStyle w:val="TableParagraph"/>
              <w:ind w:left="18"/>
              <w:rPr>
                <w:sz w:val="14"/>
              </w:rPr>
            </w:pPr>
            <w:r>
              <w:rPr>
                <w:w w:val="99"/>
                <w:sz w:val="14"/>
              </w:rPr>
              <w:t>N</w:t>
            </w:r>
          </w:p>
        </w:tc>
        <w:tc>
          <w:tcPr>
            <w:tcW w:w="1164" w:type="dxa"/>
          </w:tcPr>
          <w:p>
            <w:pPr>
              <w:pStyle w:val="TableParagraph"/>
              <w:ind w:left="18"/>
              <w:rPr>
                <w:sz w:val="14"/>
              </w:rPr>
            </w:pPr>
            <w:r>
              <w:rPr>
                <w:w w:val="99"/>
                <w:sz w:val="14"/>
              </w:rPr>
              <w:t>M</w:t>
            </w:r>
          </w:p>
        </w:tc>
        <w:tc>
          <w:tcPr>
            <w:tcW w:w="1447" w:type="dxa"/>
          </w:tcPr>
          <w:p>
            <w:pPr>
              <w:pStyle w:val="TableParagraph"/>
              <w:ind w:left="18"/>
              <w:rPr>
                <w:sz w:val="14"/>
              </w:rPr>
            </w:pPr>
            <w:r>
              <w:rPr>
                <w:sz w:val="14"/>
              </w:rPr>
              <w:t>Broadens</w:t>
            </w:r>
          </w:p>
        </w:tc>
        <w:tc>
          <w:tcPr>
            <w:tcW w:w="1262" w:type="dxa"/>
          </w:tcPr>
          <w:p>
            <w:pPr>
              <w:pStyle w:val="TableParagraph"/>
              <w:ind w:left="18"/>
              <w:rPr>
                <w:sz w:val="14"/>
              </w:rPr>
            </w:pPr>
            <w:r>
              <w:rPr>
                <w:sz w:val="14"/>
              </w:rPr>
              <w:t>No</w:t>
            </w:r>
          </w:p>
        </w:tc>
        <w:tc>
          <w:tcPr>
            <w:tcW w:w="4774" w:type="dxa"/>
          </w:tcPr>
          <w:p>
            <w:pPr>
              <w:pStyle w:val="TableParagraph"/>
              <w:spacing w:line="261" w:lineRule="auto"/>
              <w:ind w:right="7" w:hanging="1"/>
              <w:rPr>
                <w:sz w:val="14"/>
              </w:rPr>
            </w:pPr>
            <w:r>
              <w:rPr>
                <w:sz w:val="14"/>
              </w:rPr>
              <w:t>Provides limited pollution coverage for several operations including pesticide/herbicide applications, pool or chemical applications and application or use of chemicals to maintain the surface of an ice rink.</w:t>
            </w:r>
          </w:p>
        </w:tc>
      </w:tr>
      <w:tr>
        <w:trPr>
          <w:trHeight w:val="350" w:hRule="exact"/>
        </w:trPr>
        <w:tc>
          <w:tcPr>
            <w:tcW w:w="2052" w:type="dxa"/>
          </w:tcPr>
          <w:p>
            <w:pPr>
              <w:pStyle w:val="TableParagraph"/>
              <w:spacing w:line="261" w:lineRule="auto"/>
              <w:ind w:right="2"/>
              <w:rPr>
                <w:sz w:val="14"/>
              </w:rPr>
            </w:pPr>
            <w:r>
              <w:rPr>
                <w:sz w:val="14"/>
              </w:rPr>
              <w:t>Racing and Exhibition Endorsement</w:t>
            </w:r>
          </w:p>
        </w:tc>
        <w:tc>
          <w:tcPr>
            <w:tcW w:w="1339" w:type="dxa"/>
          </w:tcPr>
          <w:p>
            <w:pPr>
              <w:pStyle w:val="TableParagraph"/>
              <w:ind w:left="0" w:right="354"/>
              <w:jc w:val="right"/>
              <w:rPr>
                <w:sz w:val="14"/>
              </w:rPr>
            </w:pPr>
            <w:r>
              <w:rPr>
                <w:sz w:val="14"/>
              </w:rPr>
              <w:t>102176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O</w:t>
            </w:r>
          </w:p>
        </w:tc>
        <w:tc>
          <w:tcPr>
            <w:tcW w:w="1447" w:type="dxa"/>
          </w:tcPr>
          <w:p>
            <w:pPr>
              <w:pStyle w:val="TableParagraph"/>
              <w:rPr>
                <w:sz w:val="14"/>
              </w:rPr>
            </w:pPr>
            <w:r>
              <w:rPr>
                <w:sz w:val="14"/>
              </w:rPr>
              <w:t>Restricts</w:t>
            </w:r>
          </w:p>
        </w:tc>
        <w:tc>
          <w:tcPr>
            <w:tcW w:w="1262" w:type="dxa"/>
          </w:tcPr>
          <w:p>
            <w:pPr>
              <w:pStyle w:val="TableParagraph"/>
              <w:ind w:left="18"/>
              <w:rPr>
                <w:sz w:val="14"/>
              </w:rPr>
            </w:pPr>
            <w:r>
              <w:rPr>
                <w:sz w:val="14"/>
              </w:rPr>
              <w:t>No</w:t>
            </w:r>
          </w:p>
        </w:tc>
        <w:tc>
          <w:tcPr>
            <w:tcW w:w="4774" w:type="dxa"/>
          </w:tcPr>
          <w:p>
            <w:pPr>
              <w:pStyle w:val="TableParagraph"/>
              <w:ind w:left="18"/>
              <w:rPr>
                <w:sz w:val="14"/>
              </w:rPr>
            </w:pPr>
            <w:r>
              <w:rPr>
                <w:sz w:val="14"/>
              </w:rPr>
              <w:t>Restricts coverage for participants without Hold Harmless Agreements.</w:t>
            </w:r>
          </w:p>
        </w:tc>
      </w:tr>
      <w:tr>
        <w:trPr>
          <w:trHeight w:val="1226" w:hRule="exact"/>
        </w:trPr>
        <w:tc>
          <w:tcPr>
            <w:tcW w:w="2052" w:type="dxa"/>
          </w:tcPr>
          <w:p>
            <w:pPr>
              <w:pStyle w:val="TableParagraph"/>
              <w:spacing w:line="261" w:lineRule="auto"/>
              <w:ind w:right="2"/>
              <w:rPr>
                <w:sz w:val="14"/>
              </w:rPr>
            </w:pPr>
            <w:r>
              <w:rPr>
                <w:sz w:val="14"/>
              </w:rPr>
              <w:t>Ski Operations General Liability Exclusion Endorsement</w:t>
            </w:r>
          </w:p>
        </w:tc>
        <w:tc>
          <w:tcPr>
            <w:tcW w:w="1339" w:type="dxa"/>
          </w:tcPr>
          <w:p>
            <w:pPr>
              <w:pStyle w:val="TableParagraph"/>
              <w:ind w:left="0" w:right="354"/>
              <w:jc w:val="right"/>
              <w:rPr>
                <w:sz w:val="14"/>
              </w:rPr>
            </w:pPr>
            <w:r>
              <w:rPr>
                <w:sz w:val="14"/>
              </w:rPr>
              <w:t>102177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M</w:t>
            </w:r>
          </w:p>
        </w:tc>
        <w:tc>
          <w:tcPr>
            <w:tcW w:w="1447" w:type="dxa"/>
          </w:tcPr>
          <w:p>
            <w:pPr>
              <w:pStyle w:val="TableParagraph"/>
              <w:ind w:left="18"/>
              <w:rPr>
                <w:sz w:val="14"/>
              </w:rPr>
            </w:pPr>
            <w:r>
              <w:rPr>
                <w:sz w:val="14"/>
              </w:rPr>
              <w:t>Restrict</w:t>
            </w:r>
          </w:p>
        </w:tc>
        <w:tc>
          <w:tcPr>
            <w:tcW w:w="1262" w:type="dxa"/>
          </w:tcPr>
          <w:p>
            <w:pPr>
              <w:pStyle w:val="TableParagraph"/>
              <w:ind w:left="18"/>
              <w:rPr>
                <w:sz w:val="14"/>
              </w:rPr>
            </w:pPr>
            <w:r>
              <w:rPr>
                <w:sz w:val="14"/>
              </w:rPr>
              <w:t>No</w:t>
            </w:r>
          </w:p>
        </w:tc>
        <w:tc>
          <w:tcPr>
            <w:tcW w:w="4774" w:type="dxa"/>
            <w:tcBorders>
              <w:bottom w:val="single" w:sz="4" w:space="0" w:color="000000"/>
            </w:tcBorders>
          </w:tcPr>
          <w:p>
            <w:pPr>
              <w:pStyle w:val="TableParagraph"/>
              <w:spacing w:line="261" w:lineRule="auto"/>
              <w:ind w:right="-32" w:hanging="1"/>
              <w:rPr>
                <w:sz w:val="14"/>
              </w:rPr>
            </w:pPr>
            <w:r>
              <w:rPr>
                <w:sz w:val="14"/>
              </w:rPr>
              <w:t>This endorsement modifies the ISO CGL CG0001 by excluding the following: miscellaneous</w:t>
            </w:r>
            <w:r>
              <w:rPr>
                <w:spacing w:val="-4"/>
                <w:sz w:val="14"/>
              </w:rPr>
              <w:t> </w:t>
            </w:r>
            <w:r>
              <w:rPr>
                <w:sz w:val="14"/>
              </w:rPr>
              <w:t>activities</w:t>
            </w:r>
            <w:r>
              <w:rPr>
                <w:spacing w:val="-4"/>
                <w:sz w:val="14"/>
              </w:rPr>
              <w:t> </w:t>
            </w:r>
            <w:r>
              <w:rPr>
                <w:sz w:val="14"/>
              </w:rPr>
              <w:t>such</w:t>
            </w:r>
            <w:r>
              <w:rPr>
                <w:spacing w:val="-4"/>
                <w:sz w:val="14"/>
              </w:rPr>
              <w:t> </w:t>
            </w:r>
            <w:r>
              <w:rPr>
                <w:sz w:val="14"/>
              </w:rPr>
              <w:t>as</w:t>
            </w:r>
            <w:r>
              <w:rPr>
                <w:spacing w:val="-4"/>
                <w:sz w:val="14"/>
              </w:rPr>
              <w:t> </w:t>
            </w:r>
            <w:r>
              <w:rPr>
                <w:sz w:val="14"/>
              </w:rPr>
              <w:t>hang</w:t>
            </w:r>
            <w:r>
              <w:rPr>
                <w:spacing w:val="-4"/>
                <w:sz w:val="14"/>
              </w:rPr>
              <w:t> </w:t>
            </w:r>
            <w:r>
              <w:rPr>
                <w:sz w:val="14"/>
              </w:rPr>
              <w:t>gliding,</w:t>
            </w:r>
            <w:r>
              <w:rPr>
                <w:spacing w:val="-4"/>
                <w:sz w:val="14"/>
              </w:rPr>
              <w:t> </w:t>
            </w:r>
            <w:r>
              <w:rPr>
                <w:sz w:val="14"/>
              </w:rPr>
              <w:t>parachuting,</w:t>
            </w:r>
            <w:r>
              <w:rPr>
                <w:spacing w:val="-4"/>
                <w:sz w:val="14"/>
              </w:rPr>
              <w:t> </w:t>
            </w:r>
            <w:r>
              <w:rPr>
                <w:sz w:val="14"/>
              </w:rPr>
              <w:t>hot</w:t>
            </w:r>
            <w:r>
              <w:rPr>
                <w:spacing w:val="-4"/>
                <w:sz w:val="14"/>
              </w:rPr>
              <w:t> </w:t>
            </w:r>
            <w:r>
              <w:rPr>
                <w:sz w:val="14"/>
              </w:rPr>
              <w:t>air</w:t>
            </w:r>
            <w:r>
              <w:rPr>
                <w:spacing w:val="-4"/>
                <w:sz w:val="14"/>
              </w:rPr>
              <w:t> </w:t>
            </w:r>
            <w:r>
              <w:rPr>
                <w:sz w:val="14"/>
              </w:rPr>
              <w:t>ballooning, bungee</w:t>
            </w:r>
            <w:r>
              <w:rPr>
                <w:spacing w:val="-4"/>
                <w:sz w:val="14"/>
              </w:rPr>
              <w:t> </w:t>
            </w:r>
            <w:r>
              <w:rPr>
                <w:sz w:val="14"/>
              </w:rPr>
              <w:t>cord</w:t>
            </w:r>
            <w:r>
              <w:rPr>
                <w:spacing w:val="-4"/>
                <w:sz w:val="14"/>
              </w:rPr>
              <w:t> </w:t>
            </w:r>
            <w:r>
              <w:rPr>
                <w:sz w:val="14"/>
              </w:rPr>
              <w:t>jumping</w:t>
            </w:r>
            <w:r>
              <w:rPr>
                <w:spacing w:val="-4"/>
                <w:sz w:val="14"/>
              </w:rPr>
              <w:t> </w:t>
            </w:r>
            <w:r>
              <w:rPr>
                <w:sz w:val="14"/>
              </w:rPr>
              <w:t>or</w:t>
            </w:r>
            <w:r>
              <w:rPr>
                <w:spacing w:val="-4"/>
                <w:sz w:val="14"/>
              </w:rPr>
              <w:t> </w:t>
            </w:r>
            <w:r>
              <w:rPr>
                <w:sz w:val="14"/>
              </w:rPr>
              <w:t>use</w:t>
            </w:r>
            <w:r>
              <w:rPr>
                <w:spacing w:val="-4"/>
                <w:sz w:val="14"/>
              </w:rPr>
              <w:t> </w:t>
            </w:r>
            <w:r>
              <w:rPr>
                <w:sz w:val="14"/>
              </w:rPr>
              <w:t>of</w:t>
            </w:r>
            <w:r>
              <w:rPr>
                <w:spacing w:val="-4"/>
                <w:sz w:val="14"/>
              </w:rPr>
              <w:t> </w:t>
            </w:r>
            <w:r>
              <w:rPr>
                <w:sz w:val="14"/>
              </w:rPr>
              <w:t>trampoline</w:t>
            </w:r>
            <w:r>
              <w:rPr>
                <w:spacing w:val="-4"/>
                <w:sz w:val="14"/>
              </w:rPr>
              <w:t> </w:t>
            </w:r>
            <w:r>
              <w:rPr>
                <w:sz w:val="14"/>
              </w:rPr>
              <w:t>without</w:t>
            </w:r>
            <w:r>
              <w:rPr>
                <w:spacing w:val="-4"/>
                <w:sz w:val="14"/>
              </w:rPr>
              <w:t> </w:t>
            </w:r>
            <w:r>
              <w:rPr>
                <w:sz w:val="14"/>
              </w:rPr>
              <w:t>tethers;</w:t>
            </w:r>
            <w:r>
              <w:rPr>
                <w:spacing w:val="-4"/>
                <w:sz w:val="14"/>
              </w:rPr>
              <w:t> </w:t>
            </w:r>
            <w:r>
              <w:rPr>
                <w:sz w:val="14"/>
              </w:rPr>
              <w:t>concerts,</w:t>
            </w:r>
            <w:r>
              <w:rPr>
                <w:spacing w:val="-4"/>
                <w:sz w:val="14"/>
              </w:rPr>
              <w:t> </w:t>
            </w:r>
            <w:r>
              <w:rPr>
                <w:sz w:val="14"/>
              </w:rPr>
              <w:t>shows</w:t>
            </w:r>
            <w:r>
              <w:rPr>
                <w:spacing w:val="-4"/>
                <w:sz w:val="14"/>
              </w:rPr>
              <w:t> </w:t>
            </w:r>
            <w:r>
              <w:rPr>
                <w:sz w:val="14"/>
              </w:rPr>
              <w:t>or events</w:t>
            </w:r>
            <w:r>
              <w:rPr>
                <w:spacing w:val="-4"/>
                <w:sz w:val="14"/>
              </w:rPr>
              <w:t> </w:t>
            </w:r>
            <w:r>
              <w:rPr>
                <w:sz w:val="14"/>
              </w:rPr>
              <w:t>with</w:t>
            </w:r>
            <w:r>
              <w:rPr>
                <w:spacing w:val="-4"/>
                <w:sz w:val="14"/>
              </w:rPr>
              <w:t> </w:t>
            </w:r>
            <w:r>
              <w:rPr>
                <w:sz w:val="14"/>
              </w:rPr>
              <w:t>attendance</w:t>
            </w:r>
            <w:r>
              <w:rPr>
                <w:spacing w:val="-4"/>
                <w:sz w:val="14"/>
              </w:rPr>
              <w:t> </w:t>
            </w:r>
            <w:r>
              <w:rPr>
                <w:sz w:val="14"/>
              </w:rPr>
              <w:t>over</w:t>
            </w:r>
            <w:r>
              <w:rPr>
                <w:spacing w:val="-4"/>
                <w:sz w:val="14"/>
              </w:rPr>
              <w:t> </w:t>
            </w:r>
            <w:r>
              <w:rPr>
                <w:sz w:val="14"/>
              </w:rPr>
              <w:t>5000</w:t>
            </w:r>
            <w:r>
              <w:rPr>
                <w:spacing w:val="-4"/>
                <w:sz w:val="14"/>
              </w:rPr>
              <w:t> </w:t>
            </w:r>
            <w:r>
              <w:rPr>
                <w:sz w:val="14"/>
              </w:rPr>
              <w:t>admissions;</w:t>
            </w:r>
            <w:r>
              <w:rPr>
                <w:spacing w:val="-4"/>
                <w:sz w:val="14"/>
              </w:rPr>
              <w:t> </w:t>
            </w:r>
            <w:r>
              <w:rPr>
                <w:sz w:val="14"/>
              </w:rPr>
              <w:t>performers</w:t>
            </w:r>
            <w:r>
              <w:rPr>
                <w:spacing w:val="-4"/>
                <w:sz w:val="14"/>
              </w:rPr>
              <w:t> </w:t>
            </w:r>
            <w:r>
              <w:rPr>
                <w:sz w:val="14"/>
              </w:rPr>
              <w:t>at</w:t>
            </w:r>
            <w:r>
              <w:rPr>
                <w:spacing w:val="-4"/>
                <w:sz w:val="14"/>
              </w:rPr>
              <w:t> </w:t>
            </w:r>
            <w:r>
              <w:rPr>
                <w:sz w:val="14"/>
              </w:rPr>
              <w:t>concerts,</w:t>
            </w:r>
            <w:r>
              <w:rPr>
                <w:spacing w:val="-4"/>
                <w:sz w:val="14"/>
              </w:rPr>
              <w:t> </w:t>
            </w:r>
            <w:r>
              <w:rPr>
                <w:sz w:val="14"/>
              </w:rPr>
              <w:t>shows or events except if BI/PD is caused by the negligence of the insured. Real estate agents or brokers errors or omissions is</w:t>
            </w:r>
            <w:r>
              <w:rPr>
                <w:spacing w:val="-27"/>
                <w:sz w:val="14"/>
              </w:rPr>
              <w:t> </w:t>
            </w:r>
            <w:r>
              <w:rPr>
                <w:sz w:val="14"/>
              </w:rPr>
              <w:t>excluded.</w:t>
            </w:r>
          </w:p>
        </w:tc>
      </w:tr>
      <w:tr>
        <w:trPr>
          <w:trHeight w:val="3689" w:hRule="exact"/>
        </w:trPr>
        <w:tc>
          <w:tcPr>
            <w:tcW w:w="2052" w:type="dxa"/>
          </w:tcPr>
          <w:p>
            <w:pPr>
              <w:pStyle w:val="TableParagraph"/>
              <w:spacing w:line="261" w:lineRule="auto"/>
              <w:ind w:right="2"/>
              <w:rPr>
                <w:sz w:val="14"/>
              </w:rPr>
            </w:pPr>
            <w:r>
              <w:rPr>
                <w:sz w:val="14"/>
              </w:rPr>
              <w:t>Ski Operations General Liability Enhancement Endorsement</w:t>
            </w:r>
          </w:p>
        </w:tc>
        <w:tc>
          <w:tcPr>
            <w:tcW w:w="1339" w:type="dxa"/>
          </w:tcPr>
          <w:p>
            <w:pPr>
              <w:pStyle w:val="TableParagraph"/>
              <w:ind w:left="0" w:right="354"/>
              <w:jc w:val="right"/>
              <w:rPr>
                <w:sz w:val="14"/>
              </w:rPr>
            </w:pPr>
            <w:r>
              <w:rPr>
                <w:sz w:val="14"/>
              </w:rPr>
              <w:t>102178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M</w:t>
            </w:r>
          </w:p>
        </w:tc>
        <w:tc>
          <w:tcPr>
            <w:tcW w:w="1447" w:type="dxa"/>
          </w:tcPr>
          <w:p>
            <w:pPr>
              <w:pStyle w:val="TableParagraph"/>
              <w:ind w:left="57"/>
              <w:rPr>
                <w:sz w:val="14"/>
              </w:rPr>
            </w:pPr>
            <w:r>
              <w:rPr>
                <w:sz w:val="14"/>
              </w:rPr>
              <w:t>Broadens</w:t>
            </w:r>
          </w:p>
        </w:tc>
        <w:tc>
          <w:tcPr>
            <w:tcW w:w="1262" w:type="dxa"/>
            <w:tcBorders>
              <w:right w:val="single" w:sz="4" w:space="0" w:color="000000"/>
            </w:tcBorders>
          </w:tcPr>
          <w:p>
            <w:pPr>
              <w:pStyle w:val="TableParagraph"/>
              <w:ind w:left="18"/>
              <w:rPr>
                <w:sz w:val="14"/>
              </w:rPr>
            </w:pPr>
            <w:r>
              <w:rPr>
                <w:sz w:val="14"/>
              </w:rPr>
              <w:t>No</w:t>
            </w:r>
          </w:p>
        </w:tc>
        <w:tc>
          <w:tcPr>
            <w:tcW w:w="4774" w:type="dxa"/>
            <w:tcBorders>
              <w:top w:val="single" w:sz="4" w:space="0" w:color="000000"/>
              <w:left w:val="single" w:sz="4" w:space="0" w:color="000000"/>
              <w:bottom w:val="single" w:sz="4" w:space="0" w:color="000000"/>
              <w:right w:val="single" w:sz="10" w:space="0" w:color="000000"/>
            </w:tcBorders>
          </w:tcPr>
          <w:p>
            <w:pPr>
              <w:pStyle w:val="TableParagraph"/>
              <w:spacing w:line="143" w:lineRule="exact"/>
              <w:ind w:left="-12"/>
              <w:rPr>
                <w:sz w:val="13"/>
              </w:rPr>
            </w:pPr>
            <w:r>
              <w:rPr>
                <w:w w:val="110"/>
                <w:sz w:val="13"/>
              </w:rPr>
              <w:t>This endorsement broadens coverage for Ski Operations.  It  provides:</w:t>
            </w:r>
          </w:p>
          <w:p>
            <w:pPr>
              <w:pStyle w:val="TableParagraph"/>
              <w:numPr>
                <w:ilvl w:val="0"/>
                <w:numId w:val="1"/>
              </w:numPr>
              <w:tabs>
                <w:tab w:pos="515" w:val="left" w:leader="none"/>
              </w:tabs>
              <w:spacing w:line="254" w:lineRule="auto" w:before="9" w:after="0"/>
              <w:ind w:left="514" w:right="32" w:hanging="262"/>
              <w:jc w:val="left"/>
              <w:rPr>
                <w:sz w:val="13"/>
              </w:rPr>
            </w:pPr>
            <w:r>
              <w:rPr>
                <w:w w:val="110"/>
                <w:sz w:val="13"/>
              </w:rPr>
              <w:t>An exception to the pollution exclusion for bodily injury or   property damage arising out of the perils of explosion, fire,   smoke or fumes, heat, lightning, windstorm, vandalism or malicious mischief, collision or overturning of an “auto” or “mobile equipment”;</w:t>
            </w:r>
          </w:p>
          <w:p>
            <w:pPr>
              <w:pStyle w:val="TableParagraph"/>
              <w:numPr>
                <w:ilvl w:val="0"/>
                <w:numId w:val="1"/>
              </w:numPr>
              <w:tabs>
                <w:tab w:pos="515" w:val="left" w:leader="none"/>
              </w:tabs>
              <w:spacing w:line="247" w:lineRule="auto" w:before="0" w:after="0"/>
              <w:ind w:left="514" w:right="202" w:hanging="262"/>
              <w:jc w:val="left"/>
              <w:rPr>
                <w:sz w:val="13"/>
              </w:rPr>
            </w:pPr>
            <w:r>
              <w:rPr>
                <w:w w:val="110"/>
                <w:sz w:val="13"/>
              </w:rPr>
              <w:t>Limited care, custody or control coverage subject to a sub limit and</w:t>
            </w:r>
            <w:r>
              <w:rPr>
                <w:spacing w:val="14"/>
                <w:w w:val="110"/>
                <w:sz w:val="13"/>
              </w:rPr>
              <w:t> </w:t>
            </w:r>
            <w:r>
              <w:rPr>
                <w:w w:val="110"/>
                <w:sz w:val="13"/>
              </w:rPr>
              <w:t>deductible;</w:t>
            </w:r>
          </w:p>
          <w:p>
            <w:pPr>
              <w:pStyle w:val="TableParagraph"/>
              <w:numPr>
                <w:ilvl w:val="0"/>
                <w:numId w:val="1"/>
              </w:numPr>
              <w:tabs>
                <w:tab w:pos="515" w:val="left" w:leader="none"/>
              </w:tabs>
              <w:spacing w:line="252" w:lineRule="auto" w:before="5" w:after="0"/>
              <w:ind w:left="514" w:right="120" w:hanging="262"/>
              <w:jc w:val="left"/>
              <w:rPr>
                <w:sz w:val="13"/>
              </w:rPr>
            </w:pPr>
            <w:r>
              <w:rPr>
                <w:w w:val="110"/>
                <w:sz w:val="13"/>
              </w:rPr>
              <w:t>Supplementary Payments for bail bonds is increased to $2500 and daily expense related to investigation of claims is increased to</w:t>
            </w:r>
            <w:r>
              <w:rPr>
                <w:spacing w:val="8"/>
                <w:w w:val="110"/>
                <w:sz w:val="13"/>
              </w:rPr>
              <w:t> </w:t>
            </w:r>
            <w:r>
              <w:rPr>
                <w:w w:val="110"/>
                <w:sz w:val="13"/>
              </w:rPr>
              <w:t>$350;</w:t>
            </w:r>
          </w:p>
          <w:p>
            <w:pPr>
              <w:pStyle w:val="TableParagraph"/>
              <w:numPr>
                <w:ilvl w:val="0"/>
                <w:numId w:val="1"/>
              </w:numPr>
              <w:tabs>
                <w:tab w:pos="515" w:val="left" w:leader="none"/>
              </w:tabs>
              <w:spacing w:line="252" w:lineRule="auto" w:before="4" w:after="0"/>
              <w:ind w:left="514" w:right="72" w:hanging="262"/>
              <w:jc w:val="both"/>
              <w:rPr>
                <w:sz w:val="13"/>
              </w:rPr>
            </w:pPr>
            <w:r>
              <w:rPr>
                <w:w w:val="110"/>
                <w:sz w:val="13"/>
              </w:rPr>
              <w:t>Coverage for “employees” and “volunteer workers” who are duly trained and licensed as physicians, nurses, physician assistants, paramedics, or emergency medical technicians; </w:t>
            </w:r>
            <w:r>
              <w:rPr>
                <w:spacing w:val="14"/>
                <w:w w:val="110"/>
                <w:sz w:val="13"/>
              </w:rPr>
              <w:t> </w:t>
            </w:r>
            <w:r>
              <w:rPr>
                <w:w w:val="110"/>
                <w:sz w:val="13"/>
              </w:rPr>
              <w:t>and</w:t>
            </w:r>
          </w:p>
          <w:p>
            <w:pPr>
              <w:pStyle w:val="TableParagraph"/>
              <w:numPr>
                <w:ilvl w:val="0"/>
                <w:numId w:val="1"/>
              </w:numPr>
              <w:tabs>
                <w:tab w:pos="515" w:val="left" w:leader="none"/>
              </w:tabs>
              <w:spacing w:line="247" w:lineRule="auto" w:before="1" w:after="0"/>
              <w:ind w:left="514" w:right="657" w:hanging="262"/>
              <w:jc w:val="left"/>
              <w:rPr>
                <w:sz w:val="13"/>
              </w:rPr>
            </w:pPr>
            <w:r>
              <w:rPr>
                <w:w w:val="110"/>
                <w:sz w:val="13"/>
              </w:rPr>
              <w:t>Unintentional errors or omissions coverage as well as a Liberalization</w:t>
            </w:r>
            <w:r>
              <w:rPr>
                <w:spacing w:val="17"/>
                <w:w w:val="110"/>
                <w:sz w:val="13"/>
              </w:rPr>
              <w:t> </w:t>
            </w:r>
            <w:r>
              <w:rPr>
                <w:w w:val="110"/>
                <w:sz w:val="13"/>
              </w:rPr>
              <w:t>clause.</w:t>
            </w:r>
          </w:p>
          <w:p>
            <w:pPr>
              <w:pStyle w:val="TableParagraph"/>
              <w:spacing w:before="1"/>
              <w:ind w:left="0"/>
              <w:rPr>
                <w:rFonts w:ascii="Times New Roman"/>
                <w:sz w:val="14"/>
              </w:rPr>
            </w:pPr>
          </w:p>
          <w:p>
            <w:pPr>
              <w:pStyle w:val="TableParagraph"/>
              <w:spacing w:line="254" w:lineRule="auto"/>
              <w:ind w:left="-12" w:right="43"/>
              <w:rPr>
                <w:sz w:val="13"/>
              </w:rPr>
            </w:pPr>
            <w:r>
              <w:rPr>
                <w:w w:val="110"/>
                <w:sz w:val="13"/>
              </w:rPr>
              <w:t>Certain vehicles common to ski areas such as snow removal equipment are redefined as “mobile equipment” not  “autos”.</w:t>
            </w:r>
          </w:p>
        </w:tc>
      </w:tr>
    </w:tbl>
    <w:p>
      <w:pPr>
        <w:spacing w:after="0" w:line="254" w:lineRule="auto"/>
        <w:rPr>
          <w:sz w:val="13"/>
        </w:rPr>
        <w:sectPr>
          <w:headerReference w:type="default" r:id="rId5"/>
          <w:footerReference w:type="default" r:id="rId6"/>
          <w:type w:val="continuous"/>
          <w:pgSz w:w="15840" w:h="12240" w:orient="landscape"/>
          <w:pgMar w:header="693" w:footer="701" w:top="880" w:bottom="900" w:left="140" w:right="1400"/>
          <w:pgNumType w:start="1"/>
        </w:sectPr>
      </w:pPr>
    </w:p>
    <w:p>
      <w:pPr>
        <w:pStyle w:val="BodyText"/>
        <w:rPr>
          <w:rFonts w:ascii="Times New Roman"/>
          <w:sz w:val="20"/>
        </w:rPr>
      </w:pPr>
    </w:p>
    <w:p>
      <w:pPr>
        <w:pStyle w:val="BodyText"/>
        <w:spacing w:before="6"/>
        <w:rPr>
          <w:rFonts w:ascii="Times New Roman"/>
          <w:sz w:val="27"/>
        </w:rPr>
      </w:pPr>
    </w:p>
    <w:tbl>
      <w:tblPr>
        <w:tblW w:w="0" w:type="auto"/>
        <w:jc w:val="left"/>
        <w:tblInd w:w="10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top w:w="0" w:type="dxa"/>
          <w:left w:w="0" w:type="dxa"/>
          <w:bottom w:w="0" w:type="dxa"/>
          <w:right w:w="0" w:type="dxa"/>
        </w:tblCellMar>
        <w:tblLook w:val="01E0"/>
      </w:tblPr>
      <w:tblGrid>
        <w:gridCol w:w="2052"/>
        <w:gridCol w:w="1339"/>
        <w:gridCol w:w="1010"/>
        <w:gridCol w:w="998"/>
        <w:gridCol w:w="1164"/>
        <w:gridCol w:w="1447"/>
        <w:gridCol w:w="1262"/>
        <w:gridCol w:w="4774"/>
      </w:tblGrid>
      <w:tr>
        <w:trPr>
          <w:trHeight w:val="3504" w:hRule="exact"/>
        </w:trPr>
        <w:tc>
          <w:tcPr>
            <w:tcW w:w="2052" w:type="dxa"/>
          </w:tcPr>
          <w:p>
            <w:pPr>
              <w:pStyle w:val="TableParagraph"/>
              <w:spacing w:line="261" w:lineRule="auto"/>
              <w:ind w:right="2"/>
              <w:rPr>
                <w:sz w:val="14"/>
              </w:rPr>
            </w:pPr>
            <w:r>
              <w:rPr>
                <w:sz w:val="14"/>
              </w:rPr>
              <w:t>Ski School General Liability Enhancement Endorsement</w:t>
            </w:r>
          </w:p>
        </w:tc>
        <w:tc>
          <w:tcPr>
            <w:tcW w:w="1339" w:type="dxa"/>
          </w:tcPr>
          <w:p>
            <w:pPr>
              <w:pStyle w:val="TableParagraph"/>
              <w:rPr>
                <w:sz w:val="14"/>
              </w:rPr>
            </w:pPr>
            <w:r>
              <w:rPr>
                <w:sz w:val="14"/>
              </w:rPr>
              <w:t>102179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sz w:val="14"/>
              </w:rPr>
              <w:t>M*</w:t>
            </w:r>
          </w:p>
        </w:tc>
        <w:tc>
          <w:tcPr>
            <w:tcW w:w="1447" w:type="dxa"/>
          </w:tcPr>
          <w:p>
            <w:pPr>
              <w:pStyle w:val="TableParagraph"/>
              <w:ind w:left="18"/>
              <w:rPr>
                <w:sz w:val="14"/>
              </w:rPr>
            </w:pPr>
            <w:r>
              <w:rPr>
                <w:sz w:val="14"/>
              </w:rPr>
              <w:t>Broadens</w:t>
            </w:r>
          </w:p>
        </w:tc>
        <w:tc>
          <w:tcPr>
            <w:tcW w:w="1262" w:type="dxa"/>
            <w:tcBorders>
              <w:right w:val="single" w:sz="4" w:space="0" w:color="000000"/>
            </w:tcBorders>
          </w:tcPr>
          <w:p>
            <w:pPr>
              <w:pStyle w:val="TableParagraph"/>
              <w:ind w:left="18"/>
              <w:rPr>
                <w:sz w:val="14"/>
              </w:rPr>
            </w:pPr>
            <w:r>
              <w:rPr>
                <w:sz w:val="14"/>
              </w:rPr>
              <w:t>No</w:t>
            </w:r>
          </w:p>
        </w:tc>
        <w:tc>
          <w:tcPr>
            <w:tcW w:w="4774" w:type="dxa"/>
            <w:tcBorders>
              <w:top w:val="single" w:sz="4" w:space="0" w:color="000000"/>
              <w:left w:val="single" w:sz="4" w:space="0" w:color="000000"/>
              <w:bottom w:val="single" w:sz="4" w:space="0" w:color="000000"/>
              <w:right w:val="single" w:sz="4" w:space="0" w:color="000000"/>
            </w:tcBorders>
          </w:tcPr>
          <w:p>
            <w:pPr>
              <w:pStyle w:val="TableParagraph"/>
              <w:spacing w:before="3"/>
              <w:ind w:left="-12"/>
              <w:rPr>
                <w:sz w:val="13"/>
              </w:rPr>
            </w:pPr>
            <w:r>
              <w:rPr>
                <w:w w:val="110"/>
                <w:sz w:val="13"/>
              </w:rPr>
              <w:t>This endorsement broadens coverage for Ski Schools.  It  provides:</w:t>
            </w:r>
          </w:p>
          <w:p>
            <w:pPr>
              <w:pStyle w:val="TableParagraph"/>
              <w:numPr>
                <w:ilvl w:val="0"/>
                <w:numId w:val="2"/>
              </w:numPr>
              <w:tabs>
                <w:tab w:pos="515" w:val="left" w:leader="none"/>
              </w:tabs>
              <w:spacing w:line="252" w:lineRule="auto" w:before="9" w:after="0"/>
              <w:ind w:left="514" w:right="95" w:hanging="262"/>
              <w:jc w:val="left"/>
              <w:rPr>
                <w:sz w:val="13"/>
              </w:rPr>
            </w:pPr>
            <w:r>
              <w:rPr>
                <w:w w:val="110"/>
                <w:sz w:val="13"/>
              </w:rPr>
              <w:t>Limited care, custody and control coverage subject to a sub limit and</w:t>
            </w:r>
            <w:r>
              <w:rPr>
                <w:spacing w:val="15"/>
                <w:w w:val="110"/>
                <w:sz w:val="13"/>
              </w:rPr>
              <w:t> </w:t>
            </w:r>
            <w:r>
              <w:rPr>
                <w:w w:val="110"/>
                <w:sz w:val="13"/>
              </w:rPr>
              <w:t>deductible;</w:t>
            </w:r>
          </w:p>
          <w:p>
            <w:pPr>
              <w:pStyle w:val="TableParagraph"/>
              <w:numPr>
                <w:ilvl w:val="0"/>
                <w:numId w:val="2"/>
              </w:numPr>
              <w:tabs>
                <w:tab w:pos="515" w:val="left" w:leader="none"/>
              </w:tabs>
              <w:spacing w:line="252" w:lineRule="auto" w:before="2" w:after="0"/>
              <w:ind w:left="514" w:right="127" w:hanging="262"/>
              <w:jc w:val="left"/>
              <w:rPr>
                <w:sz w:val="13"/>
              </w:rPr>
            </w:pPr>
            <w:r>
              <w:rPr>
                <w:w w:val="110"/>
                <w:sz w:val="13"/>
              </w:rPr>
              <w:t>Supplementary Payments for bail bonds is increased to $2500 and daily expense related to investigation of claims is increased to</w:t>
            </w:r>
            <w:r>
              <w:rPr>
                <w:spacing w:val="9"/>
                <w:w w:val="110"/>
                <w:sz w:val="13"/>
              </w:rPr>
              <w:t> </w:t>
            </w:r>
            <w:r>
              <w:rPr>
                <w:w w:val="110"/>
                <w:sz w:val="13"/>
              </w:rPr>
              <w:t>$350.</w:t>
            </w:r>
          </w:p>
          <w:p>
            <w:pPr>
              <w:pStyle w:val="TableParagraph"/>
              <w:numPr>
                <w:ilvl w:val="0"/>
                <w:numId w:val="2"/>
              </w:numPr>
              <w:tabs>
                <w:tab w:pos="515" w:val="left" w:leader="none"/>
              </w:tabs>
              <w:spacing w:line="252" w:lineRule="auto" w:before="2" w:after="0"/>
              <w:ind w:left="514" w:right="76" w:hanging="262"/>
              <w:jc w:val="both"/>
              <w:rPr>
                <w:sz w:val="13"/>
              </w:rPr>
            </w:pPr>
            <w:r>
              <w:rPr>
                <w:w w:val="110"/>
                <w:sz w:val="13"/>
              </w:rPr>
              <w:t>Coverage for “employees” and “volunteer workers” who are duly trained and licensed as physicians, nurses, physician assistants, paramedics, or emergency medical </w:t>
            </w:r>
            <w:r>
              <w:rPr>
                <w:spacing w:val="11"/>
                <w:w w:val="110"/>
                <w:sz w:val="13"/>
              </w:rPr>
              <w:t> </w:t>
            </w:r>
            <w:r>
              <w:rPr>
                <w:w w:val="110"/>
                <w:sz w:val="13"/>
              </w:rPr>
              <w:t>technicians;</w:t>
            </w:r>
          </w:p>
          <w:p>
            <w:pPr>
              <w:pStyle w:val="TableParagraph"/>
              <w:numPr>
                <w:ilvl w:val="0"/>
                <w:numId w:val="2"/>
              </w:numPr>
              <w:tabs>
                <w:tab w:pos="515" w:val="left" w:leader="none"/>
              </w:tabs>
              <w:spacing w:line="252" w:lineRule="auto" w:before="2" w:after="0"/>
              <w:ind w:left="514" w:right="663" w:hanging="262"/>
              <w:jc w:val="left"/>
              <w:rPr>
                <w:sz w:val="13"/>
              </w:rPr>
            </w:pPr>
            <w:r>
              <w:rPr>
                <w:w w:val="110"/>
                <w:sz w:val="13"/>
              </w:rPr>
              <w:t>Unintentional errors or omissions coverage as well as a Liberalization clause;</w:t>
            </w:r>
            <w:r>
              <w:rPr>
                <w:spacing w:val="23"/>
                <w:w w:val="110"/>
                <w:sz w:val="13"/>
              </w:rPr>
              <w:t> </w:t>
            </w:r>
            <w:r>
              <w:rPr>
                <w:w w:val="110"/>
                <w:sz w:val="13"/>
              </w:rPr>
              <w:t>and</w:t>
            </w:r>
          </w:p>
          <w:p>
            <w:pPr>
              <w:pStyle w:val="TableParagraph"/>
              <w:numPr>
                <w:ilvl w:val="0"/>
                <w:numId w:val="2"/>
              </w:numPr>
              <w:tabs>
                <w:tab w:pos="515" w:val="left" w:leader="none"/>
              </w:tabs>
              <w:spacing w:line="487" w:lineRule="auto" w:before="2" w:after="0"/>
              <w:ind w:left="-12" w:right="337" w:firstLine="264"/>
              <w:jc w:val="left"/>
              <w:rPr>
                <w:sz w:val="13"/>
              </w:rPr>
            </w:pPr>
            <w:r>
              <w:rPr>
                <w:w w:val="110"/>
                <w:sz w:val="13"/>
              </w:rPr>
              <w:t>Inclusion of mental anguish in the definition of “bodily injury.” Discrimination is added under “Personal and advertising </w:t>
            </w:r>
            <w:r>
              <w:rPr>
                <w:spacing w:val="22"/>
                <w:w w:val="110"/>
                <w:sz w:val="13"/>
              </w:rPr>
              <w:t> </w:t>
            </w:r>
            <w:r>
              <w:rPr>
                <w:w w:val="110"/>
                <w:sz w:val="13"/>
              </w:rPr>
              <w:t>injury.”</w:t>
            </w:r>
          </w:p>
          <w:p>
            <w:pPr>
              <w:pStyle w:val="TableParagraph"/>
              <w:spacing w:before="51"/>
              <w:ind w:left="-12"/>
              <w:rPr>
                <w:sz w:val="13"/>
              </w:rPr>
            </w:pPr>
            <w:r>
              <w:rPr>
                <w:w w:val="110"/>
                <w:sz w:val="13"/>
              </w:rPr>
              <w:t>This form also broadens the Knowledge of Occurrence  Conditions.</w:t>
            </w:r>
          </w:p>
        </w:tc>
      </w:tr>
      <w:tr>
        <w:trPr>
          <w:trHeight w:val="2935" w:hRule="exact"/>
        </w:trPr>
        <w:tc>
          <w:tcPr>
            <w:tcW w:w="2052" w:type="dxa"/>
          </w:tcPr>
          <w:p>
            <w:pPr>
              <w:pStyle w:val="TableParagraph"/>
              <w:spacing w:line="261" w:lineRule="auto"/>
              <w:ind w:right="2"/>
              <w:rPr>
                <w:sz w:val="14"/>
              </w:rPr>
            </w:pPr>
            <w:r>
              <w:rPr>
                <w:sz w:val="14"/>
              </w:rPr>
              <w:t>Ski School General Liability Exclusion Endorsement</w:t>
            </w:r>
          </w:p>
        </w:tc>
        <w:tc>
          <w:tcPr>
            <w:tcW w:w="1339" w:type="dxa"/>
          </w:tcPr>
          <w:p>
            <w:pPr>
              <w:pStyle w:val="TableParagraph"/>
              <w:rPr>
                <w:sz w:val="14"/>
              </w:rPr>
            </w:pPr>
            <w:r>
              <w:rPr>
                <w:sz w:val="14"/>
              </w:rPr>
              <w:t>102180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sz w:val="14"/>
              </w:rPr>
              <w:t>M*</w:t>
            </w:r>
          </w:p>
        </w:tc>
        <w:tc>
          <w:tcPr>
            <w:tcW w:w="1447" w:type="dxa"/>
          </w:tcPr>
          <w:p>
            <w:pPr>
              <w:pStyle w:val="TableParagraph"/>
              <w:ind w:left="18"/>
              <w:rPr>
                <w:sz w:val="14"/>
              </w:rPr>
            </w:pPr>
            <w:r>
              <w:rPr>
                <w:sz w:val="14"/>
              </w:rPr>
              <w:t>Restricts</w:t>
            </w:r>
          </w:p>
        </w:tc>
        <w:tc>
          <w:tcPr>
            <w:tcW w:w="1262" w:type="dxa"/>
            <w:tcBorders>
              <w:right w:val="single" w:sz="4" w:space="0" w:color="000000"/>
            </w:tcBorders>
          </w:tcPr>
          <w:p>
            <w:pPr>
              <w:pStyle w:val="TableParagraph"/>
              <w:ind w:left="18"/>
              <w:rPr>
                <w:sz w:val="14"/>
              </w:rPr>
            </w:pPr>
            <w:r>
              <w:rPr>
                <w:sz w:val="14"/>
              </w:rPr>
              <w:t>No</w:t>
            </w:r>
          </w:p>
        </w:tc>
        <w:tc>
          <w:tcPr>
            <w:tcW w:w="4774" w:type="dxa"/>
            <w:tcBorders>
              <w:top w:val="single" w:sz="4" w:space="0" w:color="000000"/>
              <w:left w:val="single" w:sz="4" w:space="0" w:color="000000"/>
              <w:bottom w:val="single" w:sz="4" w:space="0" w:color="000000"/>
              <w:right w:val="single" w:sz="10" w:space="0" w:color="000000"/>
            </w:tcBorders>
          </w:tcPr>
          <w:p>
            <w:pPr>
              <w:pStyle w:val="TableParagraph"/>
              <w:spacing w:line="254" w:lineRule="auto"/>
              <w:ind w:left="-12"/>
              <w:rPr>
                <w:sz w:val="13"/>
              </w:rPr>
            </w:pPr>
            <w:r>
              <w:rPr>
                <w:w w:val="110"/>
                <w:sz w:val="13"/>
              </w:rPr>
              <w:t>This endorsement modifies the ISO CGL CG0001 by excluding the following:</w:t>
            </w:r>
          </w:p>
          <w:p>
            <w:pPr>
              <w:pStyle w:val="TableParagraph"/>
              <w:spacing w:before="2"/>
              <w:ind w:left="0"/>
              <w:rPr>
                <w:rFonts w:ascii="Times New Roman"/>
                <w:sz w:val="14"/>
              </w:rPr>
            </w:pPr>
          </w:p>
          <w:p>
            <w:pPr>
              <w:pStyle w:val="TableParagraph"/>
              <w:numPr>
                <w:ilvl w:val="0"/>
                <w:numId w:val="3"/>
              </w:numPr>
              <w:tabs>
                <w:tab w:pos="515" w:val="left" w:leader="none"/>
              </w:tabs>
              <w:spacing w:line="252" w:lineRule="auto" w:before="0" w:after="0"/>
              <w:ind w:left="514" w:right="89" w:hanging="262"/>
              <w:jc w:val="left"/>
              <w:rPr>
                <w:sz w:val="13"/>
              </w:rPr>
            </w:pPr>
            <w:r>
              <w:rPr>
                <w:w w:val="110"/>
                <w:sz w:val="13"/>
              </w:rPr>
              <w:t>Miscellaneous activities such as hang gliding, parachuting, hot  air ballooning, bungee cord jumping or use of trampoline without tethers; tubing, sledding, tobogganing or </w:t>
            </w:r>
            <w:r>
              <w:rPr>
                <w:spacing w:val="11"/>
                <w:w w:val="110"/>
                <w:sz w:val="13"/>
              </w:rPr>
              <w:t> </w:t>
            </w:r>
            <w:r>
              <w:rPr>
                <w:w w:val="110"/>
                <w:sz w:val="13"/>
              </w:rPr>
              <w:t>lugeing;</w:t>
            </w:r>
          </w:p>
          <w:p>
            <w:pPr>
              <w:pStyle w:val="TableParagraph"/>
              <w:numPr>
                <w:ilvl w:val="0"/>
                <w:numId w:val="3"/>
              </w:numPr>
              <w:tabs>
                <w:tab w:pos="515" w:val="left" w:leader="none"/>
              </w:tabs>
              <w:spacing w:line="252" w:lineRule="auto" w:before="2" w:after="0"/>
              <w:ind w:left="514" w:right="107" w:hanging="262"/>
              <w:jc w:val="left"/>
              <w:rPr>
                <w:sz w:val="13"/>
              </w:rPr>
            </w:pPr>
            <w:r>
              <w:rPr>
                <w:w w:val="110"/>
                <w:sz w:val="13"/>
              </w:rPr>
              <w:t>Saddle animals for hire, off season operations, survival camps, overnight lodging of students, guests or members, alpine/Nordic ski equipment sales and rental and ski </w:t>
            </w:r>
            <w:r>
              <w:rPr>
                <w:spacing w:val="7"/>
                <w:w w:val="110"/>
                <w:sz w:val="13"/>
              </w:rPr>
              <w:t> </w:t>
            </w:r>
            <w:r>
              <w:rPr>
                <w:w w:val="110"/>
                <w:sz w:val="13"/>
              </w:rPr>
              <w:t>racing;</w:t>
            </w:r>
          </w:p>
          <w:p>
            <w:pPr>
              <w:pStyle w:val="TableParagraph"/>
              <w:numPr>
                <w:ilvl w:val="0"/>
                <w:numId w:val="3"/>
              </w:numPr>
              <w:tabs>
                <w:tab w:pos="515" w:val="left" w:leader="none"/>
              </w:tabs>
              <w:spacing w:line="247" w:lineRule="auto" w:before="2" w:after="0"/>
              <w:ind w:left="514" w:right="244" w:hanging="262"/>
              <w:jc w:val="left"/>
              <w:rPr>
                <w:sz w:val="13"/>
              </w:rPr>
            </w:pPr>
            <w:r>
              <w:rPr>
                <w:w w:val="110"/>
                <w:sz w:val="13"/>
              </w:rPr>
              <w:t>Operation, maintenance or use of “mobile equipment” for hire; and</w:t>
            </w:r>
          </w:p>
          <w:p>
            <w:pPr>
              <w:pStyle w:val="TableParagraph"/>
              <w:numPr>
                <w:ilvl w:val="0"/>
                <w:numId w:val="3"/>
              </w:numPr>
              <w:tabs>
                <w:tab w:pos="515" w:val="left" w:leader="none"/>
              </w:tabs>
              <w:spacing w:line="247" w:lineRule="auto" w:before="5" w:after="0"/>
              <w:ind w:left="514" w:right="137" w:hanging="262"/>
              <w:jc w:val="left"/>
              <w:rPr>
                <w:sz w:val="13"/>
              </w:rPr>
            </w:pPr>
            <w:r>
              <w:rPr>
                <w:w w:val="110"/>
                <w:sz w:val="13"/>
              </w:rPr>
              <w:t>“Bodily injury” or “personal and advertising injury” due to refusal to employ, termination or employment related </w:t>
            </w:r>
            <w:r>
              <w:rPr>
                <w:spacing w:val="17"/>
                <w:w w:val="110"/>
                <w:sz w:val="13"/>
              </w:rPr>
              <w:t> </w:t>
            </w:r>
            <w:r>
              <w:rPr>
                <w:w w:val="110"/>
                <w:sz w:val="13"/>
              </w:rPr>
              <w:t>practices.</w:t>
            </w:r>
          </w:p>
        </w:tc>
      </w:tr>
      <w:tr>
        <w:trPr>
          <w:trHeight w:val="350" w:hRule="exact"/>
        </w:trPr>
        <w:tc>
          <w:tcPr>
            <w:tcW w:w="2052" w:type="dxa"/>
          </w:tcPr>
          <w:p>
            <w:pPr>
              <w:pStyle w:val="TableParagraph"/>
              <w:spacing w:line="261" w:lineRule="auto"/>
              <w:ind w:right="2"/>
              <w:rPr>
                <w:sz w:val="14"/>
              </w:rPr>
            </w:pPr>
            <w:r>
              <w:rPr>
                <w:sz w:val="14"/>
              </w:rPr>
              <w:t>Exclusion Ski Related Operations</w:t>
            </w:r>
          </w:p>
        </w:tc>
        <w:tc>
          <w:tcPr>
            <w:tcW w:w="1339" w:type="dxa"/>
          </w:tcPr>
          <w:p>
            <w:pPr>
              <w:pStyle w:val="TableParagraph"/>
              <w:rPr>
                <w:sz w:val="14"/>
              </w:rPr>
            </w:pPr>
            <w:r>
              <w:rPr>
                <w:sz w:val="14"/>
              </w:rPr>
              <w:t>102181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O</w:t>
            </w:r>
          </w:p>
        </w:tc>
        <w:tc>
          <w:tcPr>
            <w:tcW w:w="1447" w:type="dxa"/>
          </w:tcPr>
          <w:p>
            <w:pPr>
              <w:pStyle w:val="TableParagraph"/>
              <w:ind w:left="18"/>
              <w:rPr>
                <w:sz w:val="14"/>
              </w:rPr>
            </w:pPr>
            <w:r>
              <w:rPr>
                <w:sz w:val="14"/>
              </w:rPr>
              <w:t>Restricts</w:t>
            </w:r>
          </w:p>
        </w:tc>
        <w:tc>
          <w:tcPr>
            <w:tcW w:w="1262" w:type="dxa"/>
          </w:tcPr>
          <w:p>
            <w:pPr>
              <w:pStyle w:val="TableParagraph"/>
              <w:ind w:left="18"/>
              <w:rPr>
                <w:sz w:val="14"/>
              </w:rPr>
            </w:pPr>
            <w:r>
              <w:rPr>
                <w:sz w:val="14"/>
              </w:rPr>
              <w:t>No</w:t>
            </w:r>
          </w:p>
        </w:tc>
        <w:tc>
          <w:tcPr>
            <w:tcW w:w="4774" w:type="dxa"/>
            <w:tcBorders>
              <w:top w:val="single" w:sz="4" w:space="0" w:color="000000"/>
            </w:tcBorders>
          </w:tcPr>
          <w:p>
            <w:pPr>
              <w:pStyle w:val="TableParagraph"/>
              <w:spacing w:line="261" w:lineRule="auto" w:before="1"/>
              <w:ind w:right="7" w:hanging="1"/>
              <w:rPr>
                <w:sz w:val="14"/>
              </w:rPr>
            </w:pPr>
            <w:r>
              <w:rPr>
                <w:sz w:val="14"/>
              </w:rPr>
              <w:t>This exclusion modifies the ISO CG0001 by excluding “ski related operations” as defined in the form.</w:t>
            </w:r>
          </w:p>
        </w:tc>
      </w:tr>
      <w:tr>
        <w:trPr>
          <w:trHeight w:val="350" w:hRule="exact"/>
        </w:trPr>
        <w:tc>
          <w:tcPr>
            <w:tcW w:w="2052" w:type="dxa"/>
          </w:tcPr>
          <w:p>
            <w:pPr>
              <w:pStyle w:val="TableParagraph"/>
              <w:spacing w:line="261" w:lineRule="auto"/>
              <w:ind w:right="2"/>
              <w:rPr>
                <w:sz w:val="14"/>
              </w:rPr>
            </w:pPr>
            <w:r>
              <w:rPr>
                <w:sz w:val="14"/>
              </w:rPr>
              <w:t>Reinstatement of Ski –Related Operations Coverage</w:t>
            </w:r>
          </w:p>
        </w:tc>
        <w:tc>
          <w:tcPr>
            <w:tcW w:w="1339" w:type="dxa"/>
          </w:tcPr>
          <w:p>
            <w:pPr>
              <w:pStyle w:val="TableParagraph"/>
              <w:rPr>
                <w:sz w:val="14"/>
              </w:rPr>
            </w:pPr>
            <w:r>
              <w:rPr>
                <w:sz w:val="14"/>
              </w:rPr>
              <w:t>102182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O</w:t>
            </w:r>
          </w:p>
        </w:tc>
        <w:tc>
          <w:tcPr>
            <w:tcW w:w="1447" w:type="dxa"/>
          </w:tcPr>
          <w:p>
            <w:pPr>
              <w:pStyle w:val="TableParagraph"/>
              <w:ind w:left="18"/>
              <w:rPr>
                <w:sz w:val="14"/>
              </w:rPr>
            </w:pPr>
            <w:r>
              <w:rPr>
                <w:sz w:val="14"/>
              </w:rPr>
              <w:t>Broadens</w:t>
            </w:r>
          </w:p>
        </w:tc>
        <w:tc>
          <w:tcPr>
            <w:tcW w:w="1262" w:type="dxa"/>
          </w:tcPr>
          <w:p>
            <w:pPr>
              <w:pStyle w:val="TableParagraph"/>
              <w:ind w:left="18"/>
              <w:rPr>
                <w:sz w:val="14"/>
              </w:rPr>
            </w:pPr>
            <w:r>
              <w:rPr>
                <w:sz w:val="14"/>
              </w:rPr>
              <w:t>No</w:t>
            </w:r>
          </w:p>
        </w:tc>
        <w:tc>
          <w:tcPr>
            <w:tcW w:w="4774" w:type="dxa"/>
          </w:tcPr>
          <w:p>
            <w:pPr>
              <w:pStyle w:val="TableParagraph"/>
              <w:spacing w:line="261" w:lineRule="auto"/>
              <w:ind w:hanging="1"/>
              <w:rPr>
                <w:sz w:val="14"/>
              </w:rPr>
            </w:pPr>
            <w:r>
              <w:rPr>
                <w:sz w:val="14"/>
              </w:rPr>
              <w:t>This form reinstates coverage for "ski related operations" as of a specified date.</w:t>
            </w:r>
          </w:p>
        </w:tc>
      </w:tr>
      <w:tr>
        <w:trPr>
          <w:trHeight w:val="526" w:hRule="exact"/>
        </w:trPr>
        <w:tc>
          <w:tcPr>
            <w:tcW w:w="2052" w:type="dxa"/>
          </w:tcPr>
          <w:p>
            <w:pPr>
              <w:pStyle w:val="TableParagraph"/>
              <w:spacing w:line="261" w:lineRule="auto"/>
              <w:ind w:right="2"/>
              <w:rPr>
                <w:sz w:val="14"/>
              </w:rPr>
            </w:pPr>
            <w:r>
              <w:rPr>
                <w:sz w:val="14"/>
              </w:rPr>
              <w:t>Residential Construction Operations Exclusion</w:t>
            </w:r>
          </w:p>
        </w:tc>
        <w:tc>
          <w:tcPr>
            <w:tcW w:w="1339" w:type="dxa"/>
          </w:tcPr>
          <w:p>
            <w:pPr>
              <w:pStyle w:val="TableParagraph"/>
              <w:rPr>
                <w:sz w:val="14"/>
              </w:rPr>
            </w:pPr>
            <w:r>
              <w:rPr>
                <w:sz w:val="14"/>
              </w:rPr>
              <w:t>102183 (05-10)</w:t>
            </w:r>
          </w:p>
        </w:tc>
        <w:tc>
          <w:tcPr>
            <w:tcW w:w="1010" w:type="dxa"/>
          </w:tcPr>
          <w:p>
            <w:pPr>
              <w:pStyle w:val="TableParagraph"/>
              <w:rPr>
                <w:sz w:val="14"/>
              </w:rPr>
            </w:pPr>
            <w:r>
              <w:rPr>
                <w:w w:val="99"/>
                <w:sz w:val="14"/>
              </w:rPr>
              <w:t>E</w:t>
            </w:r>
          </w:p>
        </w:tc>
        <w:tc>
          <w:tcPr>
            <w:tcW w:w="998" w:type="dxa"/>
          </w:tcPr>
          <w:p>
            <w:pPr>
              <w:pStyle w:val="TableParagraph"/>
              <w:rPr>
                <w:sz w:val="14"/>
              </w:rPr>
            </w:pPr>
            <w:r>
              <w:rPr>
                <w:w w:val="99"/>
                <w:sz w:val="14"/>
              </w:rPr>
              <w:t>N</w:t>
            </w:r>
          </w:p>
        </w:tc>
        <w:tc>
          <w:tcPr>
            <w:tcW w:w="1164" w:type="dxa"/>
          </w:tcPr>
          <w:p>
            <w:pPr>
              <w:pStyle w:val="TableParagraph"/>
              <w:ind w:left="18"/>
              <w:rPr>
                <w:sz w:val="14"/>
              </w:rPr>
            </w:pPr>
            <w:r>
              <w:rPr>
                <w:w w:val="99"/>
                <w:sz w:val="14"/>
              </w:rPr>
              <w:t>O</w:t>
            </w:r>
          </w:p>
        </w:tc>
        <w:tc>
          <w:tcPr>
            <w:tcW w:w="1447" w:type="dxa"/>
          </w:tcPr>
          <w:p>
            <w:pPr>
              <w:pStyle w:val="TableParagraph"/>
              <w:ind w:left="18"/>
              <w:rPr>
                <w:sz w:val="14"/>
              </w:rPr>
            </w:pPr>
            <w:r>
              <w:rPr>
                <w:sz w:val="14"/>
              </w:rPr>
              <w:t>Restricts</w:t>
            </w:r>
          </w:p>
        </w:tc>
        <w:tc>
          <w:tcPr>
            <w:tcW w:w="1262" w:type="dxa"/>
          </w:tcPr>
          <w:p>
            <w:pPr>
              <w:pStyle w:val="TableParagraph"/>
              <w:ind w:left="18"/>
              <w:rPr>
                <w:sz w:val="14"/>
              </w:rPr>
            </w:pPr>
            <w:r>
              <w:rPr>
                <w:sz w:val="14"/>
              </w:rPr>
              <w:t>No</w:t>
            </w:r>
          </w:p>
        </w:tc>
        <w:tc>
          <w:tcPr>
            <w:tcW w:w="4774" w:type="dxa"/>
          </w:tcPr>
          <w:p>
            <w:pPr>
              <w:pStyle w:val="TableParagraph"/>
              <w:spacing w:line="261" w:lineRule="auto"/>
              <w:ind w:right="7" w:hanging="1"/>
              <w:rPr>
                <w:sz w:val="14"/>
              </w:rPr>
            </w:pPr>
            <w:r>
              <w:rPr>
                <w:sz w:val="14"/>
              </w:rPr>
              <w:t>This insurance modifies the ISO CG0001 by specifically excluding “residential construction operations” that might be undertaken by a ski area.</w:t>
            </w:r>
          </w:p>
        </w:tc>
      </w:tr>
    </w:tbl>
    <w:p>
      <w:pPr>
        <w:pStyle w:val="BodyText"/>
        <w:tabs>
          <w:tab w:pos="5533" w:val="left" w:leader="none"/>
        </w:tabs>
        <w:ind w:left="3524"/>
      </w:pPr>
      <w:r>
        <w:rPr/>
        <w:t>A</w:t>
      </w:r>
      <w:r>
        <w:rPr>
          <w:spacing w:val="-3"/>
        </w:rPr>
        <w:t> </w:t>
      </w:r>
      <w:r>
        <w:rPr/>
        <w:t>=</w:t>
      </w:r>
      <w:r>
        <w:rPr>
          <w:spacing w:val="-3"/>
        </w:rPr>
        <w:t> </w:t>
      </w:r>
      <w:r>
        <w:rPr/>
        <w:t>Application</w:t>
        <w:tab/>
        <w:t>* Mandatory</w:t>
      </w:r>
      <w:r>
        <w:rPr>
          <w:spacing w:val="-8"/>
        </w:rPr>
        <w:t> </w:t>
      </w:r>
      <w:r>
        <w:rPr/>
        <w:t>for</w:t>
      </w:r>
    </w:p>
    <w:p>
      <w:pPr>
        <w:pStyle w:val="BodyText"/>
        <w:tabs>
          <w:tab w:pos="5533" w:val="left" w:leader="none"/>
        </w:tabs>
        <w:spacing w:before="13"/>
        <w:ind w:left="3524"/>
      </w:pPr>
      <w:r>
        <w:rPr/>
        <w:t>D</w:t>
      </w:r>
      <w:r>
        <w:rPr>
          <w:spacing w:val="-3"/>
        </w:rPr>
        <w:t> </w:t>
      </w:r>
      <w:r>
        <w:rPr/>
        <w:t>=</w:t>
      </w:r>
      <w:r>
        <w:rPr>
          <w:spacing w:val="-3"/>
        </w:rPr>
        <w:t> </w:t>
      </w:r>
      <w:r>
        <w:rPr/>
        <w:t>Declarations</w:t>
        <w:tab/>
        <w:t>stand</w:t>
      </w:r>
      <w:r>
        <w:rPr>
          <w:spacing w:val="-6"/>
        </w:rPr>
        <w:t> </w:t>
      </w:r>
      <w:r>
        <w:rPr/>
        <w:t>alone</w:t>
      </w:r>
    </w:p>
    <w:p>
      <w:pPr>
        <w:pStyle w:val="BodyText"/>
        <w:tabs>
          <w:tab w:pos="5533" w:val="left" w:leader="none"/>
        </w:tabs>
        <w:spacing w:line="261" w:lineRule="auto" w:before="13"/>
        <w:ind w:left="3524" w:right="8083"/>
      </w:pPr>
      <w:r>
        <w:rPr/>
        <w:t>E</w:t>
      </w:r>
      <w:r>
        <w:rPr>
          <w:spacing w:val="-3"/>
        </w:rPr>
        <w:t> </w:t>
      </w:r>
      <w:r>
        <w:rPr/>
        <w:t>=</w:t>
      </w:r>
      <w:r>
        <w:rPr>
          <w:spacing w:val="-3"/>
        </w:rPr>
        <w:t> </w:t>
      </w:r>
      <w:r>
        <w:rPr/>
        <w:t>Endorsement</w:t>
        <w:tab/>
        <w:t>ski</w:t>
      </w:r>
      <w:r>
        <w:rPr>
          <w:spacing w:val="-5"/>
        </w:rPr>
        <w:t> </w:t>
      </w:r>
      <w:r>
        <w:rPr/>
        <w:t>schools</w:t>
      </w:r>
      <w:r>
        <w:rPr>
          <w:w w:val="99"/>
        </w:rPr>
        <w:t> </w:t>
      </w:r>
      <w:r>
        <w:rPr/>
        <w:t>P =</w:t>
      </w:r>
      <w:r>
        <w:rPr>
          <w:spacing w:val="-6"/>
        </w:rPr>
        <w:t> </w:t>
      </w:r>
      <w:r>
        <w:rPr/>
        <w:t>Policy</w:t>
      </w:r>
    </w:p>
    <w:p>
      <w:pPr>
        <w:pStyle w:val="BodyText"/>
        <w:ind w:left="3524"/>
      </w:pPr>
      <w:r>
        <w:rPr/>
        <w:t>O = Other (Please explain)</w:t>
      </w:r>
    </w:p>
    <w:sectPr>
      <w:pgSz w:w="15840" w:h="12240" w:orient="landscape"/>
      <w:pgMar w:header="693" w:footer="701" w:top="880" w:bottom="900" w:left="14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85.119995pt;margin-top:565.93927pt;width:20.45pt;height:9.8pt;mso-position-horizontal-relative:page;mso-position-vertical-relative:page;z-index:-9664" type="#_x0000_t202" filled="false" stroked="false">
          <v:textbox inset="0,0,0,0">
            <w:txbxContent>
              <w:p>
                <w:pPr>
                  <w:pStyle w:val="BodyText"/>
                  <w:spacing w:before="14"/>
                  <w:ind w:left="40"/>
                </w:pPr>
                <w:r>
                  <w:rPr/>
                  <w:fldChar w:fldCharType="begin"/>
                </w:r>
                <w:r>
                  <w:rPr/>
                  <w:instrText> PAGE </w:instrText>
                </w:r>
                <w:r>
                  <w:rPr/>
                  <w:fldChar w:fldCharType="separate"/>
                </w:r>
                <w:r>
                  <w:rPr/>
                  <w:t>1</w:t>
                </w:r>
                <w:r>
                  <w:rPr/>
                  <w:fldChar w:fldCharType="end"/>
                </w:r>
                <w:r>
                  <w:rPr/>
                  <w:t> of 2</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375.679993pt;margin-top:35.899296pt;width:40.3pt;height:9.8pt;mso-position-horizontal-relative:page;mso-position-vertical-relative:page;z-index:-9688" type="#_x0000_t202" filled="false" stroked="false">
          <v:textbox inset="0,0,0,0">
            <w:txbxContent>
              <w:p>
                <w:pPr>
                  <w:pStyle w:val="BodyText"/>
                  <w:spacing w:before="14"/>
                  <w:ind w:left="20"/>
                </w:pPr>
                <w:r>
                  <w:rPr/>
                  <w:t>Form Listing</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514" w:hanging="262"/>
      </w:pPr>
      <w:rPr>
        <w:rFonts w:hint="default" w:ascii="Symbol" w:hAnsi="Symbol" w:eastAsia="Symbol" w:cs="Symbol"/>
        <w:w w:val="112"/>
        <w:sz w:val="13"/>
        <w:szCs w:val="13"/>
      </w:rPr>
    </w:lvl>
    <w:lvl w:ilvl="1">
      <w:start w:val="0"/>
      <w:numFmt w:val="bullet"/>
      <w:lvlText w:val="•"/>
      <w:lvlJc w:val="left"/>
      <w:pPr>
        <w:ind w:left="943" w:hanging="262"/>
      </w:pPr>
      <w:rPr>
        <w:rFonts w:hint="default"/>
      </w:rPr>
    </w:lvl>
    <w:lvl w:ilvl="2">
      <w:start w:val="0"/>
      <w:numFmt w:val="bullet"/>
      <w:lvlText w:val="•"/>
      <w:lvlJc w:val="left"/>
      <w:pPr>
        <w:ind w:left="1367" w:hanging="262"/>
      </w:pPr>
      <w:rPr>
        <w:rFonts w:hint="default"/>
      </w:rPr>
    </w:lvl>
    <w:lvl w:ilvl="3">
      <w:start w:val="0"/>
      <w:numFmt w:val="bullet"/>
      <w:lvlText w:val="•"/>
      <w:lvlJc w:val="left"/>
      <w:pPr>
        <w:ind w:left="1790" w:hanging="262"/>
      </w:pPr>
      <w:rPr>
        <w:rFonts w:hint="default"/>
      </w:rPr>
    </w:lvl>
    <w:lvl w:ilvl="4">
      <w:start w:val="0"/>
      <w:numFmt w:val="bullet"/>
      <w:lvlText w:val="•"/>
      <w:lvlJc w:val="left"/>
      <w:pPr>
        <w:ind w:left="2214" w:hanging="262"/>
      </w:pPr>
      <w:rPr>
        <w:rFonts w:hint="default"/>
      </w:rPr>
    </w:lvl>
    <w:lvl w:ilvl="5">
      <w:start w:val="0"/>
      <w:numFmt w:val="bullet"/>
      <w:lvlText w:val="•"/>
      <w:lvlJc w:val="left"/>
      <w:pPr>
        <w:ind w:left="2638" w:hanging="262"/>
      </w:pPr>
      <w:rPr>
        <w:rFonts w:hint="default"/>
      </w:rPr>
    </w:lvl>
    <w:lvl w:ilvl="6">
      <w:start w:val="0"/>
      <w:numFmt w:val="bullet"/>
      <w:lvlText w:val="•"/>
      <w:lvlJc w:val="left"/>
      <w:pPr>
        <w:ind w:left="3061" w:hanging="262"/>
      </w:pPr>
      <w:rPr>
        <w:rFonts w:hint="default"/>
      </w:rPr>
    </w:lvl>
    <w:lvl w:ilvl="7">
      <w:start w:val="0"/>
      <w:numFmt w:val="bullet"/>
      <w:lvlText w:val="•"/>
      <w:lvlJc w:val="left"/>
      <w:pPr>
        <w:ind w:left="3485" w:hanging="262"/>
      </w:pPr>
      <w:rPr>
        <w:rFonts w:hint="default"/>
      </w:rPr>
    </w:lvl>
    <w:lvl w:ilvl="8">
      <w:start w:val="0"/>
      <w:numFmt w:val="bullet"/>
      <w:lvlText w:val="•"/>
      <w:lvlJc w:val="left"/>
      <w:pPr>
        <w:ind w:left="3908" w:hanging="262"/>
      </w:pPr>
      <w:rPr>
        <w:rFonts w:hint="default"/>
      </w:rPr>
    </w:lvl>
  </w:abstractNum>
  <w:abstractNum w:abstractNumId="1">
    <w:multiLevelType w:val="hybridMultilevel"/>
    <w:lvl w:ilvl="0">
      <w:start w:val="0"/>
      <w:numFmt w:val="bullet"/>
      <w:lvlText w:val=""/>
      <w:lvlJc w:val="left"/>
      <w:pPr>
        <w:ind w:left="514" w:hanging="262"/>
      </w:pPr>
      <w:rPr>
        <w:rFonts w:hint="default" w:ascii="Symbol" w:hAnsi="Symbol" w:eastAsia="Symbol" w:cs="Symbol"/>
        <w:w w:val="112"/>
        <w:sz w:val="13"/>
        <w:szCs w:val="13"/>
      </w:rPr>
    </w:lvl>
    <w:lvl w:ilvl="1">
      <w:start w:val="0"/>
      <w:numFmt w:val="bullet"/>
      <w:lvlText w:val="•"/>
      <w:lvlJc w:val="left"/>
      <w:pPr>
        <w:ind w:left="944" w:hanging="262"/>
      </w:pPr>
      <w:rPr>
        <w:rFonts w:hint="default"/>
      </w:rPr>
    </w:lvl>
    <w:lvl w:ilvl="2">
      <w:start w:val="0"/>
      <w:numFmt w:val="bullet"/>
      <w:lvlText w:val="•"/>
      <w:lvlJc w:val="left"/>
      <w:pPr>
        <w:ind w:left="1368" w:hanging="262"/>
      </w:pPr>
      <w:rPr>
        <w:rFonts w:hint="default"/>
      </w:rPr>
    </w:lvl>
    <w:lvl w:ilvl="3">
      <w:start w:val="0"/>
      <w:numFmt w:val="bullet"/>
      <w:lvlText w:val="•"/>
      <w:lvlJc w:val="left"/>
      <w:pPr>
        <w:ind w:left="1792" w:hanging="262"/>
      </w:pPr>
      <w:rPr>
        <w:rFonts w:hint="default"/>
      </w:rPr>
    </w:lvl>
    <w:lvl w:ilvl="4">
      <w:start w:val="0"/>
      <w:numFmt w:val="bullet"/>
      <w:lvlText w:val="•"/>
      <w:lvlJc w:val="left"/>
      <w:pPr>
        <w:ind w:left="2217" w:hanging="262"/>
      </w:pPr>
      <w:rPr>
        <w:rFonts w:hint="default"/>
      </w:rPr>
    </w:lvl>
    <w:lvl w:ilvl="5">
      <w:start w:val="0"/>
      <w:numFmt w:val="bullet"/>
      <w:lvlText w:val="•"/>
      <w:lvlJc w:val="left"/>
      <w:pPr>
        <w:ind w:left="2641" w:hanging="262"/>
      </w:pPr>
      <w:rPr>
        <w:rFonts w:hint="default"/>
      </w:rPr>
    </w:lvl>
    <w:lvl w:ilvl="6">
      <w:start w:val="0"/>
      <w:numFmt w:val="bullet"/>
      <w:lvlText w:val="•"/>
      <w:lvlJc w:val="left"/>
      <w:pPr>
        <w:ind w:left="3065" w:hanging="262"/>
      </w:pPr>
      <w:rPr>
        <w:rFonts w:hint="default"/>
      </w:rPr>
    </w:lvl>
    <w:lvl w:ilvl="7">
      <w:start w:val="0"/>
      <w:numFmt w:val="bullet"/>
      <w:lvlText w:val="•"/>
      <w:lvlJc w:val="left"/>
      <w:pPr>
        <w:ind w:left="3490" w:hanging="262"/>
      </w:pPr>
      <w:rPr>
        <w:rFonts w:hint="default"/>
      </w:rPr>
    </w:lvl>
    <w:lvl w:ilvl="8">
      <w:start w:val="0"/>
      <w:numFmt w:val="bullet"/>
      <w:lvlText w:val="•"/>
      <w:lvlJc w:val="left"/>
      <w:pPr>
        <w:ind w:left="3914" w:hanging="262"/>
      </w:pPr>
      <w:rPr>
        <w:rFonts w:hint="default"/>
      </w:rPr>
    </w:lvl>
  </w:abstractNum>
  <w:abstractNum w:abstractNumId="0">
    <w:multiLevelType w:val="hybridMultilevel"/>
    <w:lvl w:ilvl="0">
      <w:start w:val="0"/>
      <w:numFmt w:val="bullet"/>
      <w:lvlText w:val=""/>
      <w:lvlJc w:val="left"/>
      <w:pPr>
        <w:ind w:left="514" w:hanging="262"/>
      </w:pPr>
      <w:rPr>
        <w:rFonts w:hint="default" w:ascii="Symbol" w:hAnsi="Symbol" w:eastAsia="Symbol" w:cs="Symbol"/>
        <w:w w:val="112"/>
        <w:sz w:val="13"/>
        <w:szCs w:val="13"/>
      </w:rPr>
    </w:lvl>
    <w:lvl w:ilvl="1">
      <w:start w:val="0"/>
      <w:numFmt w:val="bullet"/>
      <w:lvlText w:val="•"/>
      <w:lvlJc w:val="left"/>
      <w:pPr>
        <w:ind w:left="943" w:hanging="262"/>
      </w:pPr>
      <w:rPr>
        <w:rFonts w:hint="default"/>
      </w:rPr>
    </w:lvl>
    <w:lvl w:ilvl="2">
      <w:start w:val="0"/>
      <w:numFmt w:val="bullet"/>
      <w:lvlText w:val="•"/>
      <w:lvlJc w:val="left"/>
      <w:pPr>
        <w:ind w:left="1367" w:hanging="262"/>
      </w:pPr>
      <w:rPr>
        <w:rFonts w:hint="default"/>
      </w:rPr>
    </w:lvl>
    <w:lvl w:ilvl="3">
      <w:start w:val="0"/>
      <w:numFmt w:val="bullet"/>
      <w:lvlText w:val="•"/>
      <w:lvlJc w:val="left"/>
      <w:pPr>
        <w:ind w:left="1790" w:hanging="262"/>
      </w:pPr>
      <w:rPr>
        <w:rFonts w:hint="default"/>
      </w:rPr>
    </w:lvl>
    <w:lvl w:ilvl="4">
      <w:start w:val="0"/>
      <w:numFmt w:val="bullet"/>
      <w:lvlText w:val="•"/>
      <w:lvlJc w:val="left"/>
      <w:pPr>
        <w:ind w:left="2214" w:hanging="262"/>
      </w:pPr>
      <w:rPr>
        <w:rFonts w:hint="default"/>
      </w:rPr>
    </w:lvl>
    <w:lvl w:ilvl="5">
      <w:start w:val="0"/>
      <w:numFmt w:val="bullet"/>
      <w:lvlText w:val="•"/>
      <w:lvlJc w:val="left"/>
      <w:pPr>
        <w:ind w:left="2638" w:hanging="262"/>
      </w:pPr>
      <w:rPr>
        <w:rFonts w:hint="default"/>
      </w:rPr>
    </w:lvl>
    <w:lvl w:ilvl="6">
      <w:start w:val="0"/>
      <w:numFmt w:val="bullet"/>
      <w:lvlText w:val="•"/>
      <w:lvlJc w:val="left"/>
      <w:pPr>
        <w:ind w:left="3061" w:hanging="262"/>
      </w:pPr>
      <w:rPr>
        <w:rFonts w:hint="default"/>
      </w:rPr>
    </w:lvl>
    <w:lvl w:ilvl="7">
      <w:start w:val="0"/>
      <w:numFmt w:val="bullet"/>
      <w:lvlText w:val="•"/>
      <w:lvlJc w:val="left"/>
      <w:pPr>
        <w:ind w:left="3485" w:hanging="262"/>
      </w:pPr>
      <w:rPr>
        <w:rFonts w:hint="default"/>
      </w:rPr>
    </w:lvl>
    <w:lvl w:ilvl="8">
      <w:start w:val="0"/>
      <w:numFmt w:val="bullet"/>
      <w:lvlText w:val="•"/>
      <w:lvlJc w:val="left"/>
      <w:pPr>
        <w:ind w:left="3908" w:hanging="262"/>
      </w:pPr>
      <w:rPr>
        <w:rFonts w:hint="default"/>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14"/>
      <w:szCs w:val="14"/>
    </w:rPr>
  </w:style>
  <w:style w:styleId="ListParagraph" w:type="paragraph">
    <w:name w:val="List Paragraph"/>
    <w:basedOn w:val="Normal"/>
    <w:uiPriority w:val="1"/>
    <w:qFormat/>
    <w:pPr/>
    <w:rPr/>
  </w:style>
  <w:style w:styleId="TableParagraph" w:type="paragraph">
    <w:name w:val="Table Paragraph"/>
    <w:basedOn w:val="Normal"/>
    <w:uiPriority w:val="1"/>
    <w:qFormat/>
    <w:pPr>
      <w:ind w:left="19"/>
    </w:pPr>
    <w:rPr>
      <w:rFonts w:ascii="Arial" w:hAnsi="Arial" w:eastAsia="Arial" w:cs="Arial"/>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awinnick</dc:creator>
  <dc:title>Ski Program Filing Form Listingrev 06-01 -10.xls</dc:title>
  <dcterms:created xsi:type="dcterms:W3CDTF">2017-10-04T10:22:23Z</dcterms:created>
  <dcterms:modified xsi:type="dcterms:W3CDTF">2017-10-04T10:22:23Z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2010-06-07T00:00:00Z</vt:filetime>
  </property>
  <property fmtid="{D5CDD505-2E9C-101B-9397-08002B2CF9AE}" pid="3" name="Creator">
    <vt:lpwstr>PScript5.dll Version 5.2.2</vt:lpwstr>
  </property>
  <property fmtid="{D5CDD505-2E9C-101B-9397-08002B2CF9AE}" pid="4" name="LastSaved">
    <vt:filetime>2017-10-04T00:00:00Z</vt:filetime>
  </property>
</Properties>
</file>