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4" w:lineRule="auto" w:before="177"/>
        <w:ind w:left="4101" w:right="4100"/>
        <w:jc w:val="center"/>
      </w:pPr>
      <w:r>
        <w:rPr/>
        <w:t>SKI PROGRAM RATE PAGE</w:t>
      </w:r>
    </w:p>
    <w:p>
      <w:pPr>
        <w:pStyle w:val="BodyText"/>
        <w:rPr>
          <w:b/>
        </w:rPr>
      </w:pPr>
    </w:p>
    <w:p>
      <w:pPr>
        <w:pStyle w:val="BodyText"/>
        <w:spacing w:before="10"/>
        <w:rPr>
          <w:b/>
          <w:sz w:val="16"/>
        </w:rPr>
      </w:pPr>
      <w:r>
        <w:rPr/>
        <w:pict>
          <v:line style="position:absolute;mso-position-horizontal-relative:page;mso-position-vertical-relative:paragraph;z-index:0;mso-wrap-distance-left:0;mso-wrap-distance-right:0" from="70.5pt,12.067204pt" to="541.5pt,12.067204pt" stroked="true" strokeweight=".71997pt" strokecolor="#000000">
            <v:stroke dashstyle="solid"/>
            <w10:wrap type="topAndBottom"/>
          </v:line>
        </w:pict>
      </w:r>
    </w:p>
    <w:p>
      <w:pPr>
        <w:spacing w:before="0" w:after="22"/>
        <w:ind w:left="190" w:right="0" w:firstLine="0"/>
        <w:jc w:val="left"/>
        <w:rPr>
          <w:b/>
          <w:sz w:val="18"/>
        </w:rPr>
      </w:pPr>
      <w:r>
        <w:rPr>
          <w:b/>
          <w:sz w:val="18"/>
        </w:rPr>
        <w:t>GENERAL LIABILITY RATE Explanation (ISO Class Code 48252 – Resorts, Ski Lifts, Tows or Runs)</w:t>
      </w:r>
    </w:p>
    <w:p>
      <w:pPr>
        <w:pStyle w:val="BodyText"/>
        <w:spacing w:line="20" w:lineRule="exact"/>
        <w:ind w:left="102"/>
        <w:rPr>
          <w:sz w:val="2"/>
        </w:rPr>
      </w:pPr>
      <w:r>
        <w:rPr>
          <w:sz w:val="2"/>
        </w:rPr>
        <w:pict>
          <v:group style="width:471.75pt;height:.75pt;mso-position-horizontal-relative:char;mso-position-vertical-relative:line" coordorigin="0,0" coordsize="9435,15">
            <v:line style="position:absolute" from="8,8" to="9428,8" stroked="true" strokeweight=".72003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b/>
          <w:sz w:val="12"/>
        </w:rPr>
      </w:pPr>
    </w:p>
    <w:p>
      <w:pPr>
        <w:pStyle w:val="Heading1"/>
        <w:spacing w:before="94"/>
        <w:ind w:left="140"/>
      </w:pPr>
      <w:r>
        <w:rPr/>
        <w:t>RATES</w:t>
      </w:r>
    </w:p>
    <w:p>
      <w:pPr>
        <w:pStyle w:val="BodyText"/>
        <w:spacing w:before="1"/>
        <w:rPr>
          <w:b/>
          <w:sz w:val="12"/>
        </w:rPr>
      </w:pPr>
    </w:p>
    <w:p>
      <w:pPr>
        <w:pStyle w:val="ListParagraph"/>
        <w:numPr>
          <w:ilvl w:val="0"/>
          <w:numId w:val="1"/>
        </w:numPr>
        <w:tabs>
          <w:tab w:pos="1160" w:val="left" w:leader="none"/>
        </w:tabs>
        <w:spacing w:line="240" w:lineRule="auto" w:before="94" w:after="0"/>
        <w:ind w:left="860" w:right="271" w:firstLine="0"/>
        <w:jc w:val="left"/>
        <w:rPr>
          <w:sz w:val="20"/>
        </w:rPr>
      </w:pPr>
      <w:r>
        <w:rPr>
          <w:sz w:val="20"/>
        </w:rPr>
        <w:t>The following operations will use ISO class code 48252 – Resort, Ski Lifts Tows or Runs and will be subject to “A’ rates.  Exposure Base per $1,000 of gross</w:t>
      </w:r>
      <w:r>
        <w:rPr>
          <w:spacing w:val="-3"/>
          <w:sz w:val="20"/>
        </w:rPr>
        <w:t> </w:t>
      </w:r>
      <w:r>
        <w:rPr>
          <w:sz w:val="20"/>
        </w:rPr>
        <w:t>sales</w:t>
      </w:r>
    </w:p>
    <w:p>
      <w:pPr>
        <w:pStyle w:val="BodyText"/>
      </w:pPr>
    </w:p>
    <w:p>
      <w:pPr>
        <w:pStyle w:val="BodyText"/>
        <w:ind w:left="1191" w:right="7244" w:firstLine="28"/>
      </w:pPr>
      <w:r>
        <w:rPr/>
        <w:t>Alpine Slides Grass Skiing</w:t>
      </w:r>
    </w:p>
    <w:p>
      <w:pPr>
        <w:pStyle w:val="BodyText"/>
        <w:ind w:left="1191" w:right="6261"/>
      </w:pPr>
      <w:r>
        <w:rPr/>
        <w:t>Cross Country Ski areas Hay/Sleigh Rides Helicopter Skiing</w:t>
      </w:r>
    </w:p>
    <w:p>
      <w:pPr>
        <w:pStyle w:val="BodyText"/>
        <w:ind w:left="1191"/>
      </w:pPr>
      <w:r>
        <w:rPr/>
        <w:t>Ice Skating</w:t>
      </w:r>
    </w:p>
    <w:p>
      <w:pPr>
        <w:pStyle w:val="BodyText"/>
        <w:ind w:left="1191" w:right="6317"/>
      </w:pPr>
      <w:r>
        <w:rPr/>
        <w:t>Mountain Bike Activities Paintball</w:t>
      </w:r>
    </w:p>
    <w:p>
      <w:pPr>
        <w:pStyle w:val="BodyText"/>
        <w:ind w:left="1191" w:right="5806"/>
      </w:pPr>
      <w:r>
        <w:rPr/>
        <w:t>Rock Climbing/Climbing walls Saddle Animals</w:t>
      </w:r>
    </w:p>
    <w:p>
      <w:pPr>
        <w:pStyle w:val="BodyText"/>
        <w:ind w:left="1191" w:right="6695" w:firstLine="28"/>
      </w:pPr>
      <w:r>
        <w:rPr/>
        <w:t>Skateboard Parks Snowcat Skiing Snowmobiling Skicross/Motocross Ski Schools</w:t>
      </w:r>
    </w:p>
    <w:p>
      <w:pPr>
        <w:pStyle w:val="BodyText"/>
        <w:ind w:left="1220" w:right="6788" w:hanging="29"/>
      </w:pPr>
      <w:r>
        <w:rPr/>
        <w:t>Rental Shops Skiing/Ski Touring Tubing</w:t>
      </w:r>
    </w:p>
    <w:p>
      <w:pPr>
        <w:pStyle w:val="BodyText"/>
        <w:ind w:left="1220" w:right="6443"/>
      </w:pPr>
      <w:r>
        <w:rPr/>
        <w:t>Tethered Trampolines Terrain Parks</w:t>
      </w:r>
    </w:p>
    <w:p>
      <w:pPr>
        <w:pStyle w:val="BodyText"/>
        <w:ind w:left="1220" w:right="7299"/>
      </w:pPr>
      <w:r>
        <w:rPr/>
        <w:t>Water Parks Zip Lines</w:t>
      </w:r>
    </w:p>
    <w:p>
      <w:pPr>
        <w:pStyle w:val="BodyText"/>
        <w:spacing w:before="5"/>
      </w:pPr>
    </w:p>
    <w:p>
      <w:pPr>
        <w:pStyle w:val="BodyText"/>
        <w:ind w:left="859"/>
      </w:pPr>
      <w:r>
        <w:rPr>
          <w:b/>
        </w:rPr>
        <w:t>Note</w:t>
      </w:r>
      <w:r>
        <w:rPr/>
        <w:t>: Experience and Schedule Rating Apply per filed ISO Rules</w:t>
      </w:r>
    </w:p>
    <w:p>
      <w:pPr>
        <w:pStyle w:val="BodyText"/>
        <w:spacing w:before="5"/>
      </w:pPr>
    </w:p>
    <w:p>
      <w:pPr>
        <w:pStyle w:val="Heading1"/>
        <w:spacing w:before="0"/>
        <w:ind w:left="859"/>
      </w:pPr>
      <w:r>
        <w:rPr/>
        <w:t>DEDUCTIBLE CREDITS</w:t>
      </w:r>
    </w:p>
    <w:p>
      <w:pPr>
        <w:pStyle w:val="BodyText"/>
        <w:spacing w:before="5"/>
        <w:rPr>
          <w:b/>
        </w:rPr>
      </w:pPr>
    </w:p>
    <w:tbl>
      <w:tblPr>
        <w:tblW w:w="0" w:type="auto"/>
        <w:jc w:val="left"/>
        <w:tblInd w:w="80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68"/>
        <w:gridCol w:w="1034"/>
      </w:tblGrid>
      <w:tr>
        <w:trPr>
          <w:trHeight w:val="227" w:hRule="exact"/>
        </w:trPr>
        <w:tc>
          <w:tcPr>
            <w:tcW w:w="1368" w:type="dxa"/>
          </w:tcPr>
          <w:p>
            <w:pPr>
              <w:pStyle w:val="TableParagraph"/>
              <w:spacing w:line="224" w:lineRule="exact"/>
              <w:ind w:left="215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  <w:tc>
          <w:tcPr>
            <w:tcW w:w="1034" w:type="dxa"/>
          </w:tcPr>
          <w:p>
            <w:pPr>
              <w:pStyle w:val="TableParagraph"/>
              <w:spacing w:line="224" w:lineRule="exact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1.250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$1,000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1.150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$2,500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0.000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$5,000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0.950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$7,500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0.900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$10,000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0.820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$15,000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0.776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$25,000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0.771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$50,000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0.627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$75,000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0.560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$100,000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0.509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$250,000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0.343</w:t>
            </w:r>
          </w:p>
        </w:tc>
      </w:tr>
      <w:tr>
        <w:trPr>
          <w:trHeight w:val="230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$500,000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0.150</w:t>
            </w:r>
          </w:p>
        </w:tc>
      </w:tr>
      <w:tr>
        <w:trPr>
          <w:trHeight w:val="227" w:hRule="exact"/>
        </w:trPr>
        <w:tc>
          <w:tcPr>
            <w:tcW w:w="136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$750,000</w:t>
            </w:r>
          </w:p>
        </w:tc>
        <w:tc>
          <w:tcPr>
            <w:tcW w:w="1034" w:type="dxa"/>
          </w:tcPr>
          <w:p>
            <w:pPr>
              <w:pStyle w:val="TableParagraph"/>
              <w:ind w:left="0" w:right="48"/>
              <w:jc w:val="right"/>
              <w:rPr>
                <w:sz w:val="20"/>
              </w:rPr>
            </w:pPr>
            <w:r>
              <w:rPr>
                <w:sz w:val="20"/>
              </w:rPr>
              <w:t>0.100</w:t>
            </w:r>
          </w:p>
        </w:tc>
      </w:tr>
    </w:tbl>
    <w:p>
      <w:pPr>
        <w:pStyle w:val="BodyText"/>
        <w:spacing w:before="5"/>
        <w:rPr>
          <w:b/>
        </w:rPr>
      </w:pPr>
    </w:p>
    <w:p>
      <w:pPr>
        <w:pStyle w:val="BodyText"/>
        <w:ind w:left="859"/>
      </w:pPr>
      <w:r>
        <w:rPr>
          <w:b/>
        </w:rPr>
        <w:t>Note</w:t>
      </w:r>
      <w:r>
        <w:rPr/>
        <w:t>: There is a deductible aggregate which is five times the deductible</w:t>
      </w:r>
    </w:p>
    <w:p>
      <w:pPr>
        <w:spacing w:after="0"/>
        <w:sectPr>
          <w:footerReference w:type="default" r:id="rId5"/>
          <w:type w:val="continuous"/>
          <w:pgSz w:w="12240" w:h="15840"/>
          <w:pgMar w:footer="1377" w:top="1500" w:bottom="1560" w:left="1300" w:right="1300"/>
          <w:pgNumType w:start="1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1140" w:val="left" w:leader="none"/>
        </w:tabs>
        <w:spacing w:line="240" w:lineRule="auto" w:before="94" w:after="0"/>
        <w:ind w:left="840" w:right="107" w:firstLine="0"/>
        <w:jc w:val="left"/>
        <w:rPr>
          <w:sz w:val="20"/>
        </w:rPr>
      </w:pPr>
      <w:r>
        <w:rPr>
          <w:sz w:val="20"/>
        </w:rPr>
        <w:t>All other operations related to a ski resort will be rated according to ISO filed rates. These operations include but are not limited</w:t>
      </w:r>
      <w:r>
        <w:rPr>
          <w:spacing w:val="-30"/>
          <w:sz w:val="20"/>
        </w:rPr>
        <w:t> </w:t>
      </w:r>
      <w:r>
        <w:rPr>
          <w:sz w:val="20"/>
        </w:rPr>
        <w:t>to:</w:t>
      </w:r>
    </w:p>
    <w:p>
      <w:pPr>
        <w:pStyle w:val="BodyText"/>
      </w:pPr>
    </w:p>
    <w:p>
      <w:pPr>
        <w:pStyle w:val="BodyText"/>
        <w:tabs>
          <w:tab w:pos="5229" w:val="left" w:leader="none"/>
        </w:tabs>
        <w:ind w:left="1171"/>
      </w:pPr>
      <w:r>
        <w:rPr/>
        <w:t>Camps</w:t>
        <w:tab/>
        <w:t>Pools</w:t>
      </w:r>
    </w:p>
    <w:p>
      <w:pPr>
        <w:pStyle w:val="BodyText"/>
        <w:tabs>
          <w:tab w:pos="5248" w:val="left" w:leader="none"/>
        </w:tabs>
        <w:ind w:left="1171"/>
      </w:pPr>
      <w:r>
        <w:rPr/>
        <w:t>Campgrounds</w:t>
        <w:tab/>
        <w:t>Property</w:t>
      </w:r>
      <w:r>
        <w:rPr>
          <w:spacing w:val="-15"/>
        </w:rPr>
        <w:t> </w:t>
      </w:r>
      <w:r>
        <w:rPr/>
        <w:t>Management</w:t>
      </w:r>
    </w:p>
    <w:p>
      <w:pPr>
        <w:pStyle w:val="BodyText"/>
        <w:tabs>
          <w:tab w:pos="5230" w:val="left" w:leader="none"/>
        </w:tabs>
        <w:ind w:left="1169"/>
      </w:pPr>
      <w:r>
        <w:rPr/>
        <w:t>Concerts</w:t>
        <w:tab/>
        <w:t>Property</w:t>
      </w:r>
      <w:r>
        <w:rPr>
          <w:spacing w:val="-15"/>
        </w:rPr>
        <w:t> </w:t>
      </w:r>
      <w:r>
        <w:rPr/>
        <w:t>Management</w:t>
      </w:r>
    </w:p>
    <w:p>
      <w:pPr>
        <w:pStyle w:val="BodyText"/>
        <w:tabs>
          <w:tab w:pos="5217" w:val="left" w:leader="none"/>
        </w:tabs>
        <w:ind w:left="1169" w:right="2566"/>
      </w:pPr>
      <w:r>
        <w:rPr/>
        <w:t>Condominiums/Condo</w:t>
      </w:r>
      <w:r>
        <w:rPr>
          <w:spacing w:val="-6"/>
        </w:rPr>
        <w:t> </w:t>
      </w:r>
      <w:r>
        <w:rPr/>
        <w:t>Associations</w:t>
        <w:tab/>
        <w:t>Security</w:t>
      </w:r>
      <w:r>
        <w:rPr>
          <w:spacing w:val="-12"/>
        </w:rPr>
        <w:t> </w:t>
      </w:r>
      <w:r>
        <w:rPr/>
        <w:t>Guards</w:t>
      </w:r>
      <w:r>
        <w:rPr>
          <w:spacing w:val="-1"/>
          <w:w w:val="100"/>
        </w:rPr>
        <w:t> </w:t>
      </w:r>
      <w:r>
        <w:rPr/>
        <w:t>Golf</w:t>
        <w:tab/>
        <w:t>Ski</w:t>
      </w:r>
      <w:r>
        <w:rPr>
          <w:spacing w:val="-10"/>
        </w:rPr>
        <w:t> </w:t>
      </w:r>
      <w:r>
        <w:rPr/>
        <w:t>Academies</w:t>
      </w:r>
    </w:p>
    <w:p>
      <w:pPr>
        <w:pStyle w:val="BodyText"/>
        <w:tabs>
          <w:tab w:pos="5243" w:val="left" w:leader="none"/>
        </w:tabs>
        <w:ind w:left="1169"/>
      </w:pPr>
      <w:r>
        <w:rPr/>
        <w:t>Health</w:t>
      </w:r>
      <w:r>
        <w:rPr>
          <w:spacing w:val="-4"/>
        </w:rPr>
        <w:t> </w:t>
      </w:r>
      <w:r>
        <w:rPr/>
        <w:t>Clubs</w:t>
        <w:tab/>
        <w:t>Ski Shops -</w:t>
      </w:r>
      <w:r>
        <w:rPr>
          <w:spacing w:val="-13"/>
        </w:rPr>
        <w:t> </w:t>
      </w:r>
      <w:r>
        <w:rPr/>
        <w:t>Retail</w:t>
      </w:r>
    </w:p>
    <w:p>
      <w:pPr>
        <w:pStyle w:val="BodyText"/>
        <w:tabs>
          <w:tab w:pos="5270" w:val="left" w:leader="none"/>
        </w:tabs>
        <w:ind w:left="1169"/>
      </w:pPr>
      <w:r>
        <w:rPr/>
        <w:t>Hotels</w:t>
        <w:tab/>
        <w:t>Restaurants</w:t>
      </w:r>
    </w:p>
    <w:p>
      <w:pPr>
        <w:pStyle w:val="BodyText"/>
        <w:tabs>
          <w:tab w:pos="5292" w:val="left" w:leader="none"/>
        </w:tabs>
        <w:ind w:left="1169"/>
      </w:pPr>
      <w:r>
        <w:rPr/>
        <w:t>Homeowners</w:t>
      </w:r>
      <w:r>
        <w:rPr>
          <w:spacing w:val="-7"/>
        </w:rPr>
        <w:t> </w:t>
      </w:r>
      <w:r>
        <w:rPr/>
        <w:t>Associations</w:t>
        <w:tab/>
        <w:t>Utilities</w:t>
      </w:r>
    </w:p>
    <w:p>
      <w:pPr>
        <w:pStyle w:val="BodyText"/>
        <w:tabs>
          <w:tab w:pos="5258" w:val="left" w:leader="none"/>
        </w:tabs>
        <w:ind w:left="1169"/>
      </w:pPr>
      <w:r>
        <w:rPr/>
        <w:t>Liquor</w:t>
        <w:tab/>
        <w:t>Watercraft</w:t>
      </w:r>
    </w:p>
    <w:p>
      <w:pPr>
        <w:pStyle w:val="BodyText"/>
        <w:tabs>
          <w:tab w:pos="5295" w:val="left" w:leader="none"/>
        </w:tabs>
        <w:ind w:left="1169"/>
      </w:pPr>
      <w:r>
        <w:rPr/>
        <w:t>Lockers</w:t>
        <w:tab/>
        <w:t>Zoo/Habitats</w:t>
      </w:r>
    </w:p>
    <w:p>
      <w:pPr>
        <w:pStyle w:val="BodyText"/>
        <w:ind w:left="1169"/>
      </w:pPr>
      <w:r>
        <w:rPr/>
        <w:t>Nursery/Day Care</w:t>
      </w:r>
    </w:p>
    <w:p>
      <w:pPr>
        <w:pStyle w:val="BodyText"/>
        <w:spacing w:before="4"/>
        <w:rPr>
          <w:sz w:val="12"/>
        </w:rPr>
      </w:pPr>
    </w:p>
    <w:p>
      <w:pPr>
        <w:pStyle w:val="Heading1"/>
        <w:spacing w:before="94"/>
        <w:ind w:left="119"/>
      </w:pPr>
      <w:r>
        <w:rPr/>
        <w:t>LIMITS</w:t>
      </w:r>
    </w:p>
    <w:p>
      <w:pPr>
        <w:pStyle w:val="BodyText"/>
        <w:spacing w:before="9"/>
        <w:rPr>
          <w:b/>
        </w:rPr>
      </w:pPr>
    </w:p>
    <w:tbl>
      <w:tblPr>
        <w:tblW w:w="0" w:type="auto"/>
        <w:jc w:val="left"/>
        <w:tblInd w:w="62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0"/>
        <w:gridCol w:w="4273"/>
      </w:tblGrid>
      <w:tr>
        <w:trPr>
          <w:trHeight w:val="227" w:hRule="exact"/>
        </w:trPr>
        <w:tc>
          <w:tcPr>
            <w:tcW w:w="3310" w:type="dxa"/>
          </w:tcPr>
          <w:p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Per Occurrence Limit</w:t>
            </w:r>
          </w:p>
        </w:tc>
        <w:tc>
          <w:tcPr>
            <w:tcW w:w="4273" w:type="dxa"/>
          </w:tcPr>
          <w:p>
            <w:pPr>
              <w:pStyle w:val="TableParagraph"/>
              <w:spacing w:line="224" w:lineRule="exact"/>
              <w:ind w:left="219"/>
              <w:rPr>
                <w:sz w:val="20"/>
              </w:rPr>
            </w:pPr>
            <w:r>
              <w:rPr>
                <w:sz w:val="20"/>
              </w:rPr>
              <w:t>$1,000,000</w:t>
            </w:r>
          </w:p>
        </w:tc>
      </w:tr>
      <w:tr>
        <w:trPr>
          <w:trHeight w:val="230" w:hRule="exact"/>
        </w:trPr>
        <w:tc>
          <w:tcPr>
            <w:tcW w:w="33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General Aggregate</w:t>
            </w:r>
          </w:p>
        </w:tc>
        <w:tc>
          <w:tcPr>
            <w:tcW w:w="4273" w:type="dxa"/>
          </w:tcPr>
          <w:p>
            <w:pPr>
              <w:pStyle w:val="TableParagraph"/>
              <w:ind w:left="692"/>
              <w:rPr>
                <w:sz w:val="20"/>
              </w:rPr>
            </w:pPr>
            <w:r>
              <w:rPr>
                <w:w w:val="100"/>
                <w:sz w:val="20"/>
              </w:rPr>
              <w:t>0</w:t>
            </w:r>
          </w:p>
        </w:tc>
      </w:tr>
      <w:tr>
        <w:trPr>
          <w:trHeight w:val="230" w:hRule="exact"/>
        </w:trPr>
        <w:tc>
          <w:tcPr>
            <w:tcW w:w="33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Products &amp; Completed Operations</w:t>
            </w:r>
          </w:p>
        </w:tc>
        <w:tc>
          <w:tcPr>
            <w:tcW w:w="4273" w:type="dxa"/>
          </w:tcPr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$1,000,000</w:t>
            </w:r>
          </w:p>
        </w:tc>
      </w:tr>
      <w:tr>
        <w:trPr>
          <w:trHeight w:val="230" w:hRule="exact"/>
        </w:trPr>
        <w:tc>
          <w:tcPr>
            <w:tcW w:w="33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Personal &amp; Advertising Injury</w:t>
            </w:r>
          </w:p>
        </w:tc>
        <w:tc>
          <w:tcPr>
            <w:tcW w:w="4273" w:type="dxa"/>
          </w:tcPr>
          <w:p>
            <w:pPr>
              <w:pStyle w:val="TableParagraph"/>
              <w:ind w:left="245"/>
              <w:rPr>
                <w:sz w:val="20"/>
              </w:rPr>
            </w:pPr>
            <w:r>
              <w:rPr>
                <w:sz w:val="20"/>
              </w:rPr>
              <w:t>$1,000,000</w:t>
            </w:r>
          </w:p>
        </w:tc>
      </w:tr>
      <w:tr>
        <w:trPr>
          <w:trHeight w:val="230" w:hRule="exact"/>
        </w:trPr>
        <w:tc>
          <w:tcPr>
            <w:tcW w:w="33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Fire Legal Liability</w:t>
            </w:r>
          </w:p>
        </w:tc>
        <w:tc>
          <w:tcPr>
            <w:tcW w:w="4273" w:type="dxa"/>
          </w:tcPr>
          <w:p>
            <w:pPr>
              <w:pStyle w:val="TableParagraph"/>
              <w:ind w:left="227"/>
              <w:rPr>
                <w:sz w:val="20"/>
              </w:rPr>
            </w:pPr>
            <w:r>
              <w:rPr>
                <w:sz w:val="20"/>
              </w:rPr>
              <w:t>$1,000,000</w:t>
            </w:r>
          </w:p>
        </w:tc>
      </w:tr>
      <w:tr>
        <w:trPr>
          <w:trHeight w:val="230" w:hRule="exact"/>
        </w:trPr>
        <w:tc>
          <w:tcPr>
            <w:tcW w:w="33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Medical Payments</w:t>
            </w:r>
          </w:p>
        </w:tc>
        <w:tc>
          <w:tcPr>
            <w:tcW w:w="4273" w:type="dxa"/>
          </w:tcPr>
          <w:p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>Excluded</w:t>
            </w:r>
          </w:p>
        </w:tc>
      </w:tr>
      <w:tr>
        <w:trPr>
          <w:trHeight w:val="227" w:hRule="exact"/>
        </w:trPr>
        <w:tc>
          <w:tcPr>
            <w:tcW w:w="3310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Liquor Liability</w:t>
            </w:r>
          </w:p>
        </w:tc>
        <w:tc>
          <w:tcPr>
            <w:tcW w:w="4273" w:type="dxa"/>
          </w:tcPr>
          <w:p>
            <w:pPr>
              <w:pStyle w:val="TableParagraph"/>
              <w:ind w:left="229"/>
              <w:rPr>
                <w:sz w:val="20"/>
              </w:rPr>
            </w:pPr>
            <w:r>
              <w:rPr>
                <w:sz w:val="20"/>
              </w:rPr>
              <w:t>$1,000,000 Each Common Cause/Aggregate</w:t>
            </w:r>
          </w:p>
        </w:tc>
      </w:tr>
    </w:tbl>
    <w:sectPr>
      <w:pgSz w:w="12240" w:h="15840"/>
      <w:pgMar w:header="0" w:footer="1377" w:top="1500" w:bottom="1580" w:left="132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40.123535pt;margin-top:711.309143pt;width:64.9pt;height:13.2pt;mso-position-horizontal-relative:page;mso-position-vertical-relative:page;z-index:-6280" type="#_x0000_t202" filled="false" stroked="false">
          <v:textbox inset="0,0,0,0">
            <w:txbxContent>
              <w:p>
                <w:pPr>
                  <w:spacing w:before="14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Edition (1/10)</w:t>
                </w:r>
              </w:p>
            </w:txbxContent>
          </v:textbox>
          <w10:wrap type="none"/>
        </v:shape>
      </w:pict>
    </w:r>
    <w:r>
      <w:rPr/>
      <w:pict>
        <v:shape style="position:absolute;margin-left:283.241394pt;margin-top:723.009521pt;width:9.6pt;height:13.2pt;mso-position-horizontal-relative:page;mso-position-vertical-relative:page;z-index:-6256" type="#_x0000_t202" filled="false" stroked="false">
          <v:textbox inset="0,0,0,0">
            <w:txbxContent>
              <w:p>
                <w:pPr>
                  <w:spacing w:before="14"/>
                  <w:ind w:left="40" w:right="0" w:firstLine="0"/>
                  <w:jc w:val="left"/>
                  <w:rPr>
                    <w:b/>
                    <w:sz w:val="20"/>
                  </w:rPr>
                </w:pPr>
                <w:r>
                  <w:rPr/>
                  <w:fldChar w:fldCharType="begin"/>
                </w:r>
                <w:r>
                  <w:rPr>
                    <w:b/>
                    <w:w w:val="100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141.559998pt;margin-top:723.009521pt;width:328.95pt;height:23.55pt;mso-position-horizontal-relative:page;mso-position-vertical-relative:page;z-index:-6232" type="#_x0000_t202" filled="false" stroked="false">
          <v:textbox inset="0,0,0,0">
            <w:txbxContent>
              <w:p>
                <w:pPr>
                  <w:pStyle w:val="BodyText"/>
                  <w:spacing w:before="2"/>
                  <w:rPr>
                    <w:rFonts w:ascii="Times New Roman"/>
                    <w:sz w:val="21"/>
                  </w:rPr>
                </w:pPr>
              </w:p>
              <w:p>
                <w:pPr>
                  <w:spacing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Includes copyrighted material of Insurance Services Office, Inc. with its permission</w:t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Letter"/>
      <w:lvlText w:val="%1."/>
      <w:lvlJc w:val="left"/>
      <w:pPr>
        <w:ind w:left="860" w:hanging="300"/>
        <w:jc w:val="left"/>
      </w:pPr>
      <w:rPr>
        <w:rFonts w:hint="default" w:ascii="Arial" w:hAnsi="Arial" w:eastAsia="Arial" w:cs="Arial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738" w:hanging="3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16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94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72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50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28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006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84" w:hanging="3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14"/>
      <w:ind w:left="20"/>
      <w:outlineLvl w:val="1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spacing w:before="94"/>
      <w:ind w:left="840" w:right="107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line="227" w:lineRule="exact"/>
      <w:ind w:left="50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awinnick</dc:creator>
  <dc:title>Microsoft Word - SKI _a_  Rate Page.doc</dc:title>
  <dcterms:created xsi:type="dcterms:W3CDTF">2017-10-04T10:28:22Z</dcterms:created>
  <dcterms:modified xsi:type="dcterms:W3CDTF">2017-10-04T10:28:22Z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2017-10-04T00:00:00Z</vt:filetime>
  </property>
</Properties>
</file>