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37"/>
        <w:ind w:right="115"/>
        <w:jc w:val="right"/>
      </w:pPr>
      <w:r>
        <w:rPr>
          <w:spacing w:val="-1"/>
        </w:rPr>
        <w:t>MULTISTATE</w:t>
      </w: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spacing w:before="56"/>
        <w:ind w:left="3299" w:right="3296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Granite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State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Insurance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Company</w:t>
      </w:r>
      <w:r>
        <w:rPr>
          <w:rFonts w:ascii="Calibri"/>
          <w:spacing w:val="24"/>
          <w:sz w:val="22"/>
        </w:rPr>
        <w:t> </w:t>
      </w:r>
      <w:r>
        <w:rPr>
          <w:rFonts w:ascii="Calibri"/>
          <w:spacing w:val="-1"/>
          <w:sz w:val="22"/>
        </w:rPr>
        <w:t>Illinois</w:t>
      </w:r>
      <w:r>
        <w:rPr>
          <w:rFonts w:ascii="Calibri"/>
          <w:sz w:val="22"/>
        </w:rPr>
        <w:t> </w:t>
      </w:r>
      <w:r>
        <w:rPr>
          <w:rFonts w:ascii="Calibri"/>
          <w:spacing w:val="-1"/>
          <w:sz w:val="22"/>
        </w:rPr>
        <w:t>National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pacing w:val="-1"/>
          <w:sz w:val="22"/>
        </w:rPr>
        <w:t>Insurance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Co.</w:t>
      </w:r>
    </w:p>
    <w:p>
      <w:pPr>
        <w:spacing w:before="0"/>
        <w:ind w:left="3170" w:right="3171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New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Hampshire</w:t>
      </w:r>
      <w:r>
        <w:rPr>
          <w:rFonts w:ascii="Calibri"/>
          <w:spacing w:val="1"/>
          <w:sz w:val="22"/>
        </w:rPr>
        <w:t> </w:t>
      </w:r>
      <w:r>
        <w:rPr>
          <w:rFonts w:ascii="Calibri"/>
          <w:spacing w:val="-1"/>
          <w:sz w:val="22"/>
        </w:rPr>
        <w:t>Insurance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pacing w:val="-1"/>
          <w:sz w:val="22"/>
        </w:rPr>
        <w:t>Company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8"/>
          <w:szCs w:val="18"/>
        </w:rPr>
      </w:pPr>
    </w:p>
    <w:p>
      <w:pPr>
        <w:pStyle w:val="Heading2"/>
        <w:spacing w:line="240" w:lineRule="auto"/>
        <w:ind w:left="3170" w:right="3171"/>
        <w:jc w:val="center"/>
        <w:rPr>
          <w:b w:val="0"/>
          <w:bCs w:val="0"/>
        </w:rPr>
      </w:pPr>
      <w:r>
        <w:rPr/>
        <w:t>RULE</w:t>
      </w:r>
      <w:r>
        <w:rPr>
          <w:spacing w:val="-11"/>
        </w:rPr>
        <w:t> </w:t>
      </w:r>
      <w:r>
        <w:rPr>
          <w:spacing w:val="-1"/>
        </w:rPr>
        <w:t>PAGE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75" w:lineRule="auto"/>
        <w:ind w:left="119" w:right="0"/>
        <w:jc w:val="left"/>
        <w:rPr>
          <w:rFonts w:ascii="Calibri" w:hAnsi="Calibri" w:cs="Calibri" w:eastAsia="Calibri"/>
          <w:sz w:val="22"/>
          <w:szCs w:val="22"/>
        </w:rPr>
      </w:pPr>
      <w:r>
        <w:rPr/>
        <w:t>The</w:t>
      </w:r>
      <w:r>
        <w:rPr>
          <w:spacing w:val="6"/>
        </w:rPr>
        <w:t> </w:t>
      </w:r>
      <w:r>
        <w:rPr>
          <w:spacing w:val="-1"/>
        </w:rPr>
        <w:t>referenced</w:t>
      </w:r>
      <w:r>
        <w:rPr>
          <w:spacing w:val="6"/>
        </w:rPr>
        <w:t> </w:t>
      </w:r>
      <w:r>
        <w:rPr>
          <w:spacing w:val="-1"/>
        </w:rPr>
        <w:t>companies</w:t>
      </w:r>
      <w:r>
        <w:rPr>
          <w:spacing w:val="10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filing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following</w:t>
      </w:r>
      <w:r>
        <w:rPr>
          <w:spacing w:val="6"/>
        </w:rPr>
        <w:t> </w:t>
      </w:r>
      <w:r>
        <w:rPr/>
        <w:t>seven</w:t>
      </w:r>
      <w:r>
        <w:rPr>
          <w:spacing w:val="7"/>
        </w:rPr>
        <w:t> </w:t>
      </w:r>
      <w:r>
        <w:rPr/>
        <w:t>forms</w:t>
      </w:r>
      <w:r>
        <w:rPr>
          <w:spacing w:val="5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/>
        <w:t>use</w:t>
      </w:r>
      <w:r>
        <w:rPr>
          <w:spacing w:val="6"/>
        </w:rPr>
        <w:t> </w:t>
      </w:r>
      <w:r>
        <w:rPr/>
        <w:t>that</w:t>
      </w:r>
      <w:r>
        <w:rPr>
          <w:spacing w:val="7"/>
        </w:rPr>
        <w:t> </w:t>
      </w:r>
      <w:r>
        <w:rPr/>
        <w:t>will</w:t>
      </w:r>
      <w:r>
        <w:rPr>
          <w:spacing w:val="5"/>
        </w:rPr>
        <w:t> </w:t>
      </w:r>
      <w:r>
        <w:rPr/>
        <w:t>attach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ISO</w:t>
      </w:r>
      <w:r>
        <w:rPr>
          <w:spacing w:val="69"/>
          <w:w w:val="99"/>
        </w:rPr>
        <w:t> </w:t>
      </w:r>
      <w:r>
        <w:rPr/>
        <w:t>Commercial</w:t>
      </w:r>
      <w:r>
        <w:rPr>
          <w:spacing w:val="-8"/>
        </w:rPr>
        <w:t> </w:t>
      </w:r>
      <w:r>
        <w:rPr/>
        <w:t>General</w:t>
      </w:r>
      <w:r>
        <w:rPr>
          <w:spacing w:val="-6"/>
        </w:rPr>
        <w:t> </w:t>
      </w:r>
      <w:r>
        <w:rPr/>
        <w:t>Liability</w:t>
      </w:r>
      <w:r>
        <w:rPr>
          <w:spacing w:val="-10"/>
        </w:rPr>
        <w:t> </w:t>
      </w:r>
      <w:r>
        <w:rPr>
          <w:spacing w:val="-1"/>
        </w:rPr>
        <w:t>Coverage</w:t>
      </w:r>
      <w:r>
        <w:rPr>
          <w:spacing w:val="-7"/>
        </w:rPr>
        <w:t> </w:t>
      </w:r>
      <w:r>
        <w:rPr/>
        <w:t>Form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CG</w:t>
      </w:r>
      <w:r>
        <w:rPr>
          <w:spacing w:val="-6"/>
        </w:rPr>
        <w:t> </w:t>
      </w:r>
      <w:r>
        <w:rPr>
          <w:spacing w:val="-1"/>
        </w:rPr>
        <w:t>00</w:t>
      </w:r>
      <w:r>
        <w:rPr>
          <w:spacing w:val="-6"/>
        </w:rPr>
        <w:t> </w:t>
      </w:r>
      <w:r>
        <w:rPr>
          <w:spacing w:val="-1"/>
        </w:rPr>
        <w:t>01</w:t>
      </w:r>
      <w:r>
        <w:rPr>
          <w:rFonts w:ascii="Calibri"/>
          <w:spacing w:val="-1"/>
          <w:sz w:val="22"/>
        </w:rPr>
        <w:t>:</w:t>
      </w:r>
    </w:p>
    <w:p>
      <w:pPr>
        <w:pStyle w:val="Heading2"/>
        <w:spacing w:line="240" w:lineRule="auto" w:before="196"/>
        <w:ind w:right="0"/>
        <w:jc w:val="left"/>
        <w:rPr>
          <w:b w:val="0"/>
          <w:bCs w:val="0"/>
        </w:rPr>
      </w:pPr>
      <w:r>
        <w:rPr>
          <w:spacing w:val="-1"/>
        </w:rPr>
        <w:t>1.</w:t>
      </w:r>
      <w:r>
        <w:rPr>
          <w:spacing w:val="38"/>
        </w:rPr>
        <w:t> </w:t>
      </w:r>
      <w:r>
        <w:rPr>
          <w:spacing w:val="-1"/>
        </w:rPr>
        <w:t>Residential</w:t>
      </w:r>
      <w:r>
        <w:rPr>
          <w:spacing w:val="-7"/>
        </w:rPr>
        <w:t> </w:t>
      </w:r>
      <w:r>
        <w:rPr>
          <w:spacing w:val="-1"/>
        </w:rPr>
        <w:t>Construction</w:t>
      </w:r>
      <w:r>
        <w:rPr>
          <w:spacing w:val="-8"/>
        </w:rPr>
        <w:t> </w:t>
      </w:r>
      <w:r>
        <w:rPr>
          <w:spacing w:val="-1"/>
        </w:rPr>
        <w:t>Operations</w:t>
      </w:r>
      <w:r>
        <w:rPr>
          <w:spacing w:val="-7"/>
        </w:rPr>
        <w:t> </w:t>
      </w:r>
      <w:r>
        <w:rPr>
          <w:spacing w:val="-1"/>
        </w:rPr>
        <w:t>Exclusion</w:t>
      </w:r>
      <w:r>
        <w:rPr>
          <w:spacing w:val="-6"/>
        </w:rPr>
        <w:t> </w:t>
      </w:r>
      <w:r>
        <w:rPr>
          <w:spacing w:val="-1"/>
        </w:rPr>
        <w:t>Endorsement</w:t>
      </w:r>
      <w:r>
        <w:rPr>
          <w:spacing w:val="-7"/>
        </w:rPr>
        <w:t> </w:t>
      </w:r>
      <w:r>
        <w:rPr/>
        <w:t>(With</w:t>
      </w:r>
      <w:r>
        <w:rPr>
          <w:spacing w:val="-8"/>
        </w:rPr>
        <w:t> </w:t>
      </w:r>
      <w:r>
        <w:rPr/>
        <w:t>Exception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Repair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89"/>
          <w:w w:val="99"/>
        </w:rPr>
        <w:t> </w:t>
      </w:r>
      <w:r>
        <w:rPr>
          <w:spacing w:val="-1"/>
        </w:rPr>
        <w:t>Remodel</w:t>
      </w:r>
      <w:r>
        <w:rPr>
          <w:spacing w:val="-15"/>
        </w:rPr>
        <w:t> </w:t>
      </w:r>
      <w:r>
        <w:rPr>
          <w:spacing w:val="-1"/>
        </w:rPr>
        <w:t>Operations)</w:t>
      </w:r>
      <w:r>
        <w:rPr>
          <w:spacing w:val="-13"/>
        </w:rPr>
        <w:t> </w:t>
      </w:r>
      <w:r>
        <w:rPr/>
        <w:t>119826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77" w:lineRule="auto"/>
        <w:ind w:right="0"/>
        <w:jc w:val="left"/>
      </w:pPr>
      <w:r>
        <w:rPr/>
        <w:t>This</w:t>
      </w:r>
      <w:r>
        <w:rPr>
          <w:spacing w:val="11"/>
        </w:rPr>
        <w:t> </w:t>
      </w:r>
      <w:r>
        <w:rPr>
          <w:spacing w:val="-1"/>
        </w:rPr>
        <w:t>endorsement</w:t>
      </w:r>
      <w:r>
        <w:rPr>
          <w:spacing w:val="8"/>
        </w:rPr>
        <w:t> </w:t>
      </w:r>
      <w:r>
        <w:rPr/>
        <w:t>modifies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/>
        <w:t>ISO</w:t>
      </w:r>
      <w:r>
        <w:rPr>
          <w:spacing w:val="12"/>
        </w:rPr>
        <w:t> </w:t>
      </w:r>
      <w:r>
        <w:rPr/>
        <w:t>Commercial</w:t>
      </w:r>
      <w:r>
        <w:rPr>
          <w:spacing w:val="9"/>
        </w:rPr>
        <w:t> </w:t>
      </w:r>
      <w:r>
        <w:rPr/>
        <w:t>General</w:t>
      </w:r>
      <w:r>
        <w:rPr>
          <w:spacing w:val="10"/>
        </w:rPr>
        <w:t> </w:t>
      </w:r>
      <w:r>
        <w:rPr/>
        <w:t>Liability</w:t>
      </w:r>
      <w:r>
        <w:rPr>
          <w:spacing w:val="7"/>
        </w:rPr>
        <w:t> </w:t>
      </w:r>
      <w:r>
        <w:rPr/>
        <w:t>Coverage</w:t>
      </w:r>
      <w:r>
        <w:rPr>
          <w:spacing w:val="10"/>
        </w:rPr>
        <w:t> </w:t>
      </w:r>
      <w:r>
        <w:rPr>
          <w:spacing w:val="1"/>
        </w:rPr>
        <w:t>Form,</w:t>
      </w:r>
      <w:r>
        <w:rPr>
          <w:spacing w:val="11"/>
        </w:rPr>
        <w:t> </w:t>
      </w:r>
      <w:r>
        <w:rPr/>
        <w:t>CG</w:t>
      </w:r>
      <w:r>
        <w:rPr>
          <w:spacing w:val="11"/>
        </w:rPr>
        <w:t> </w:t>
      </w:r>
      <w:r>
        <w:rPr>
          <w:spacing w:val="-1"/>
        </w:rPr>
        <w:t>00</w:t>
      </w:r>
      <w:r>
        <w:rPr>
          <w:spacing w:val="10"/>
        </w:rPr>
        <w:t> </w:t>
      </w:r>
      <w:r>
        <w:rPr>
          <w:spacing w:val="-1"/>
        </w:rPr>
        <w:t>01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0"/>
        </w:rPr>
        <w:t> </w:t>
      </w:r>
      <w:r>
        <w:rPr>
          <w:spacing w:val="-1"/>
        </w:rPr>
        <w:t>order</w:t>
      </w:r>
      <w:r>
        <w:rPr>
          <w:spacing w:val="12"/>
        </w:rPr>
        <w:t> </w:t>
      </w:r>
      <w:r>
        <w:rPr>
          <w:spacing w:val="1"/>
        </w:rPr>
        <w:t>to</w:t>
      </w:r>
      <w:r>
        <w:rPr>
          <w:spacing w:val="46"/>
          <w:w w:val="99"/>
        </w:rPr>
        <w:t> </w:t>
      </w:r>
      <w:r>
        <w:rPr/>
        <w:t>allow</w:t>
      </w:r>
      <w:r>
        <w:rPr>
          <w:spacing w:val="-9"/>
        </w:rPr>
        <w:t> </w:t>
      </w:r>
      <w:r>
        <w:rPr/>
        <w:t>coverage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repairs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/>
        <w:t>remodeling</w:t>
      </w:r>
      <w:r>
        <w:rPr>
          <w:spacing w:val="-6"/>
        </w:rPr>
        <w:t> </w:t>
      </w:r>
      <w:r>
        <w:rPr/>
        <w:t>done</w:t>
      </w:r>
      <w:r>
        <w:rPr>
          <w:spacing w:val="-5"/>
        </w:rPr>
        <w:t> </w:t>
      </w:r>
      <w:r>
        <w:rPr>
          <w:spacing w:val="1"/>
        </w:rPr>
        <w:t>by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Insured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/>
        <w:t>owned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spacing w:val="-1"/>
        </w:rPr>
        <w:t>managed</w:t>
      </w:r>
      <w:r>
        <w:rPr>
          <w:spacing w:val="-5"/>
        </w:rPr>
        <w:t> </w:t>
      </w:r>
      <w:r>
        <w:rPr>
          <w:spacing w:val="-1"/>
        </w:rPr>
        <w:t>properties.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485" w:lineRule="auto"/>
        <w:ind w:right="3583"/>
        <w:jc w:val="left"/>
      </w:pPr>
      <w:r>
        <w:rPr/>
        <w:t>The</w:t>
      </w:r>
      <w:r>
        <w:rPr>
          <w:spacing w:val="-6"/>
        </w:rPr>
        <w:t> </w:t>
      </w:r>
      <w:r>
        <w:rPr>
          <w:spacing w:val="-1"/>
        </w:rPr>
        <w:t>endorsement</w:t>
      </w:r>
      <w:r>
        <w:rPr>
          <w:spacing w:val="-4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>
          <w:spacing w:val="-1"/>
        </w:rPr>
        <w:t>be</w:t>
      </w:r>
      <w:r>
        <w:rPr>
          <w:spacing w:val="-6"/>
        </w:rPr>
        <w:t> </w:t>
      </w:r>
      <w:r>
        <w:rPr/>
        <w:t>provided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option</w:t>
      </w:r>
      <w:r>
        <w:rPr>
          <w:spacing w:val="-4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insured.</w:t>
      </w:r>
      <w:r>
        <w:rPr>
          <w:spacing w:val="57"/>
          <w:w w:val="99"/>
        </w:rPr>
        <w:t> </w:t>
      </w:r>
      <w:r>
        <w:rPr/>
        <w:t>There</w:t>
      </w:r>
      <w:r>
        <w:rPr>
          <w:spacing w:val="-7"/>
        </w:rPr>
        <w:t> </w:t>
      </w:r>
      <w:r>
        <w:rPr/>
        <w:t>will</w:t>
      </w:r>
      <w:r>
        <w:rPr>
          <w:spacing w:val="-7"/>
        </w:rPr>
        <w:t> </w:t>
      </w:r>
      <w:r>
        <w:rPr>
          <w:spacing w:val="-1"/>
        </w:rPr>
        <w:t>be</w:t>
      </w:r>
      <w:r>
        <w:rPr>
          <w:spacing w:val="-4"/>
        </w:rPr>
        <w:t> </w:t>
      </w:r>
      <w:r>
        <w:rPr>
          <w:spacing w:val="-1"/>
        </w:rPr>
        <w:t>no</w:t>
      </w:r>
      <w:r>
        <w:rPr>
          <w:spacing w:val="-4"/>
        </w:rPr>
        <w:t> </w:t>
      </w:r>
      <w:r>
        <w:rPr/>
        <w:t>premium</w:t>
      </w:r>
      <w:r>
        <w:rPr>
          <w:spacing w:val="-2"/>
        </w:rPr>
        <w:t> </w:t>
      </w:r>
      <w:r>
        <w:rPr>
          <w:spacing w:val="-1"/>
        </w:rPr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tabs>
          <w:tab w:pos="4797" w:val="left" w:leader="none"/>
          <w:tab w:pos="8591" w:val="left" w:leader="none"/>
        </w:tabs>
        <w:spacing w:line="240" w:lineRule="auto" w:before="183"/>
        <w:ind w:left="119" w:right="0"/>
        <w:jc w:val="left"/>
      </w:pPr>
      <w:r>
        <w:rPr>
          <w:spacing w:val="-1"/>
        </w:rPr>
        <w:t>AIG-GL-MU-RU</w:t>
        <w:tab/>
      </w:r>
      <w:r>
        <w:rPr>
          <w:w w:val="95"/>
        </w:rPr>
        <w:t>1</w:t>
        <w:tab/>
      </w:r>
      <w:r>
        <w:rPr>
          <w:spacing w:val="-1"/>
        </w:rPr>
        <w:t>12/16</w:t>
      </w:r>
    </w:p>
    <w:sectPr>
      <w:type w:val="continuous"/>
      <w:pgSz w:w="12240" w:h="15840"/>
      <w:pgMar w:top="6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/>
      <w:sz w:val="22"/>
      <w:szCs w:val="22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Simmons, Ruby</dc:creator>
  <dcterms:created xsi:type="dcterms:W3CDTF">2017-03-27T11:31:52Z</dcterms:created>
  <dcterms:modified xsi:type="dcterms:W3CDTF">2017-03-27T11:31:52Z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LastSaved">
    <vt:filetime>2017-03-27T00:00:00Z</vt:filetime>
  </property>
</Properties>
</file>