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1"/>
        <w:spacing w:line="240" w:lineRule="auto"/>
        <w:ind w:left="2728" w:right="0" w:hanging="1"/>
        <w:jc w:val="center"/>
        <w:rPr>
          <w:b w:val="0"/>
          <w:bCs w:val="0"/>
        </w:rPr>
      </w:pPr>
      <w:r>
        <w:rPr>
          <w:spacing w:val="-1"/>
        </w:rPr>
        <w:t>COMMERCIAL </w:t>
      </w:r>
      <w:r>
        <w:rPr/>
        <w:t>LINES</w:t>
      </w:r>
      <w:r>
        <w:rPr>
          <w:spacing w:val="-1"/>
        </w:rPr>
        <w:t> MANUAL</w:t>
      </w:r>
      <w:r>
        <w:rPr>
          <w:spacing w:val="29"/>
        </w:rPr>
        <w:t> </w:t>
      </w:r>
      <w:r>
        <w:rPr>
          <w:spacing w:val="-1"/>
        </w:rPr>
        <w:t>DIVISION SIX </w:t>
      </w:r>
      <w:r>
        <w:rPr/>
        <w:t>-</w:t>
      </w:r>
      <w:r>
        <w:rPr>
          <w:spacing w:val="-1"/>
        </w:rPr>
        <w:t> GENERAL LIABILITY</w:t>
      </w:r>
      <w:r>
        <w:rPr>
          <w:spacing w:val="23"/>
        </w:rPr>
        <w:t> </w:t>
      </w:r>
      <w:r>
        <w:rPr>
          <w:spacing w:val="-1"/>
        </w:rPr>
        <w:t>COMPANY EXCEPTION PAGE</w:t>
      </w:r>
      <w:r>
        <w:rPr>
          <w:b w:val="0"/>
        </w:rPr>
      </w:r>
    </w:p>
    <w:p>
      <w:pPr>
        <w:spacing w:before="39"/>
        <w:ind w:left="1514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b/>
          <w:spacing w:val="-1"/>
          <w:sz w:val="24"/>
        </w:rPr>
        <w:t>Multistate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840"/>
          <w:pgMar w:top="680" w:bottom="280" w:left="1680" w:right="1680"/>
          <w:cols w:num="2" w:equalWidth="0">
            <w:col w:w="6152" w:space="40"/>
            <w:col w:w="2688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The</w:t>
      </w:r>
      <w:r>
        <w:rPr>
          <w:spacing w:val="27"/>
        </w:rPr>
        <w:t> </w:t>
      </w:r>
      <w:r>
        <w:rPr>
          <w:spacing w:val="-1"/>
        </w:rPr>
        <w:t>following</w:t>
      </w:r>
      <w:r>
        <w:rPr>
          <w:spacing w:val="27"/>
        </w:rPr>
        <w:t> </w:t>
      </w:r>
      <w:r>
        <w:rPr>
          <w:spacing w:val="-1"/>
        </w:rPr>
        <w:t>exception</w:t>
      </w:r>
      <w:r>
        <w:rPr>
          <w:spacing w:val="27"/>
        </w:rPr>
        <w:t> </w:t>
      </w:r>
      <w:r>
        <w:rPr>
          <w:spacing w:val="-1"/>
        </w:rPr>
        <w:t>to</w:t>
      </w:r>
      <w:r>
        <w:rPr>
          <w:spacing w:val="27"/>
        </w:rPr>
        <w:t> </w:t>
      </w:r>
      <w:r>
        <w:rPr>
          <w:spacing w:val="-1"/>
        </w:rPr>
        <w:t>ISO’s</w:t>
      </w:r>
      <w:r>
        <w:rPr>
          <w:spacing w:val="27"/>
        </w:rPr>
        <w:t> </w:t>
      </w:r>
      <w:r>
        <w:rPr>
          <w:spacing w:val="-1"/>
        </w:rPr>
        <w:t>Commercial</w:t>
      </w:r>
      <w:r>
        <w:rPr>
          <w:spacing w:val="27"/>
        </w:rPr>
        <w:t> </w:t>
      </w:r>
      <w:r>
        <w:rPr>
          <w:spacing w:val="-1"/>
        </w:rPr>
        <w:t>Lines</w:t>
      </w:r>
      <w:r>
        <w:rPr>
          <w:spacing w:val="27"/>
        </w:rPr>
        <w:t> </w:t>
      </w:r>
      <w:r>
        <w:rPr>
          <w:spacing w:val="-1"/>
        </w:rPr>
        <w:t>Manual</w:t>
      </w:r>
      <w:r>
        <w:rPr>
          <w:spacing w:val="26"/>
        </w:rPr>
        <w:t> </w:t>
      </w:r>
      <w:r>
        <w:rPr>
          <w:spacing w:val="-1"/>
        </w:rPr>
        <w:t>will</w:t>
      </w:r>
      <w:r>
        <w:rPr>
          <w:spacing w:val="25"/>
        </w:rPr>
        <w:t> </w:t>
      </w:r>
      <w:r>
        <w:rPr>
          <w:spacing w:val="-1"/>
        </w:rPr>
        <w:t>be</w:t>
      </w:r>
      <w:r>
        <w:rPr>
          <w:spacing w:val="27"/>
        </w:rPr>
        <w:t> </w:t>
      </w:r>
      <w:r>
        <w:rPr>
          <w:spacing w:val="-1"/>
        </w:rPr>
        <w:t>applicable</w:t>
      </w:r>
      <w:r>
        <w:rPr>
          <w:spacing w:val="27"/>
        </w:rPr>
        <w:t> </w:t>
      </w:r>
      <w:r>
        <w:rPr>
          <w:spacing w:val="-1"/>
        </w:rPr>
        <w:t>for</w:t>
      </w:r>
      <w:r>
        <w:rPr>
          <w:spacing w:val="27"/>
        </w:rPr>
        <w:t> </w:t>
      </w:r>
      <w:r>
        <w:rPr>
          <w:spacing w:val="-1"/>
        </w:rPr>
        <w:t>Homeowners</w:t>
      </w:r>
      <w:r>
        <w:rPr>
          <w:spacing w:val="20"/>
        </w:rPr>
        <w:t> </w:t>
      </w:r>
      <w:r>
        <w:rPr>
          <w:spacing w:val="-1"/>
        </w:rPr>
        <w:t>and </w:t>
      </w:r>
      <w:r>
        <w:rPr>
          <w:spacing w:val="-2"/>
        </w:rPr>
        <w:t>Propertyowners</w:t>
      </w:r>
      <w:r>
        <w:rPr>
          <w:spacing w:val="-1"/>
        </w:rPr>
        <w:t> </w:t>
      </w:r>
      <w:r>
        <w:rPr>
          <w:spacing w:val="-2"/>
        </w:rPr>
        <w:t>Associations</w:t>
      </w:r>
      <w:r>
        <w:rPr/>
        <w:t> </w:t>
      </w:r>
      <w:r>
        <w:rPr>
          <w:spacing w:val="-1"/>
        </w:rPr>
        <w:t>written</w:t>
      </w:r>
      <w:r>
        <w:rPr/>
        <w:t> </w:t>
      </w:r>
      <w:r>
        <w:rPr>
          <w:spacing w:val="-1"/>
        </w:rPr>
        <w:t>within the CommunityGuard </w:t>
      </w:r>
      <w:r>
        <w:rPr>
          <w:spacing w:val="-2"/>
        </w:rPr>
        <w:t>portfolio.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68500 Townhouses or Similar </w:t>
      </w:r>
      <w:r>
        <w:rPr>
          <w:spacing w:val="-2"/>
          <w:u w:val="thick" w:color="000000"/>
        </w:rPr>
        <w:t>Associations</w:t>
      </w:r>
      <w:r>
        <w:rPr>
          <w:spacing w:val="-1"/>
        </w:rPr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47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1.</w:t>
      </w:r>
      <w:r>
        <w:rPr>
          <w:rFonts w:ascii="Arial"/>
          <w:b/>
          <w:sz w:val="20"/>
        </w:rPr>
        <w:t>  </w:t>
      </w:r>
      <w:r>
        <w:rPr>
          <w:rFonts w:ascii="Arial"/>
          <w:b/>
          <w:spacing w:val="26"/>
          <w:sz w:val="20"/>
        </w:rPr>
        <w:t> </w:t>
      </w:r>
      <w:r>
        <w:rPr>
          <w:rFonts w:ascii="Arial"/>
          <w:b/>
          <w:spacing w:val="-1"/>
          <w:sz w:val="20"/>
        </w:rPr>
        <w:t>Size of Association </w:t>
      </w:r>
      <w:r>
        <w:rPr>
          <w:rFonts w:ascii="Arial"/>
          <w:b/>
          <w:spacing w:val="-2"/>
          <w:sz w:val="20"/>
        </w:rPr>
        <w:t>Discount</w:t>
      </w:r>
      <w:r>
        <w:rPr>
          <w:rFonts w:ascii="Arial"/>
          <w:sz w:val="2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tabs>
          <w:tab w:pos="3719" w:val="left" w:leader="none"/>
          <w:tab w:pos="4079" w:val="left" w:leader="none"/>
        </w:tabs>
        <w:spacing w:line="240" w:lineRule="auto"/>
        <w:ind w:left="1420" w:right="3756" w:hanging="581"/>
        <w:jc w:val="left"/>
      </w:pPr>
      <w:r>
        <w:rPr/>
      </w:r>
      <w:r>
        <w:rPr>
          <w:spacing w:val="-2"/>
          <w:u w:val="single" w:color="000000"/>
        </w:rPr>
        <w:t>Number</w:t>
      </w:r>
      <w:r>
        <w:rPr>
          <w:spacing w:val="-1"/>
          <w:u w:val="single" w:color="000000"/>
        </w:rPr>
        <w:t> of Units</w:t>
      </w:r>
      <w:r>
        <w:rPr>
          <w:spacing w:val="-1"/>
        </w:rPr>
        <w:tab/>
      </w:r>
      <w:r>
        <w:rPr>
          <w:spacing w:val="-1"/>
          <w:u w:val="single" w:color="000000"/>
        </w:rPr>
        <w:t>Discount Factor</w:t>
      </w:r>
      <w:r>
        <w:rPr/>
      </w:r>
      <w:r>
        <w:rPr>
          <w:spacing w:val="33"/>
        </w:rPr>
        <w:t> </w:t>
      </w:r>
      <w:r>
        <w:rPr/>
        <w:t>1 </w:t>
      </w:r>
      <w:r>
        <w:rPr>
          <w:spacing w:val="-1"/>
        </w:rPr>
        <w:t>to 250</w:t>
        <w:tab/>
        <w:tab/>
        <w:t>1.00</w:t>
      </w:r>
      <w:r>
        <w:rPr/>
      </w:r>
    </w:p>
    <w:p>
      <w:pPr>
        <w:pStyle w:val="BodyText"/>
        <w:tabs>
          <w:tab w:pos="3269" w:val="right" w:leader="none"/>
        </w:tabs>
        <w:spacing w:line="229" w:lineRule="exact"/>
        <w:ind w:left="0" w:right="3208"/>
        <w:jc w:val="center"/>
      </w:pPr>
      <w:r>
        <w:rPr/>
        <w:t>251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500</w:t>
        <w:tab/>
        <w:t>0.98</w:t>
      </w:r>
    </w:p>
    <w:p>
      <w:pPr>
        <w:pStyle w:val="BodyText"/>
        <w:tabs>
          <w:tab w:pos="3269" w:val="right" w:leader="none"/>
        </w:tabs>
        <w:spacing w:line="240" w:lineRule="auto"/>
        <w:ind w:left="0" w:right="3208"/>
        <w:jc w:val="center"/>
      </w:pPr>
      <w:r>
        <w:rPr/>
        <w:t>501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750</w:t>
        <w:tab/>
        <w:t>0.95</w:t>
      </w:r>
    </w:p>
    <w:p>
      <w:pPr>
        <w:pStyle w:val="BodyText"/>
        <w:tabs>
          <w:tab w:pos="3269" w:val="right" w:leader="none"/>
        </w:tabs>
        <w:spacing w:line="230" w:lineRule="exact"/>
        <w:ind w:left="0" w:right="3208"/>
        <w:jc w:val="center"/>
      </w:pPr>
      <w:r>
        <w:rPr>
          <w:spacing w:val="-1"/>
        </w:rPr>
        <w:t>751 to 1,000</w:t>
        <w:tab/>
        <w:t>0.93</w:t>
      </w:r>
      <w:r>
        <w:rPr/>
      </w:r>
    </w:p>
    <w:p>
      <w:pPr>
        <w:pStyle w:val="BodyText"/>
        <w:tabs>
          <w:tab w:pos="3403" w:val="right" w:leader="none"/>
        </w:tabs>
        <w:spacing w:line="230" w:lineRule="exact"/>
        <w:ind w:left="0" w:right="3347"/>
        <w:jc w:val="center"/>
      </w:pPr>
      <w:r>
        <w:rPr>
          <w:spacing w:val="-1"/>
        </w:rPr>
        <w:t>1,001 to 1,250</w:t>
        <w:tab/>
        <w:t>0.91</w:t>
      </w:r>
      <w:r>
        <w:rPr/>
      </w:r>
    </w:p>
    <w:p>
      <w:pPr>
        <w:pStyle w:val="BodyText"/>
        <w:tabs>
          <w:tab w:pos="3403" w:val="right" w:leader="none"/>
        </w:tabs>
        <w:spacing w:line="240" w:lineRule="auto"/>
        <w:ind w:left="0" w:right="3347"/>
        <w:jc w:val="center"/>
      </w:pPr>
      <w:r>
        <w:rPr>
          <w:spacing w:val="-1"/>
        </w:rPr>
        <w:t>1,251 to 1,500</w:t>
        <w:tab/>
        <w:t>0.90</w:t>
      </w:r>
      <w:r>
        <w:rPr/>
      </w:r>
    </w:p>
    <w:p>
      <w:pPr>
        <w:pStyle w:val="BodyText"/>
        <w:tabs>
          <w:tab w:pos="3403" w:val="right" w:leader="none"/>
        </w:tabs>
        <w:spacing w:line="230" w:lineRule="exact"/>
        <w:ind w:left="0" w:right="3347"/>
        <w:jc w:val="center"/>
      </w:pPr>
      <w:r>
        <w:rPr>
          <w:spacing w:val="-1"/>
        </w:rPr>
        <w:t>1,501 to 1,750</w:t>
        <w:tab/>
        <w:t>0.88</w:t>
      </w:r>
      <w:r>
        <w:rPr/>
      </w:r>
    </w:p>
    <w:p>
      <w:pPr>
        <w:pStyle w:val="BodyText"/>
        <w:tabs>
          <w:tab w:pos="3403" w:val="right" w:leader="none"/>
        </w:tabs>
        <w:spacing w:line="230" w:lineRule="exact"/>
        <w:ind w:left="0" w:right="3347"/>
        <w:jc w:val="center"/>
      </w:pPr>
      <w:r>
        <w:rPr>
          <w:spacing w:val="-1"/>
        </w:rPr>
        <w:t>1,751 to 2,000</w:t>
        <w:tab/>
        <w:t>0.86</w:t>
      </w:r>
      <w:r>
        <w:rPr/>
      </w:r>
    </w:p>
    <w:p>
      <w:pPr>
        <w:pStyle w:val="BodyText"/>
        <w:tabs>
          <w:tab w:pos="3403" w:val="right" w:leader="none"/>
        </w:tabs>
        <w:spacing w:line="240" w:lineRule="auto"/>
        <w:ind w:left="0" w:right="3347"/>
        <w:jc w:val="center"/>
      </w:pPr>
      <w:r>
        <w:rPr>
          <w:spacing w:val="-1"/>
        </w:rPr>
        <w:t>2,001 to 2,250</w:t>
        <w:tab/>
        <w:t>0.85</w:t>
      </w:r>
      <w:r>
        <w:rPr/>
      </w:r>
    </w:p>
    <w:p>
      <w:pPr>
        <w:pStyle w:val="BodyText"/>
        <w:tabs>
          <w:tab w:pos="3403" w:val="right" w:leader="none"/>
        </w:tabs>
        <w:spacing w:line="240" w:lineRule="auto"/>
        <w:ind w:left="0" w:right="3346"/>
        <w:jc w:val="center"/>
      </w:pPr>
      <w:r>
        <w:rPr>
          <w:spacing w:val="-1"/>
        </w:rPr>
        <w:t>2,251 or over</w:t>
        <w:tab/>
        <w:t>0.80</w:t>
      </w:r>
      <w:r>
        <w:rPr/>
      </w:r>
    </w:p>
    <w:p>
      <w:pPr>
        <w:pStyle w:val="BodyText"/>
        <w:spacing w:line="240" w:lineRule="auto" w:before="229"/>
        <w:ind w:left="839" w:right="0"/>
        <w:jc w:val="left"/>
      </w:pPr>
      <w:r>
        <w:rPr/>
        <w:t>This</w:t>
      </w:r>
      <w:r>
        <w:rPr>
          <w:spacing w:val="-2"/>
        </w:rPr>
        <w:t> </w:t>
      </w:r>
      <w:r>
        <w:rPr>
          <w:spacing w:val="-1"/>
        </w:rPr>
        <w:t>credit </w:t>
      </w:r>
      <w:r>
        <w:rPr/>
        <w:t>is</w:t>
      </w:r>
      <w:r>
        <w:rPr>
          <w:spacing w:val="-1"/>
        </w:rPr>
        <w:t> applied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final</w:t>
      </w:r>
      <w:r>
        <w:rPr>
          <w:spacing w:val="-1"/>
        </w:rPr>
        <w:t> </w:t>
      </w:r>
      <w:r>
        <w:rPr/>
        <w:t>GL</w:t>
      </w:r>
      <w:r>
        <w:rPr>
          <w:spacing w:val="-1"/>
        </w:rPr>
        <w:t> premium developed </w:t>
      </w:r>
      <w:r>
        <w:rPr/>
        <w:t>for</w:t>
      </w:r>
      <w:r>
        <w:rPr>
          <w:spacing w:val="-1"/>
        </w:rPr>
        <w:t> Class </w:t>
      </w:r>
      <w:r>
        <w:rPr/>
        <w:t>Code</w:t>
      </w:r>
      <w:r>
        <w:rPr>
          <w:spacing w:val="-1"/>
        </w:rPr>
        <w:t> 68500 </w:t>
      </w:r>
      <w:r>
        <w:rPr/>
        <w:t>after</w:t>
      </w:r>
      <w:r>
        <w:rPr>
          <w:spacing w:val="49"/>
        </w:rPr>
        <w:t> </w:t>
      </w:r>
      <w:r>
        <w:rPr>
          <w:spacing w:val="-1"/>
        </w:rPr>
        <w:t>application </w:t>
      </w:r>
      <w:r>
        <w:rPr/>
        <w:t>of</w:t>
      </w:r>
      <w:r>
        <w:rPr>
          <w:spacing w:val="-3"/>
        </w:rPr>
        <w:t> </w:t>
      </w:r>
      <w:r>
        <w:rPr/>
        <w:t>all</w:t>
      </w:r>
      <w:r>
        <w:rPr>
          <w:spacing w:val="-1"/>
        </w:rPr>
        <w:t> </w:t>
      </w:r>
      <w:r>
        <w:rPr/>
        <w:t>other</w:t>
      </w:r>
      <w:r>
        <w:rPr>
          <w:spacing w:val="-1"/>
        </w:rPr>
        <w:t> rating </w:t>
      </w:r>
      <w:r>
        <w:rPr/>
        <w:t>factors.</w:t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tabs>
          <w:tab w:pos="7567" w:val="left" w:leader="none"/>
        </w:tabs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w w:val="95"/>
          <w:sz w:val="24"/>
        </w:rPr>
        <w:t>AIG-GL-RU-MU</w:t>
        <w:tab/>
      </w:r>
      <w:r>
        <w:rPr>
          <w:rFonts w:ascii="Times New Roman"/>
          <w:spacing w:val="-1"/>
          <w:sz w:val="24"/>
        </w:rPr>
        <w:t>Edition 5/15</w:t>
      </w:r>
      <w:r>
        <w:rPr>
          <w:rFonts w:ascii="Times New Roman"/>
          <w:sz w:val="24"/>
        </w:rPr>
      </w:r>
    </w:p>
    <w:sectPr>
      <w:type w:val="continuous"/>
      <w:pgSz w:w="12240" w:h="15840"/>
      <w:pgMar w:top="6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9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119"/>
      <w:outlineLvl w:val="1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mharry</dc:creator>
  <dc:title>Microsoft Word - CommunityGuard  GL Size of Association Rule Page by SFD 05-07-15.doc</dc:title>
  <dcterms:created xsi:type="dcterms:W3CDTF">2016-05-19T10:20:30Z</dcterms:created>
  <dcterms:modified xsi:type="dcterms:W3CDTF">2016-05-19T10:20:30Z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2015-05-13T00:00:00Z</vt:filetime>
  </property>
  <property fmtid="{D5CDD505-2E9C-101B-9397-08002B2CF9AE}" pid="3" name="LastSaved">
    <vt:filetime>2016-05-19T00:00:00Z</vt:filetime>
  </property>
</Properties>
</file>